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 w:line="560" w:lineRule="exact"/>
        <w:jc w:val="center"/>
      </w:pPr>
      <w:r>
        <w:rPr>
          <w:rFonts w:ascii="黑体" w:hAnsi="黑体" w:eastAsia="黑体"/>
          <w:b/>
          <w:sz w:val="36"/>
        </w:rPr>
        <w:t>量子点–薄膜铌酸锂腔与片上可编程路由的分区方案</w:t>
      </w:r>
    </w:p>
    <w:p>
      <w:pPr>
        <w:spacing w:before="0" w:after="80" w:line="440" w:lineRule="exact"/>
        <w:jc w:val="center"/>
      </w:pPr>
      <w:r>
        <w:rPr>
          <w:rFonts w:ascii="黑体" w:hAnsi="黑体" w:eastAsia="黑体"/>
          <w:b w:val="0"/>
          <w:sz w:val="28"/>
        </w:rPr>
        <w:t>方案报告</w:t>
      </w:r>
    </w:p>
    <w:p>
      <w:pPr>
        <w:spacing w:before="160" w:after="40" w:line="440" w:lineRule="exact"/>
        <w:jc w:val="center"/>
      </w:pPr>
      <w:r>
        <w:rPr>
          <w:rFonts w:ascii="宋体" w:hAnsi="宋体" w:eastAsia="宋体"/>
          <w:b w:val="0"/>
          <w:sz w:val="24"/>
        </w:rPr>
        <w:t>陈鑫磊</w:t>
      </w:r>
    </w:p>
    <w:p>
      <w:pPr>
        <w:spacing w:before="0" w:after="40" w:line="440" w:lineRule="exact"/>
        <w:jc w:val="center"/>
      </w:pPr>
      <w:r>
        <w:rPr>
          <w:rFonts w:ascii="宋体" w:hAnsi="宋体" w:eastAsia="宋体"/>
          <w:b w:val="0"/>
          <w:sz w:val="24"/>
        </w:rPr>
        <w:t>上海电力大学</w:t>
      </w:r>
    </w:p>
    <w:p>
      <w:pPr>
        <w:spacing w:before="0" w:after="200" w:line="440" w:lineRule="exact"/>
        <w:jc w:val="center"/>
      </w:pPr>
      <w:r>
        <w:rPr>
          <w:rFonts w:ascii="宋体" w:hAnsi="宋体" w:eastAsia="宋体"/>
          <w:b w:val="0"/>
          <w:sz w:val="24"/>
        </w:rPr>
        <w:t>2026年10月18日</w:t>
      </w:r>
    </w:p>
    <w:p>
      <w:pPr>
        <w:spacing w:before="80" w:after="160" w:line="440" w:lineRule="exact"/>
        <w:jc w:val="both"/>
      </w:pPr>
      <w:r>
        <w:rPr>
          <w:rFonts w:ascii="宋体" w:hAnsi="宋体" w:eastAsia="宋体"/>
          <w:b w:val="0"/>
          <w:sz w:val="21"/>
        </w:rPr>
        <w:t>本报告依据已发表结果提出架构建议，不包含新的实验或仿真数据。文中器件指标均引自所注文献；新闻稿中的带宽数据单独标明。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摘要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把高折射率路由层放在出射总线、不放进微环，可以同时留下两样已经测到的性能：腔的品质因子停在 10^4 量级，路由区收在几十微米里。裸铌酸锂环的加载品质因子是 2.52×10^5；砷化镓贴进环内之后降到 1.9×10^4，约 13 倍，因为损耗按环行圈数累加。总线只经过一次，同样的覆盖不再进入这个平均。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材料上，磷化镓在 910 nm 透明，35 μm 长、体吸收系数取 1.06 μm 的 0.1 cm^−1 时，单次吸收只有约 0.002 dB。晶体硅在 910 nm 的吸收系数是 272 cm^−1，同一长度上、光能有 30% 留在硅里时损耗约 1.2 dB，全部留在硅里时约 4.1 dB，不能用于这条单光子路径。砷化镓折射率 3.58，铌酸锂约 2.2，折射率差约 1.3，与通信波段硅相对铌酸锂的差同一量级，所以“高折射率覆盖加电光相位”的束缚方式有材料依据。砷化镓在室温 910 nm 正处在带边；器件本身在低温工作，带边移到约 816 nm，张加祥等已经把 912 nm 的光从砷化镓段送到光栅端口。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路由区有发表尺寸：4×4 为 35 μm×14 μm，比自成像结构最多小 86%。量子点与腔的联合调谐窗是 0.30 nm。新闻稿给出的路由器工作范围超过 78 nm，比这个窗口宽两个数量级以上；该带宽以新闻稿为准。两路光走同一段路由时，公共损耗降低符合计数，不直接降低干涉可见度；可见度取决于两路是否被收成同一个 TE0。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1  目的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张加祥等的器件已经解决单节点上的两件事：量子点与腔模可以对准，光子可以在平面波导里走。下一步若要做两个或多个节点之间的干涉，出射光还需变成同一个空间模式，并且相对相位由电极设定。本报告给出一种与李林、程亚的协同设计方法相接的分区结构，并写明材料不能原样照搬的原因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2  两项已有工作</w:t>
      </w:r>
    </w:p>
    <w:p>
      <w:pPr>
        <w:spacing w:before="200" w:after="120" w:line="440" w:lineRule="exact"/>
        <w:ind w:firstLine="0"/>
        <w:jc w:val="left"/>
      </w:pPr>
      <w:r>
        <w:rPr>
          <w:rFonts w:ascii="黑体" w:hAnsi="黑体" w:eastAsia="黑体"/>
          <w:b/>
          <w:sz w:val="28"/>
        </w:rPr>
        <w:t>2.1  量子点–薄膜铌酸锂混合腔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王旭东、朱一帆等将 InGaAs 量子点埋在 180 nm 厚的砷化镓层中，用微转印贴到 X 切薄膜铌酸锂跑道环上，定位精度在百纳米量级。量子点发光在 910 nm 附近。砷化镓波导两端用锥形模斑转换器，弯曲段采用欧拉弯，砷化镓只覆盖环的一小段，以降低这段高折射率材料带来的散射和吸收。裸铌酸锂环在约 912 nm 处的加载品质因子为 2.52×10^5；贴合砷化镓之后，回音壁模的品质因子最高为 1.9×10^4。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应变由薄膜铌酸锂的逆压电效应产生。量子点发射波长的连续调谐达到 4.82 nm（7.30 meV）。腔模则由电光电极调节，电极位于欧拉弯两侧，间隙 5 μm，波导上有 800 nm 厚的 HSQ 绝缘层以减小金属吸收；加上这组电极后，品质因子最高约为 1.2×10^4。应变与电光一起使用时，量子点与腔可以在 0.30 nm（0.45 meV）内保持共振，该范围约为量子点变换极限线宽的 230 倍，全程 Purcell 因子大于 1.89。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在一次共振匹配中，相对失谐 0.41 nm 的情况，共振时的发射强度约提高 10 倍。寿命测量给出失谐时的衰减率 0.42 ns^−1、共振时 1.90 ns^−1，对应 Purcell 因子 3.52。实验在闭循环制冷机中完成，激发光为 785 nm。</w:t>
      </w:r>
    </w:p>
    <w:p>
      <w:pPr>
        <w:spacing w:before="200" w:after="120" w:line="440" w:lineRule="exact"/>
        <w:ind w:firstLine="0"/>
        <w:jc w:val="left"/>
      </w:pPr>
      <w:r>
        <w:rPr>
          <w:rFonts w:ascii="黑体" w:hAnsi="黑体" w:eastAsia="黑体"/>
          <w:b/>
          <w:sz w:val="28"/>
        </w:rPr>
        <w:t>2.2  硅–铌酸锂有源–无源协同设计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张灵恩、钟浩宗等在未刻蚀的铌酸锂平板波导上制作高折射率硅微纳结构，把电光相位和硅的拓扑放进同一次优化。优化目标是器件最终要输出的一组可编程状态。2×2 与 4×4 相位可编程路由器的路由区分别为 15 μm×8 μm 和 35 μm×14 μm，相对自成像结构最多缩小约 86%。同一方法还做出可重构的 4×1 模式合成器，在 TE0 至 TE3 四种导模之间切换。华东师范大学对该工作的报道给出电光带宽约 2.5 GHz、工作波长范围超过 78 nm；这两项以新闻稿为准，正式论文摘要未列出。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3  为何分成两个区域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环的品质因子来自光在腔内的多次环行。裸环加载品质因子 2.52×10^5，贴上一段砷化镓后降到 1.9×10^4，再加入电光电极后约为 1.2×10^4。高折射率覆盖每多经过一次，环行损耗就按圈数累加。路由用的微纳结构若铺在环上，Purcell 增强会继续变弱。因此腔区只保留已经做出的砷化镓短覆盖、应变电极和电光电极。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光子离开环之后只经过总线一次。多节点干涉要求各路出射的空间模式相同、相对相位可设。把这段功能放在总线上，微纳结构的损耗只计入一次。李林、程亚的结果表明，相位与高折射率结构一起按最终输出状态设计，可以把多端口路由收在几十微米的区域内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材料不能把硅原样搬过来。张加祥等的工作波长约 910 nm。晶体硅的带隙对应约 1100 nm，910 nm 的光子能量高于该带隙，硅在此波长吸收。李林、程亚所用的硅层适合硅透明的波段；用于本方案时，只取他们的设计方法，功能层改为在 910 nm 透明、并且折射率高于铌酸锂的材料。磷化镓在该波长透明，折射率约 3.3，能够承担硅在通信波段所起的模式束缚作用。砷化镓本身在 910 nm 也透明，但只适合作为光一次性经过的路由覆盖；若再铺进腔内，会重复张加祥等已经设法压低的那部分环行损耗。氮化硅在 910 nm 透明，折射率不高于铌酸锂，不能替代这一高折射率层。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4  可行性估算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以下数字用于判断材料是否走得通。腔的品质因子沿用王旭东等的定义 Q = π n_g / (λ α)，取 n_g = 2.3、λ = 912 nm。这是量级估算，周长和群折射率未在正文中给出，不代替他们的补充材料。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裸环 Q = 2.52×10^5，对应平均传播损耗 0.31 cm^−1。混合砷化镓之后 Q = 1.9×10^4，平均损耗升到 4.2 cm^−1。加上电光电极后 Q = 1.2×10^4，平均损耗 6.6 cm^−1。从裸环到混合环，损耗增加到约 13 倍。正文把新增损耗归于模斑转换器和砷化镓段，并且这段材料只占环的一小部分，所以局部损耗远高于 4.2 cm^−1。总线若再被纳入环内，品质因子会继续按同一机制下降。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单次通过 35 μm（Optica 上 4×4 路由区的长边）的吸收如下。硅的 n 与 α 取 300 K 的列表值，910 nm 处 n = 3.614、α = 272 cm^−1。光能全部在硅中时透过率 0.39，损耗 4.1 dB；按能量占比 30% 折算，损耗 1.2 dB。磷化镓在 0.6–12 μm 透明，1.06 μm 处体吸收 0.1 cm^−1，35 μm 的吸收损耗 0.0015 dB。高阻砷化镓在 1.06 μm 的体吸收约 0.3 cm^−1，同样长度约 0.005 dB。室温下砷化镓在短于 910 nm 时吸收系数可以大于 200 cm^−1，35 μm 对应约 3 dB，因此不能靠室温带边透过。低温下砷化镓带隙约 1.519 eV，吸收边约 816 nm；本实验在制冷机中进行，912.3 nm 的发光已经从砷化镓波导经环和总线到达光栅耦合器，这是砷化镓在工作温度下可以导光的直接证据。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折射率：910 nm 附近砷化镓 n = 3.58（由 900 nm 的 3.593 与 950 nm 的 3.545 线性内插），铌酸锂寻常光折射率约 2.2，差约 1.3。通信波段硅相对铌酸锂的折射率差也约为 1.3。磷化镓在 900 nm 附近约为 3.2，差约 1.0。氮化硅约 2.0，低于铌酸锂，不能提供这层覆盖所要的额外束缚。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0.30 nm 的联合调谐窗相对 910 nm 只有 3.3×10^−4。Optica 论文给出的是路由区尺寸和缩小比例；超过 78 nm 的工作范围来自新闻稿。即便只取新闻稿的下限，该范围仍是 0.30 nm 的 260 倍。波长覆盖在数量级上不是限制项。限制项是 910 nm 的吸收，以及高折射率层是否进入环内。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5  方案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整体分两段，如图 1。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腔区沿用张加祥等的混合跑道环。含量子点的砷化镓只覆盖一小段，两端用他们已采用的锥形转换和欧拉弯，把光收成总线中的准 TE0。应变电压 VS 调节量子点，电光电压 VEO 调节腔模。这两套电极的几何，包括 5 μm 间隙和 HSQ 绝缘层，保持不变。路由用的高折射率层不进入环内。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路由区位于出射总线。在未刻蚀的铌酸锂上制作 910 nm 透明的高折射率微纳结构，并设置电光电极。优化变量是该结构的拓扑和这些电极上的相位。目标函数取为：在 0.30 nm 的对准窗口内，任意两个节点的总线输出都变为同一个 TE0，相对相位由电极设定。窗口内的若干对准波长同时放进优化，避免结构只在一个波长上满足模式匹配。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4×1 模式合成器放在两路总线交汇处，用来把两侧可能略有差别的出射场收成同一个 TE0。张加祥等的光子来自回音壁模经模斑转换后的准 TE 基模；砷化镓覆盖和工艺偏差会使不同节点的出射场不完全相同。模式合成器针对的就是这一差别。</w:t>
      </w:r>
    </w:p>
    <w:p>
      <w:r>
        <w:drawing>
          <wp:inline xmlns:a="http://schemas.openxmlformats.org/drawingml/2006/main" xmlns:pic="http://schemas.openxmlformats.org/drawingml/2006/picture">
            <wp:extent cx="5616000" cy="2406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40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宋体" w:hAnsi="宋体" w:eastAsia="宋体"/>
          <w:b w:val="0"/>
          <w:sz w:val="21"/>
        </w:rPr>
        <w:t>图 1  分区结构示意。腔区保持量子点–铌酸锂混合环；路由区位于出射总线，高折射率层在 910 nm 透明。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6  优化时遵守的约束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第一，硅或任何在 910 nm 吸收的材料不进入腔区，也不进入单光子必经的总线。第二，量子点的空间位置由转印确定，腔区的模场在该位置保持足够的场强，应变电极仍能在量子点处产生可观测的发射移动。第三，电光电极的电场沿铌酸锂晶体 Z 轴的投影保持张加祥等已经采用的方向，X 切薄膜上电极布置不另起一套晶体取向。第四，路由区的电光电极做在裸露的铌酸锂上；高折射率覆盖若压在电极间隙上，会改变静电场并增加吸收，电极与微纳结构在版图上分开。第五，允许失败的范围只限于 0.30 nm 窗口之外的波长。窗口之内的模式匹配作为硬条件。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7  判据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本方案尚未计算，也尚未流片。若以后实现，用下面四项判断，不把李林、程亚在其自身波段上的尺寸和带宽直接当成 910 nm 的结果。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（1）混合并完成电极之后，腔的品质因子仍在 10^4 量级，与张加祥等加电光电极后约 1.2×10^4 的结果同一量级。（2）应变与电光仍能在不少于 0.30 nm 的范围内把量子点与腔对准，该范围内 Purcell 因子仍大于 1。（3）两个独立节点的出射经路由区之后，空间模式重叠足够高，双光子干涉可见度达到实验可分辨的水平；可见度的数值目标需在测得总线出射场之后再定，本报告不预设。（4）路由区的插入损耗单次通过计量，并与腔的收集效率分开报告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8  风险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磷化镓或砷化镓路由层与铌酸锂的异质界面、对准和残余应力都没有在本报告中计算。910 nm 上的电光系数、群折射率和电极几何需要按该波长重新取值，不能沿用通信波段路由器的版图。量子点的不可区分性还受声子边带和激发方式限制；空间模式重合只去掉其中一项。张加祥等的展望写了片上路由和纠缠分发，本方案只对应其中的空间模式与相位这一段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9  结论</w:t>
      </w:r>
    </w:p>
    <w:p>
      <w:pPr>
        <w:spacing w:before="0" w:after="12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按已发表的品质因子和 910 nm 的材料常数，分区是可行的。高折射率层放在总线、不进环，腔的品质因子可以留在已经测到的 10^4 量级；磷化镓在 35 μm 上的体吸收约 0.002 dB，硅在同一波长是分贝量级。功能层用磷化镓，或在低温下用一段只经过一次的砷化镓。硅不进入这条单光子路径。</w:t>
      </w:r>
    </w:p>
    <w:p>
      <w:pPr>
        <w:spacing w:before="280" w:after="120" w:line="440" w:lineRule="exact"/>
        <w:ind w:firstLine="0"/>
        <w:jc w:val="left"/>
      </w:pPr>
      <w:r>
        <w:rPr>
          <w:rFonts w:ascii="黑体" w:hAnsi="黑体" w:eastAsia="黑体"/>
          <w:b/>
          <w:sz w:val="32"/>
        </w:rPr>
        <w:t>参考文献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[1] Wang X, Zhu Y, Zhang X, et al. Scalable all-solid-state cavity QED on a hybrid quantum dot–lithium niobate platform[J]. npj Quantum Information, 2026, 12: 143. DOI: 10.1038/s41534-026-01282-3.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[2] Zhang L, Zhong H, Qu N, et al. Programmable heterogeneous lithium niobate photonic circuits via active–passive joint inverse design[J]. Optica, 2026, 13(10): 2163-2170. DOI: 10.1364/OPTICA.614691.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[3] 华东师范大学精密光谱科学与技术高等研究院. Optica | 有源–无源协同设计实现硅–铌酸锂可编程异质集成光子芯片[EB/OL]. 微信公众号发布. 其中电光带宽约 2.5 GHz、波长范围超过 78 nm 引自该报道，正式论文摘要未列出。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[4] 中国科学院上海微系统与信息技术研究所. npj Quantum Information：可扩展的片上全固态腔量子电动力学系统[EB/OL]. (2026-09-14). http://www.sim.cas.cn/xwzx2016/kyjz/202609/t20260914_8281496.html.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[5] Green M A. Self-consistent optical parameters of intrinsic silicon at 300 K including temperature coefficients[J]. Solar Energy Materials and Solar Cells, 2008, 92: 1305-1310. 910 nm 处采用其列表值 α = 272 cm^−1，n = 3.614。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[6] Batop GmbH. Refractive index of GaAs[EB/OL]. https://www.batop.de/information/n_GaAs.html. 900 nm 为 3.593，950 nm 为 3.545。</w:t>
      </w:r>
    </w:p>
    <w:p>
      <w:pPr>
        <w:spacing w:before="0" w:after="80" w:line="360" w:lineRule="exact"/>
        <w:jc w:val="both"/>
      </w:pPr>
      <w:r>
        <w:rPr>
          <w:rFonts w:ascii="宋体" w:hAnsi="宋体" w:eastAsia="宋体"/>
          <w:b w:val="0"/>
          <w:sz w:val="21"/>
        </w:rPr>
        <w:t>[7] Optical properties of GaAs, GaP, and CVD diamond[C]. Proc. SPIE, 1991, 1498. GaP 在 0.6–12 μm 透明，1.06 μm 吸收系数 0.1 cm^−1；高阻 GaAs 在 1.06 μm 约 0.3 cm^−1。室温下 GaAs 在短于 910 nm 时吸收系数可大于 200 cm^−1、950 nm 处可小于 0.01 cm^−1，见材料供应商对窗口片透过范围的说明。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74" w:bottom="141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— </w:t>
    </w:r>
    <w:r>
      <w:rPr>
        <w:rFonts w:ascii="宋体" w:hAnsi="宋体" w:eastAsia="宋体"/>
        <w:b w:val="0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sz w:val="18"/>
      </w:rPr>
      <w:t>方案报告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