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97A27" w14:textId="77777777" w:rsidR="00736A71" w:rsidRDefault="00B77AB3">
      <w:pPr>
        <w:pStyle w:val="Ttulo"/>
        <w:keepLines/>
        <w:pBdr>
          <w:top w:val="single" w:sz="36" w:space="16" w:color="1C7C7D"/>
        </w:pBdr>
        <w:spacing w:before="120" w:after="60"/>
      </w:pPr>
      <w:r>
        <w:t>Meningitis bacteriana aguda del adulto</w:t>
      </w:r>
    </w:p>
    <w:p w14:paraId="1F202221" w14:textId="77777777" w:rsidR="00736A71" w:rsidRDefault="00B77AB3">
      <w:pPr>
        <w:pStyle w:val="Subttulo"/>
        <w:keepLines/>
        <w:pBdr>
          <w:bottom w:val="single" w:sz="4" w:space="12" w:color="D3DEE3"/>
        </w:pBdr>
        <w:spacing w:after="300"/>
      </w:pPr>
      <w:r>
        <w:rPr>
          <w:spacing w:val="12"/>
        </w:rPr>
        <w:t>Adquirida en la comunidad · Autor: Juan Arenas</w:t>
      </w:r>
    </w:p>
    <w:p w14:paraId="2ECA1E7C" w14:textId="77777777" w:rsidR="00736A71" w:rsidRDefault="00B77AB3">
      <w:pPr>
        <w:pBdr>
          <w:top w:val="single" w:sz="4" w:space="5" w:color="E9F4F4"/>
          <w:left w:val="single" w:sz="24" w:space="8" w:color="1C7C7D"/>
          <w:bottom w:val="single" w:sz="4" w:space="5" w:color="E9F4F4"/>
          <w:right w:val="single" w:sz="4" w:space="8" w:color="E9F4F4"/>
        </w:pBdr>
        <w:shd w:val="clear" w:color="auto" w:fill="E9F4F4"/>
        <w:spacing w:after="80"/>
        <w:ind w:left="220" w:right="170"/>
        <w:jc w:val="left"/>
      </w:pPr>
      <w:r>
        <w:rPr>
          <w:rFonts w:ascii="Calibri" w:hAnsi="Calibri" w:cs="Calibri"/>
          <w:b/>
          <w:color w:val="1C7C7D"/>
          <w:sz w:val="21"/>
          <w:szCs w:val="21"/>
        </w:rPr>
        <w:t>Fuentes de esta revisión</w:t>
      </w:r>
      <w:r>
        <w:rPr>
          <w:rFonts w:ascii="Calibri" w:hAnsi="Calibri" w:cs="Calibri"/>
          <w:sz w:val="21"/>
          <w:szCs w:val="21"/>
        </w:rPr>
        <w:t xml:space="preserve">: SEN 2025 → Mensa 2026 → ESCMID 2016 → NICE NG240 → SEMES 2012. La SEN 2025 es la fuente de referencia y solo se cita cuando otra fuente dice algo distinto. Los datos de resistencia local proceden de informes internos de la FJD (2024).</w:t>
      </w:r>
    </w:p>
    <w:p w14:paraId="1B00545D" w14:textId="6D636494" w:rsidR="00736A71" w:rsidRDefault="00B77AB3">
      <w:pPr>
        <w:pBdr>
          <w:top w:val="single" w:sz="4" w:space="5" w:color="E9F4F4"/>
          <w:left w:val="single" w:sz="24" w:space="8" w:color="1C7C7D"/>
          <w:bottom w:val="single" w:sz="4" w:space="5" w:color="E9F4F4"/>
          <w:right w:val="single" w:sz="4" w:space="8" w:color="E9F4F4"/>
        </w:pBdr>
        <w:shd w:val="clear" w:color="auto" w:fill="E9F4F4"/>
        <w:spacing w:after="240"/>
        <w:ind w:left="220" w:right="170"/>
        <w:jc w:val="left"/>
      </w:pPr>
      <w:r>
        <w:rPr>
          <w:rFonts w:ascii="Calibri" w:hAnsi="Calibri" w:cs="Calibri"/>
          <w:b/>
          <w:color w:val="1C7C7D"/>
          <w:sz w:val="21"/>
          <w:szCs w:val="21"/>
        </w:rPr>
        <w:t>Capítul</w:t>
      </w:r>
      <w:r w:rsidR="001157B1">
        <w:rPr>
          <w:rFonts w:ascii="Calibri" w:hAnsi="Calibri" w:cs="Calibri"/>
          <w:b/>
          <w:color w:val="1C7C7D"/>
          <w:sz w:val="21"/>
          <w:szCs w:val="21"/>
        </w:rPr>
        <w:t>os complementarios (</w:t>
      </w:r>
      <w:proofErr w:type="spellStart"/>
      <w:r w:rsidR="001157B1">
        <w:rPr>
          <w:rFonts w:ascii="Calibri" w:hAnsi="Calibri" w:cs="Calibri"/>
          <w:b/>
          <w:color w:val="1C7C7D"/>
          <w:sz w:val="21"/>
          <w:szCs w:val="21"/>
        </w:rPr>
        <w:t>en elaboración</w:t>
      </w:r>
      <w:proofErr w:type="spellEnd"/>
      <w:r w:rsidR="001157B1">
        <w:rPr>
          <w:rFonts w:ascii="Calibri" w:hAnsi="Calibri" w:cs="Calibri"/>
          <w:b/>
          <w:color w:val="1C7C7D"/>
          <w:sz w:val="21"/>
          <w:szCs w:val="21"/>
        </w:rPr>
        <w:t xml:space="preserve"/>
      </w:r>
      <w:proofErr w:type="spellStart"/>
      <w:r w:rsidR="001157B1">
        <w:rPr>
          <w:rFonts w:ascii="Calibri" w:hAnsi="Calibri" w:cs="Calibri"/>
          <w:b/>
          <w:color w:val="1C7C7D"/>
          <w:sz w:val="21"/>
          <w:szCs w:val="21"/>
        </w:rPr>
        <w:t/>
      </w:r>
      <w:proofErr w:type="spellEnd"/>
      <w:r w:rsidR="001157B1">
        <w:rPr>
          <w:rFonts w:ascii="Calibri" w:hAnsi="Calibri" w:cs="Calibri"/>
          <w:b/>
          <w:color w:val="1C7C7D"/>
          <w:sz w:val="21"/>
          <w:szCs w:val="21"/>
        </w:rPr>
        <w:t>)</w:t>
      </w:r>
      <w:r>
        <w:rPr>
          <w:rFonts w:ascii="Calibri" w:hAnsi="Calibri" w:cs="Calibri"/>
          <w:sz w:val="21"/>
          <w:szCs w:val="21"/>
        </w:rPr>
        <w:t xml:space="preserve">: 2. Meningitis linfocitaria subaguda · 3. Encefalitis · 4. Absceso cerebral · 5. Infecciones </w:t>
      </w:r>
      <w:proofErr w:type="spellStart"/>
      <w:r>
        <w:rPr>
          <w:rFonts w:ascii="Calibri" w:hAnsi="Calibri" w:cs="Calibri"/>
          <w:sz w:val="21"/>
          <w:szCs w:val="21"/>
        </w:rPr>
        <w:t>parameníngeas</w:t>
      </w:r>
      <w:proofErr w:type="spellEnd"/>
      <w:r>
        <w:rPr>
          <w:rFonts w:ascii="Calibri" w:hAnsi="Calibri" w:cs="Calibri"/>
          <w:sz w:val="21"/>
          <w:szCs w:val="21"/>
        </w:rPr>
        <w:t xml:space="preserve"> y medulares · 6. Derivaciones de LCR y meningitis </w:t>
      </w:r>
      <w:proofErr w:type="spellStart"/>
      <w:r>
        <w:rPr>
          <w:rFonts w:ascii="Calibri" w:hAnsi="Calibri" w:cs="Calibri"/>
          <w:sz w:val="21"/>
          <w:szCs w:val="21"/>
        </w:rPr>
        <w:t>posneuroquirúrgica</w:t>
      </w:r>
      <w:proofErr w:type="spellEnd"/>
      <w:r>
        <w:rPr>
          <w:rFonts w:ascii="Calibri" w:hAnsi="Calibri" w:cs="Calibri"/>
          <w:sz w:val="21"/>
          <w:szCs w:val="21"/>
        </w:rPr>
        <w:t xml:space="preserve"> · 7. Infecciones fúngicas y parasitarias · 8. Complicaciones de la punción lumbar.</w:t>
      </w:r>
    </w:p>
    <w:sdt>
      <w:sdtPr>
        <w:rPr>
          <w:rFonts w:ascii="Calibri" w:hAnsi="Calibri" w:cs="Calibri"/>
          <w:b/>
          <w:bCs/>
          <w:color w:val="17384D"/>
          <w:sz w:val="21"/>
          <w:szCs w:val="21"/>
        </w:rPr>
        <w:id w:val="-1397362975"/>
        <w:docPartObj>
          <w:docPartGallery w:val="Table of Contents"/>
          <w:docPartUnique/>
        </w:docPartObj>
      </w:sdtPr>
      <w:sdtEndPr/>
      <w:sdtContent>
        <w:p w14:paraId="76B13B0A" w14:textId="77777777" w:rsidR="00736A71" w:rsidRDefault="00B77AB3">
          <w:pPr>
            <w:keepNext/>
            <w:suppressAutoHyphens/>
            <w:spacing w:before="300" w:after="60"/>
            <w:jc w:val="left"/>
          </w:pPr>
          <w:r>
            <w:rPr>
              <w:rFonts w:ascii="Calibri" w:hAnsi="Calibri" w:cs="Calibri"/>
              <w:b/>
              <w:bCs/>
              <w:smallCaps/>
              <w:color w:val="1C7C7D"/>
              <w:spacing w:val="20"/>
              <w:sz w:val="26"/>
              <w:szCs w:val="26"/>
            </w:rPr>
            <w:t>Índice</w:t>
          </w:r>
        </w:p>
        <w:p w14:paraId="0832E4E0" w14:textId="77777777" w:rsidR="00736A71" w:rsidRDefault="00B77AB3">
          <w:pPr>
            <w:pStyle w:val="TDC1"/>
          </w:pPr>
          <w:r>
            <w:fldChar w:fldCharType="begin"/>
          </w:r>
          <w:r>
            <w:instrText xml:space="preserve"> TOC \o "1-2" \h \z \u </w:instrText>
          </w:r>
          <w:r>
            <w:fldChar w:fldCharType="separate"/>
          </w:r>
          <w:hyperlink w:anchor="_Toc000510000" w:history="1">
            <w:r>
              <w:rPr>
                <w:color w:val="1C7C7D"/>
              </w:rPr>
              <w:t xml:space="preserve">1. </w:t>
            </w:r>
            <w:r>
              <w:t>Definición y fisiopatología</w:t>
            </w:r>
            <w:r>
              <w:rPr>
                <w:b w:val="0"/>
                <w:color w:val="A7B5BC"/>
              </w:rPr>
              <w:tab/>
            </w:r>
            <w:r>
              <w:fldChar w:fldCharType="begin"/>
            </w:r>
            <w:r>
              <w:instrText xml:space="preserve"> PAGEREF _Toc000510000 \h </w:instrText>
            </w:r>
            <w:r>
              <w:fldChar w:fldCharType="separate"/>
            </w:r>
            <w:r>
              <w:t>2</w:t>
            </w:r>
            <w:r>
              <w:fldChar w:fldCharType="end"/>
            </w:r>
          </w:hyperlink>
        </w:p>
        <w:p w14:paraId="23830AC4" w14:textId="77777777" w:rsidR="00736A71" w:rsidRDefault="00B77AB3">
          <w:pPr>
            <w:pStyle w:val="TDC2"/>
          </w:pPr>
          <w:hyperlink w:anchor="_Toc000510001" w:history="1">
            <w:r>
              <w:rPr>
                <w:color w:val="1C7C7D"/>
              </w:rPr>
              <w:t xml:space="preserve">1.1. </w:t>
            </w:r>
            <w:r>
              <w:t>Clínica</w:t>
            </w:r>
            <w:r>
              <w:rPr>
                <w:color w:val="A7B5BC"/>
              </w:rPr>
              <w:tab/>
            </w:r>
            <w:r>
              <w:fldChar w:fldCharType="begin"/>
            </w:r>
            <w:r>
              <w:instrText xml:space="preserve"> PAGEREF _Toc000510001 \h </w:instrText>
            </w:r>
            <w:r>
              <w:fldChar w:fldCharType="separate"/>
            </w:r>
            <w:r>
              <w:t>2</w:t>
            </w:r>
            <w:r>
              <w:fldChar w:fldCharType="end"/>
            </w:r>
          </w:hyperlink>
        </w:p>
        <w:p w14:paraId="7540CD2D" w14:textId="77777777" w:rsidR="00736A71" w:rsidRDefault="00B77AB3">
          <w:pPr>
            <w:pStyle w:val="TDC2"/>
          </w:pPr>
          <w:hyperlink w:anchor="_Toc000510002" w:history="1">
            <w:r>
              <w:rPr>
                <w:color w:val="1C7C7D"/>
              </w:rPr>
              <w:t xml:space="preserve">1.2. </w:t>
            </w:r>
            <w:r>
              <w:t>Diagnóstico</w:t>
            </w:r>
            <w:r>
              <w:rPr>
                <w:color w:val="A7B5BC"/>
              </w:rPr>
              <w:tab/>
            </w:r>
            <w:r>
              <w:fldChar w:fldCharType="begin"/>
            </w:r>
            <w:r>
              <w:instrText xml:space="preserve"> PAGEREF _Toc000510002 \h </w:instrText>
            </w:r>
            <w:r>
              <w:fldChar w:fldCharType="separate"/>
            </w:r>
            <w:r>
              <w:t>3</w:t>
            </w:r>
            <w:r>
              <w:fldChar w:fldCharType="end"/>
            </w:r>
          </w:hyperlink>
        </w:p>
        <w:p w14:paraId="520C3E98" w14:textId="77777777" w:rsidR="00736A71" w:rsidRDefault="00B77AB3">
          <w:pPr>
            <w:pStyle w:val="TDC1"/>
          </w:pPr>
          <w:hyperlink w:anchor="_Toc000510003" w:history="1">
            <w:r>
              <w:rPr>
                <w:color w:val="1C7C7D"/>
              </w:rPr>
              <w:t xml:space="preserve">2. </w:t>
            </w:r>
            <w:r>
              <w:t>Epidemiología</w:t>
            </w:r>
            <w:r>
              <w:rPr>
                <w:b w:val="0"/>
                <w:color w:val="A7B5BC"/>
              </w:rPr>
              <w:tab/>
            </w:r>
            <w:r>
              <w:fldChar w:fldCharType="begin"/>
            </w:r>
            <w:r>
              <w:instrText xml:space="preserve"> PAGEREF _Toc000510003 \h </w:instrText>
            </w:r>
            <w:r>
              <w:fldChar w:fldCharType="separate"/>
            </w:r>
            <w:r>
              <w:t>3</w:t>
            </w:r>
            <w:r>
              <w:fldChar w:fldCharType="end"/>
            </w:r>
          </w:hyperlink>
        </w:p>
        <w:p w14:paraId="3ACA21D0" w14:textId="77777777" w:rsidR="00736A71" w:rsidRDefault="00B77AB3">
          <w:pPr>
            <w:pStyle w:val="TDC1"/>
          </w:pPr>
          <w:hyperlink w:anchor="_Toc000510004" w:history="1">
            <w:r>
              <w:rPr>
                <w:color w:val="1C7C7D"/>
              </w:rPr>
              <w:t xml:space="preserve">3. </w:t>
            </w:r>
            <w:r>
              <w:t>Etiología</w:t>
            </w:r>
            <w:r>
              <w:rPr>
                <w:b w:val="0"/>
                <w:color w:val="A7B5BC"/>
              </w:rPr>
              <w:tab/>
            </w:r>
            <w:r>
              <w:fldChar w:fldCharType="begin"/>
            </w:r>
            <w:r>
              <w:instrText xml:space="preserve"> PAGEREF _Toc000510004 \h </w:instrText>
            </w:r>
            <w:r>
              <w:fldChar w:fldCharType="separate"/>
            </w:r>
            <w:r>
              <w:t>4</w:t>
            </w:r>
            <w:r>
              <w:fldChar w:fldCharType="end"/>
            </w:r>
          </w:hyperlink>
        </w:p>
        <w:p w14:paraId="7780052C" w14:textId="77777777" w:rsidR="00736A71" w:rsidRDefault="00B77AB3">
          <w:pPr>
            <w:pStyle w:val="TDC1"/>
          </w:pPr>
          <w:hyperlink w:anchor="_Toc000510005" w:history="1">
            <w:r>
              <w:rPr>
                <w:color w:val="1C7C7D"/>
              </w:rPr>
              <w:t xml:space="preserve">4. </w:t>
            </w:r>
            <w:r>
              <w:t>Valoración inicial: tiempos y secuencia en urgencias</w:t>
            </w:r>
            <w:r>
              <w:rPr>
                <w:b w:val="0"/>
                <w:color w:val="A7B5BC"/>
              </w:rPr>
              <w:tab/>
            </w:r>
            <w:r>
              <w:fldChar w:fldCharType="begin"/>
            </w:r>
            <w:r>
              <w:instrText xml:space="preserve"> PAGEREF _Toc000510005 \h </w:instrText>
            </w:r>
            <w:r>
              <w:fldChar w:fldCharType="separate"/>
            </w:r>
            <w:r>
              <w:t>5</w:t>
            </w:r>
            <w:r>
              <w:fldChar w:fldCharType="end"/>
            </w:r>
          </w:hyperlink>
        </w:p>
        <w:p w14:paraId="0553564F" w14:textId="77777777" w:rsidR="00736A71" w:rsidRDefault="00B77AB3">
          <w:pPr>
            <w:pStyle w:val="TDC2"/>
          </w:pPr>
          <w:hyperlink w:anchor="_Toc000510006" w:history="1">
            <w:r>
              <w:rPr>
                <w:color w:val="1C7C7D"/>
              </w:rPr>
              <w:t xml:space="preserve">4.1. </w:t>
            </w:r>
            <w:r>
              <w:t>¿TC craneal ANTES de la punción lumbar?</w:t>
            </w:r>
            <w:r>
              <w:rPr>
                <w:color w:val="A7B5BC"/>
              </w:rPr>
              <w:tab/>
            </w:r>
            <w:r>
              <w:fldChar w:fldCharType="begin"/>
            </w:r>
            <w:r>
              <w:instrText xml:space="preserve"> PAGEREF _Toc000510006 \h </w:instrText>
            </w:r>
            <w:r>
              <w:fldChar w:fldCharType="separate"/>
            </w:r>
            <w:r>
              <w:t>5</w:t>
            </w:r>
            <w:r>
              <w:fldChar w:fldCharType="end"/>
            </w:r>
          </w:hyperlink>
        </w:p>
        <w:p w14:paraId="6922C8C6" w14:textId="77777777" w:rsidR="00736A71" w:rsidRDefault="00B77AB3">
          <w:pPr>
            <w:pStyle w:val="TDC2"/>
          </w:pPr>
          <w:hyperlink w:anchor="_Toc000510007" w:history="1">
            <w:r>
              <w:rPr>
                <w:color w:val="1C7C7D"/>
              </w:rPr>
              <w:t xml:space="preserve">4.2. </w:t>
            </w:r>
            <w:r>
              <w:t>Contraindicaciones de la punción lumbar</w:t>
            </w:r>
            <w:r>
              <w:rPr>
                <w:color w:val="A7B5BC"/>
              </w:rPr>
              <w:tab/>
            </w:r>
            <w:r>
              <w:fldChar w:fldCharType="begin"/>
            </w:r>
            <w:r>
              <w:instrText xml:space="preserve"> PAGEREF _Toc000510007 \h </w:instrText>
            </w:r>
            <w:r>
              <w:fldChar w:fldCharType="separate"/>
            </w:r>
            <w:r>
              <w:t>6</w:t>
            </w:r>
            <w:r>
              <w:fldChar w:fldCharType="end"/>
            </w:r>
          </w:hyperlink>
        </w:p>
        <w:p w14:paraId="767D36FB" w14:textId="77777777" w:rsidR="00736A71" w:rsidRDefault="00B77AB3">
          <w:pPr>
            <w:pStyle w:val="TDC1"/>
          </w:pPr>
          <w:hyperlink w:anchor="_Toc000510008" w:history="1">
            <w:r>
              <w:rPr>
                <w:color w:val="1C7C7D"/>
              </w:rPr>
              <w:t xml:space="preserve">5. </w:t>
            </w:r>
            <w:r>
              <w:t>Pruebas complementarias</w:t>
            </w:r>
            <w:r>
              <w:rPr>
                <w:b w:val="0"/>
                <w:color w:val="A7B5BC"/>
              </w:rPr>
              <w:tab/>
            </w:r>
            <w:r>
              <w:fldChar w:fldCharType="begin"/>
            </w:r>
            <w:r>
              <w:instrText xml:space="preserve"> PAGEREF _Toc000510008 \h </w:instrText>
            </w:r>
            <w:r>
              <w:fldChar w:fldCharType="separate"/>
            </w:r>
            <w:r>
              <w:t>6</w:t>
            </w:r>
            <w:r>
              <w:fldChar w:fldCharType="end"/>
            </w:r>
          </w:hyperlink>
        </w:p>
        <w:p w14:paraId="3CB34055" w14:textId="77777777" w:rsidR="00736A71" w:rsidRDefault="00B77AB3">
          <w:pPr>
            <w:pStyle w:val="TDC2"/>
          </w:pPr>
          <w:hyperlink w:anchor="_Toc000510009" w:history="1">
            <w:r>
              <w:rPr>
                <w:color w:val="1C7C7D"/>
              </w:rPr>
              <w:t xml:space="preserve">5.1. </w:t>
            </w:r>
            <w:r>
              <w:t>Sangre</w:t>
            </w:r>
            <w:r>
              <w:rPr>
                <w:color w:val="A7B5BC"/>
              </w:rPr>
              <w:tab/>
            </w:r>
            <w:r>
              <w:fldChar w:fldCharType="begin"/>
            </w:r>
            <w:r>
              <w:instrText xml:space="preserve"> PAGEREF _Toc000510009 \h </w:instrText>
            </w:r>
            <w:r>
              <w:fldChar w:fldCharType="separate"/>
            </w:r>
            <w:r>
              <w:t>6</w:t>
            </w:r>
            <w:r>
              <w:fldChar w:fldCharType="end"/>
            </w:r>
          </w:hyperlink>
        </w:p>
        <w:p w14:paraId="43B7CE2D" w14:textId="77777777" w:rsidR="00736A71" w:rsidRDefault="00B77AB3">
          <w:pPr>
            <w:pStyle w:val="TDC2"/>
          </w:pPr>
          <w:hyperlink w:anchor="_Toc000510010" w:history="1">
            <w:r>
              <w:rPr>
                <w:color w:val="1C7C7D"/>
              </w:rPr>
              <w:t xml:space="preserve">5.2. </w:t>
            </w:r>
            <w:r>
              <w:t>LCR</w:t>
            </w:r>
            <w:r>
              <w:rPr>
                <w:color w:val="A7B5BC"/>
              </w:rPr>
              <w:tab/>
            </w:r>
            <w:r>
              <w:fldChar w:fldCharType="begin"/>
            </w:r>
            <w:r>
              <w:instrText xml:space="preserve"> PAGEREF _Toc000510010 \h </w:instrText>
            </w:r>
            <w:r>
              <w:fldChar w:fldCharType="separate"/>
            </w:r>
            <w:r>
              <w:t>7</w:t>
            </w:r>
            <w:r>
              <w:fldChar w:fldCharType="end"/>
            </w:r>
          </w:hyperlink>
        </w:p>
        <w:p w14:paraId="7D6D7141" w14:textId="77777777" w:rsidR="00736A71" w:rsidRDefault="00B77AB3">
          <w:pPr>
            <w:pStyle w:val="TDC2"/>
          </w:pPr>
          <w:hyperlink w:anchor="_Toc000510011" w:history="1">
            <w:r>
              <w:rPr>
                <w:color w:val="1C7C7D"/>
              </w:rPr>
              <w:t xml:space="preserve">5.3. </w:t>
            </w:r>
            <w:r>
              <w:t>Neuroimagen</w:t>
            </w:r>
            <w:r>
              <w:rPr>
                <w:color w:val="A7B5BC"/>
              </w:rPr>
              <w:tab/>
            </w:r>
            <w:r>
              <w:fldChar w:fldCharType="begin"/>
            </w:r>
            <w:r>
              <w:instrText xml:space="preserve"> PAGEREF _Toc000510011 \h </w:instrText>
            </w:r>
            <w:r>
              <w:fldChar w:fldCharType="separate"/>
            </w:r>
            <w:r>
              <w:t>8</w:t>
            </w:r>
            <w:r>
              <w:fldChar w:fldCharType="end"/>
            </w:r>
          </w:hyperlink>
        </w:p>
        <w:p w14:paraId="6A9ED3CE" w14:textId="77777777" w:rsidR="00736A71" w:rsidRDefault="00B77AB3">
          <w:pPr>
            <w:pStyle w:val="TDC1"/>
          </w:pPr>
          <w:hyperlink w:anchor="_Toc000510012" w:history="1">
            <w:r>
              <w:rPr>
                <w:color w:val="1C7C7D"/>
              </w:rPr>
              <w:t xml:space="preserve">6. </w:t>
            </w:r>
            <w:r>
              <w:t>Tratamiento antibiótico empírico</w:t>
            </w:r>
            <w:r>
              <w:rPr>
                <w:b w:val="0"/>
                <w:color w:val="A7B5BC"/>
              </w:rPr>
              <w:tab/>
            </w:r>
            <w:r>
              <w:fldChar w:fldCharType="begin"/>
            </w:r>
            <w:r>
              <w:instrText xml:space="preserve"> PAGEREF _Toc000510012 \h </w:instrText>
            </w:r>
            <w:r>
              <w:fldChar w:fldCharType="separate"/>
            </w:r>
            <w:r>
              <w:t>8</w:t>
            </w:r>
            <w:r>
              <w:fldChar w:fldCharType="end"/>
            </w:r>
          </w:hyperlink>
        </w:p>
        <w:p w14:paraId="6A307627" w14:textId="77777777" w:rsidR="00736A71" w:rsidRDefault="00B77AB3">
          <w:pPr>
            <w:pStyle w:val="TDC2"/>
          </w:pPr>
          <w:hyperlink w:anchor="_Toc000510013" w:history="1">
            <w:r>
              <w:rPr>
                <w:color w:val="1C7C7D"/>
              </w:rPr>
              <w:t xml:space="preserve">6.1. </w:t>
            </w:r>
            <w:r>
              <w:t>Adulto ≤50 años SIN factores de riesgo (o fractura de base de cráneo)</w:t>
            </w:r>
            <w:r>
              <w:rPr>
                <w:color w:val="A7B5BC"/>
              </w:rPr>
              <w:tab/>
            </w:r>
            <w:r>
              <w:fldChar w:fldCharType="begin"/>
            </w:r>
            <w:r>
              <w:instrText xml:space="preserve"> PAGEREF _Toc000510013 \h </w:instrText>
            </w:r>
            <w:r>
              <w:fldChar w:fldCharType="separate"/>
            </w:r>
            <w:r>
              <w:t>9</w:t>
            </w:r>
            <w:r>
              <w:fldChar w:fldCharType="end"/>
            </w:r>
          </w:hyperlink>
        </w:p>
        <w:p w14:paraId="60319AB8" w14:textId="77777777" w:rsidR="00736A71" w:rsidRDefault="00B77AB3">
          <w:pPr>
            <w:pStyle w:val="TDC2"/>
          </w:pPr>
          <w:hyperlink w:anchor="_Toc000510014" w:history="1">
            <w:r>
              <w:rPr>
                <w:color w:val="1C7C7D"/>
              </w:rPr>
              <w:t xml:space="preserve">6.2. </w:t>
            </w:r>
            <w:r>
              <w:t>Adulto &gt;50 años o con factores de riesgo de Listeria</w:t>
            </w:r>
            <w:r>
              <w:rPr>
                <w:color w:val="A7B5BC"/>
              </w:rPr>
              <w:tab/>
            </w:r>
            <w:r>
              <w:fldChar w:fldCharType="begin"/>
            </w:r>
            <w:r>
              <w:instrText xml:space="preserve"> PAGEREF _Toc000510014 \h </w:instrText>
            </w:r>
            <w:r>
              <w:fldChar w:fldCharType="separate"/>
            </w:r>
            <w:r>
              <w:t>9</w:t>
            </w:r>
            <w:r>
              <w:fldChar w:fldCharType="end"/>
            </w:r>
          </w:hyperlink>
        </w:p>
        <w:p w14:paraId="6A097BE7" w14:textId="77777777" w:rsidR="00736A71" w:rsidRDefault="00B77AB3">
          <w:pPr>
            <w:pStyle w:val="TDC2"/>
          </w:pPr>
          <w:hyperlink w:anchor="_Toc000510015" w:history="1">
            <w:r>
              <w:rPr>
                <w:color w:val="1C7C7D"/>
              </w:rPr>
              <w:t xml:space="preserve">6.3. </w:t>
            </w:r>
            <w:r>
              <w:t>Inmunodeprimido (neutropenia, trasplante, quimioterapia, inmunosupresión intensa)</w:t>
            </w:r>
            <w:r>
              <w:rPr>
                <w:color w:val="A7B5BC"/>
              </w:rPr>
              <w:tab/>
            </w:r>
            <w:r>
              <w:fldChar w:fldCharType="begin"/>
            </w:r>
            <w:r>
              <w:instrText xml:space="preserve"> PAGEREF _Toc000510015 \h </w:instrText>
            </w:r>
            <w:r>
              <w:fldChar w:fldCharType="separate"/>
            </w:r>
            <w:r>
              <w:t>10</w:t>
            </w:r>
            <w:r>
              <w:fldChar w:fldCharType="end"/>
            </w:r>
          </w:hyperlink>
        </w:p>
        <w:p w14:paraId="08E33ED0" w14:textId="77777777" w:rsidR="00736A71" w:rsidRDefault="00B77AB3">
          <w:pPr>
            <w:pStyle w:val="TDC2"/>
          </w:pPr>
          <w:hyperlink w:anchor="_Toc000510016" w:history="1">
            <w:r>
              <w:rPr>
                <w:color w:val="1C7C7D"/>
              </w:rPr>
              <w:t xml:space="preserve">6.4. </w:t>
            </w:r>
            <w:r>
              <w:t>Neurocirugía previa o traumatismo craneal penetrante</w:t>
            </w:r>
            <w:r>
              <w:rPr>
                <w:color w:val="A7B5BC"/>
              </w:rPr>
              <w:tab/>
            </w:r>
            <w:r>
              <w:fldChar w:fldCharType="begin"/>
            </w:r>
            <w:r>
              <w:instrText xml:space="preserve"> PAGEREF _Toc000510016 \h </w:instrText>
            </w:r>
            <w:r>
              <w:fldChar w:fldCharType="separate"/>
            </w:r>
            <w:r>
              <w:t>10</w:t>
            </w:r>
            <w:r>
              <w:fldChar w:fldCharType="end"/>
            </w:r>
          </w:hyperlink>
        </w:p>
        <w:p w14:paraId="10ED68A3" w14:textId="77777777" w:rsidR="00736A71" w:rsidRDefault="00B77AB3">
          <w:pPr>
            <w:pStyle w:val="TDC2"/>
          </w:pPr>
          <w:hyperlink w:anchor="_Toc000510017" w:history="1">
            <w:r>
              <w:rPr>
                <w:color w:val="1C7C7D"/>
              </w:rPr>
              <w:t xml:space="preserve">6.5. </w:t>
            </w:r>
            <w:r>
              <w:t>¿Aciclovir empírico?</w:t>
            </w:r>
            <w:r>
              <w:rPr>
                <w:color w:val="A7B5BC"/>
              </w:rPr>
              <w:tab/>
            </w:r>
            <w:r>
              <w:fldChar w:fldCharType="begin"/>
            </w:r>
            <w:r>
              <w:instrText xml:space="preserve"> PAGEREF _Toc000510017 \h </w:instrText>
            </w:r>
            <w:r>
              <w:fldChar w:fldCharType="separate"/>
            </w:r>
            <w:r>
              <w:t>11</w:t>
            </w:r>
            <w:r>
              <w:fldChar w:fldCharType="end"/>
            </w:r>
          </w:hyperlink>
        </w:p>
        <w:p w14:paraId="7ED3FC18" w14:textId="77777777" w:rsidR="00736A71" w:rsidRDefault="00B77AB3">
          <w:pPr>
            <w:pStyle w:val="TDC2"/>
          </w:pPr>
          <w:hyperlink w:anchor="_Toc000510018" w:history="1">
            <w:r>
              <w:rPr>
                <w:color w:val="1C7C7D"/>
              </w:rPr>
              <w:t xml:space="preserve">6.6. </w:t>
            </w:r>
            <w:r>
              <w:t>Dosis y penetración en el LCR</w:t>
            </w:r>
            <w:r>
              <w:rPr>
                <w:color w:val="A7B5BC"/>
              </w:rPr>
              <w:tab/>
            </w:r>
            <w:r>
              <w:fldChar w:fldCharType="begin"/>
            </w:r>
            <w:r>
              <w:instrText xml:space="preserve"> PAGEREF _Toc000510018 \h </w:instrText>
            </w:r>
            <w:r>
              <w:fldChar w:fldCharType="separate"/>
            </w:r>
            <w:r>
              <w:t>11</w:t>
            </w:r>
            <w:r>
              <w:fldChar w:fldCharType="end"/>
            </w:r>
          </w:hyperlink>
        </w:p>
        <w:p w14:paraId="257B1E7B" w14:textId="77777777" w:rsidR="00736A71" w:rsidRDefault="00B77AB3">
          <w:pPr>
            <w:pStyle w:val="TDC1"/>
          </w:pPr>
          <w:hyperlink w:anchor="_Toc000510019" w:history="1">
            <w:r>
              <w:rPr>
                <w:color w:val="1C7C7D"/>
              </w:rPr>
              <w:t xml:space="preserve">7. </w:t>
            </w:r>
            <w:r>
              <w:t>Tratamiento dirigido y duración</w:t>
            </w:r>
            <w:r>
              <w:rPr>
                <w:b w:val="0"/>
                <w:color w:val="A7B5BC"/>
              </w:rPr>
              <w:tab/>
            </w:r>
            <w:r>
              <w:fldChar w:fldCharType="begin"/>
            </w:r>
            <w:r>
              <w:instrText xml:space="preserve"> PAGEREF _Toc000510019 \h </w:instrText>
            </w:r>
            <w:r>
              <w:fldChar w:fldCharType="separate"/>
            </w:r>
            <w:r>
              <w:t>12</w:t>
            </w:r>
            <w:r>
              <w:fldChar w:fldCharType="end"/>
            </w:r>
          </w:hyperlink>
        </w:p>
        <w:p w14:paraId="7F4D0E9A" w14:textId="77777777" w:rsidR="00736A71" w:rsidRDefault="00B77AB3">
          <w:pPr>
            <w:pStyle w:val="TDC1"/>
          </w:pPr>
          <w:hyperlink w:anchor="_Toc000510020" w:history="1">
            <w:r>
              <w:rPr>
                <w:color w:val="1C7C7D"/>
              </w:rPr>
              <w:t xml:space="preserve">8. </w:t>
            </w:r>
            <w:r>
              <w:t>Tratamiento adyuvante</w:t>
            </w:r>
            <w:r>
              <w:rPr>
                <w:b w:val="0"/>
                <w:color w:val="A7B5BC"/>
              </w:rPr>
              <w:tab/>
            </w:r>
            <w:r>
              <w:fldChar w:fldCharType="begin"/>
            </w:r>
            <w:r>
              <w:instrText xml:space="preserve"> PAGEREF _Toc000510020 \h </w:instrText>
            </w:r>
            <w:r>
              <w:fldChar w:fldCharType="separate"/>
            </w:r>
            <w:r>
              <w:t>14</w:t>
            </w:r>
            <w:r>
              <w:fldChar w:fldCharType="end"/>
            </w:r>
          </w:hyperlink>
        </w:p>
        <w:p w14:paraId="4A361372" w14:textId="77777777" w:rsidR="00736A71" w:rsidRDefault="00B77AB3">
          <w:pPr>
            <w:pStyle w:val="TDC2"/>
          </w:pPr>
          <w:hyperlink w:anchor="_Toc000510021" w:history="1">
            <w:r>
              <w:rPr>
                <w:color w:val="1C7C7D"/>
              </w:rPr>
              <w:t xml:space="preserve">8.1. </w:t>
            </w:r>
            <w:r>
              <w:t>Dexametasona</w:t>
            </w:r>
            <w:r>
              <w:rPr>
                <w:color w:val="A7B5BC"/>
              </w:rPr>
              <w:tab/>
            </w:r>
            <w:r>
              <w:fldChar w:fldCharType="begin"/>
            </w:r>
            <w:r>
              <w:instrText xml:space="preserve"> PAGEREF _Toc000510021 \h </w:instrText>
            </w:r>
            <w:r>
              <w:fldChar w:fldCharType="separate"/>
            </w:r>
            <w:r>
              <w:t>14</w:t>
            </w:r>
            <w:r>
              <w:fldChar w:fldCharType="end"/>
            </w:r>
          </w:hyperlink>
        </w:p>
        <w:p w14:paraId="1794CCAA" w14:textId="77777777" w:rsidR="00736A71" w:rsidRDefault="00B77AB3">
          <w:pPr>
            <w:pStyle w:val="TDC2"/>
          </w:pPr>
          <w:hyperlink w:anchor="_Toc000510022" w:history="1">
            <w:r>
              <w:rPr>
                <w:color w:val="1C7C7D"/>
              </w:rPr>
              <w:t xml:space="preserve">8.2. </w:t>
            </w:r>
            <w:r>
              <w:t>Soporte</w:t>
            </w:r>
            <w:r>
              <w:rPr>
                <w:color w:val="A7B5BC"/>
              </w:rPr>
              <w:tab/>
            </w:r>
            <w:r>
              <w:fldChar w:fldCharType="begin"/>
            </w:r>
            <w:r>
              <w:instrText xml:space="preserve"> PAGEREF _Toc000510022 \h </w:instrText>
            </w:r>
            <w:r>
              <w:fldChar w:fldCharType="separate"/>
            </w:r>
            <w:r>
              <w:t>15</w:t>
            </w:r>
            <w:r>
              <w:fldChar w:fldCharType="end"/>
            </w:r>
          </w:hyperlink>
        </w:p>
        <w:p w14:paraId="427C5DD7" w14:textId="77777777" w:rsidR="00736A71" w:rsidRDefault="00B77AB3">
          <w:pPr>
            <w:pStyle w:val="TDC2"/>
          </w:pPr>
          <w:hyperlink w:anchor="_Toc000510023" w:history="1">
            <w:r>
              <w:rPr>
                <w:color w:val="1C7C7D"/>
              </w:rPr>
              <w:t xml:space="preserve">8.3. </w:t>
            </w:r>
            <w:r>
              <w:t>Complic</w:t>
            </w:r>
            <w:r>
              <w:t>a</w:t>
            </w:r>
            <w:r>
              <w:t>ciones del adulto (ESCMID 2016, tabla 4.5)</w:t>
            </w:r>
            <w:r>
              <w:rPr>
                <w:color w:val="A7B5BC"/>
              </w:rPr>
              <w:tab/>
            </w:r>
            <w:r>
              <w:fldChar w:fldCharType="begin"/>
            </w:r>
            <w:r>
              <w:instrText xml:space="preserve"> PAGEREF _Toc000510023 \h </w:instrText>
            </w:r>
            <w:r>
              <w:fldChar w:fldCharType="separate"/>
            </w:r>
            <w:r>
              <w:t>16</w:t>
            </w:r>
            <w:r>
              <w:fldChar w:fldCharType="end"/>
            </w:r>
          </w:hyperlink>
        </w:p>
        <w:p w14:paraId="3828D0E8" w14:textId="77777777" w:rsidR="00736A71" w:rsidRDefault="00B77AB3">
          <w:pPr>
            <w:pStyle w:val="TDC1"/>
          </w:pPr>
          <w:hyperlink w:anchor="_Toc000510024" w:history="1">
            <w:r>
              <w:rPr>
                <w:color w:val="1C7C7D"/>
              </w:rPr>
              <w:t xml:space="preserve">9. </w:t>
            </w:r>
            <w:r>
              <w:t>Criterios de ingreso</w:t>
            </w:r>
            <w:r>
              <w:rPr>
                <w:b w:val="0"/>
                <w:color w:val="A7B5BC"/>
              </w:rPr>
              <w:tab/>
            </w:r>
            <w:r>
              <w:fldChar w:fldCharType="begin"/>
            </w:r>
            <w:r>
              <w:instrText xml:space="preserve"> PAGEREF _Toc000510024 \h </w:instrText>
            </w:r>
            <w:r>
              <w:fldChar w:fldCharType="separate"/>
            </w:r>
            <w:r>
              <w:t>17</w:t>
            </w:r>
            <w:r>
              <w:fldChar w:fldCharType="end"/>
            </w:r>
          </w:hyperlink>
        </w:p>
        <w:p w14:paraId="10E318EB" w14:textId="77777777" w:rsidR="00736A71" w:rsidRDefault="00B77AB3">
          <w:pPr>
            <w:pStyle w:val="TDC1"/>
          </w:pPr>
          <w:hyperlink w:anchor="_Toc000510025" w:history="1">
            <w:r>
              <w:rPr>
                <w:color w:val="1C7C7D"/>
              </w:rPr>
              <w:t xml:space="preserve">10. </w:t>
            </w:r>
            <w:r>
              <w:t>Profilaxis de contactos y salud pública</w:t>
            </w:r>
            <w:r>
              <w:rPr>
                <w:b w:val="0"/>
                <w:color w:val="A7B5BC"/>
              </w:rPr>
              <w:tab/>
            </w:r>
            <w:r>
              <w:fldChar w:fldCharType="begin"/>
            </w:r>
            <w:r>
              <w:instrText xml:space="preserve"> PAGEREF _Toc000510025 \h </w:instrText>
            </w:r>
            <w:r>
              <w:fldChar w:fldCharType="separate"/>
            </w:r>
            <w:r>
              <w:t>17</w:t>
            </w:r>
            <w:r>
              <w:fldChar w:fldCharType="end"/>
            </w:r>
          </w:hyperlink>
        </w:p>
        <w:p w14:paraId="733FB188" w14:textId="77777777" w:rsidR="00736A71" w:rsidRDefault="00B77AB3">
          <w:pPr>
            <w:pStyle w:val="TDC1"/>
          </w:pPr>
          <w:hyperlink w:anchor="_Toc000510026" w:history="1">
            <w:r>
              <w:rPr>
                <w:color w:val="1C7C7D"/>
              </w:rPr>
              <w:t xml:space="preserve">11. </w:t>
            </w:r>
            <w:r>
              <w:t>Estudio de predisposición, vacunación y seguimiento</w:t>
            </w:r>
            <w:r>
              <w:rPr>
                <w:b w:val="0"/>
                <w:color w:val="A7B5BC"/>
              </w:rPr>
              <w:tab/>
            </w:r>
            <w:r>
              <w:fldChar w:fldCharType="begin"/>
            </w:r>
            <w:r>
              <w:instrText xml:space="preserve"> PAGEREF _Toc000510026 \h </w:instrText>
            </w:r>
            <w:r>
              <w:fldChar w:fldCharType="separate"/>
            </w:r>
            <w:r>
              <w:t>18</w:t>
            </w:r>
            <w:r>
              <w:fldChar w:fldCharType="end"/>
            </w:r>
          </w:hyperlink>
        </w:p>
        <w:p w14:paraId="78D5B0F8" w14:textId="77777777" w:rsidR="00736A71" w:rsidRDefault="00B77AB3">
          <w:pPr>
            <w:pStyle w:val="TDC1"/>
          </w:pPr>
          <w:hyperlink w:anchor="_Toc000510028" w:history="1">
            <w:r>
              <w:t>Referencias</w:t>
            </w:r>
            <w:r>
              <w:rPr>
                <w:b w:val="0"/>
                <w:color w:val="A7B5BC"/>
              </w:rPr>
              <w:tab/>
            </w:r>
            <w:r>
              <w:fldChar w:fldCharType="begin"/>
            </w:r>
            <w:r>
              <w:instrText xml:space="preserve"> PAGEREF _Toc000510028 \h </w:instrText>
            </w:r>
            <w:r>
              <w:fldChar w:fldCharType="separate"/>
            </w:r>
            <w:r>
              <w:t>19</w:t>
            </w:r>
            <w:r>
              <w:fldChar w:fldCharType="end"/>
            </w:r>
          </w:hyperlink>
          <w:r>
            <w:fldChar w:fldCharType="end"/>
          </w:r>
        </w:p>
      </w:sdtContent>
    </w:sdt>
    <w:p w14:paraId="38F31966" w14:textId="77777777" w:rsidR="00736A71" w:rsidRDefault="00B77AB3">
      <w:pPr>
        <w:pStyle w:val="Ttulo1"/>
        <w:pageBreakBefore/>
      </w:pPr>
      <w:bookmarkStart w:id="0" w:name="_Toc000510000"/>
      <w:r>
        <w:rPr>
          <w:color w:val="1C7C7D"/>
        </w:rPr>
        <w:lastRenderedPageBreak/>
        <w:t xml:space="preserve">1. </w:t>
      </w:r>
      <w:r>
        <w:t>Definición y fisiopatología</w:t>
      </w:r>
      <w:bookmarkEnd w:id="0"/>
    </w:p>
    <w:p w14:paraId="612228E8" w14:textId="77777777" w:rsidR="00736A71" w:rsidRDefault="00B77AB3">
      <w:pPr>
        <w:keepLines/>
      </w:pPr>
      <w:r>
        <w:t xml:space="preserve">La </w:t>
      </w:r>
      <w:r>
        <w:rPr>
          <w:b/>
        </w:rPr>
        <w:t>meningitis</w:t>
      </w:r>
      <w:r>
        <w:t xml:space="preserve"> es una inflamación de las </w:t>
      </w:r>
      <w:proofErr w:type="spellStart"/>
      <w:r>
        <w:t>leptomeninges</w:t>
      </w:r>
      <w:proofErr w:type="spellEnd"/>
      <w:r>
        <w:t xml:space="preserve"> que suele acompañarse de </w:t>
      </w:r>
      <w:r>
        <w:rPr>
          <w:b/>
        </w:rPr>
        <w:t>aumento de leucocitos en el LCR</w:t>
      </w:r>
      <w:r>
        <w:t xml:space="preserve">. La presentación clásica combina </w:t>
      </w:r>
      <w:r>
        <w:rPr>
          <w:b/>
        </w:rPr>
        <w:t>cefalea, fiebre, rigidez de nuca y alteración del estado mental</w:t>
      </w:r>
      <w:r>
        <w:t xml:space="preserve">. </w:t>
      </w:r>
      <w:r>
        <w:t>Para describir el curso temporal, la SEMES 2012 distingue aguda (48‑72 h) y subaguda (&gt;3‑7 días); la crónica dura ≥4 semanas.</w:t>
      </w:r>
    </w:p>
    <w:p w14:paraId="768837BA" w14:textId="77777777" w:rsidR="00736A71" w:rsidRDefault="00B77AB3">
      <w:r>
        <w:t xml:space="preserve">La </w:t>
      </w:r>
      <w:r>
        <w:rPr>
          <w:b/>
        </w:rPr>
        <w:t>meningitis bacteriana aguda (MBA)</w:t>
      </w:r>
      <w:r>
        <w:t xml:space="preserve"> se produce habitualmente por </w:t>
      </w:r>
      <w:r>
        <w:rPr>
          <w:b/>
        </w:rPr>
        <w:t xml:space="preserve">colonización nasofaríngea </w:t>
      </w:r>
      <w:r>
        <w:rPr>
          <w:rFonts w:ascii="Calibri" w:hAnsi="Calibri" w:cs="Calibri"/>
          <w:b/>
        </w:rPr>
        <w:t>→</w:t>
      </w:r>
      <w:r>
        <w:rPr>
          <w:b/>
        </w:rPr>
        <w:t xml:space="preserve"> bacteriemia </w:t>
      </w:r>
      <w:r>
        <w:rPr>
          <w:rFonts w:ascii="Calibri" w:hAnsi="Calibri" w:cs="Calibri"/>
          <w:b/>
        </w:rPr>
        <w:t>→</w:t>
      </w:r>
      <w:r>
        <w:rPr>
          <w:b/>
        </w:rPr>
        <w:t xml:space="preserve"> paso de la barrera hematoencefálica</w:t>
      </w:r>
      <w:r>
        <w:t>. Se distinguen cuatro pasos: colonización de las mucosas, invasión del torrente sanguí</w:t>
      </w:r>
      <w:r>
        <w:t xml:space="preserve">neo (favorecida por una infección vírica previa, el tabaco, el alcohol, la asplenia, el déficit de complemento y la </w:t>
      </w:r>
      <w:proofErr w:type="spellStart"/>
      <w:r>
        <w:t>agammaglobulinemia</w:t>
      </w:r>
      <w:proofErr w:type="spellEnd"/>
      <w:r>
        <w:t xml:space="preserve">), supervivencia intravascular gracias a la cápsula </w:t>
      </w:r>
      <w:proofErr w:type="spellStart"/>
      <w:r>
        <w:t>polisacárida</w:t>
      </w:r>
      <w:proofErr w:type="spellEnd"/>
      <w:r>
        <w:t xml:space="preserve"> e invasión meníngea a través de las vénulas </w:t>
      </w:r>
      <w:proofErr w:type="spellStart"/>
      <w:r>
        <w:t>poscapilares</w:t>
      </w:r>
      <w:proofErr w:type="spellEnd"/>
      <w:r>
        <w:t xml:space="preserve">. También puede llegar </w:t>
      </w:r>
      <w:r>
        <w:rPr>
          <w:b/>
        </w:rPr>
        <w:t>por contigüidad</w:t>
      </w:r>
      <w:r>
        <w:t xml:space="preserve"> (otitis, sinusitis, mastoiditis) o </w:t>
      </w:r>
      <w:r>
        <w:rPr>
          <w:b/>
        </w:rPr>
        <w:t>por una vía directa</w:t>
      </w:r>
      <w:r>
        <w:t>: fí</w:t>
      </w:r>
      <w:r>
        <w:t xml:space="preserve">stula de LCR tras una fractura de la base del cráneo, implante coclear o neurocirugía. En el espacio subaracnoideo las bacterias proliferan y desencadenan una respuesta inflamatoria intensa con reclutamiento de neutrófilos. Esa respuesta es la que produce </w:t>
      </w:r>
      <w:r>
        <w:rPr>
          <w:b/>
        </w:rPr>
        <w:t>edema cerebral, hipertensión intracraneal (HTIC), vasculitis e infartos, trombosis de senos venosos, hidrocefalia y daño coclear</w:t>
      </w:r>
      <w:r>
        <w:t xml:space="preserve">. En modelos experimentales, el pronóstico de la MBA depende de la intensidad de la inflamación subaracnoidea, y la </w:t>
      </w:r>
      <w:r>
        <w:rPr>
          <w:b/>
        </w:rPr>
        <w:t>lisis bacteriana que provoca el propio antibiótico</w:t>
      </w:r>
      <w:r>
        <w:t xml:space="preserve"> la amplifica. Por eso en los grandes ensayos la dexametasona se dio antes o con la primera dosis de antibiótico (ESCMID 2016).</w:t>
      </w:r>
    </w:p>
    <w:p w14:paraId="62CEC68A" w14:textId="77777777" w:rsidR="00736A71" w:rsidRDefault="00B77AB3">
      <w:pPr>
        <w:pStyle w:val="Ttulo2"/>
      </w:pPr>
      <w:bookmarkStart w:id="1" w:name="_Toc000510001"/>
      <w:r>
        <w:rPr>
          <w:color w:val="1C7C7D"/>
        </w:rPr>
        <w:t xml:space="preserve">1.1. </w:t>
      </w:r>
      <w:r>
        <w:t>Clínica</w:t>
      </w:r>
      <w:bookmarkEnd w:id="1"/>
    </w:p>
    <w:p w14:paraId="31A39298" w14:textId="77777777" w:rsidR="00736A71" w:rsidRDefault="00B77AB3">
      <w:pPr>
        <w:keepLines/>
      </w:pPr>
      <w:r>
        <w:t xml:space="preserve">La </w:t>
      </w:r>
      <w:r>
        <w:rPr>
          <w:b/>
        </w:rPr>
        <w:t>combinación de alarma</w:t>
      </w:r>
      <w:r>
        <w:t xml:space="preserve"> de la NICE es </w:t>
      </w:r>
      <w:r>
        <w:rPr>
          <w:b/>
        </w:rPr>
        <w:t>FIEBRE + CEFALEA + RIGIDEZ DE NUCA + ALTERACIÓN DEL NIVEL DE CONSCIENCIA O DE LA COGNICIÓN (confusión, delirium)</w:t>
      </w:r>
      <w:r>
        <w:t xml:space="preserve">. Con las cuatro se debe </w:t>
      </w:r>
      <w:r>
        <w:rPr>
          <w:b/>
        </w:rPr>
        <w:t>mantener una alta sospecha clínica</w:t>
      </w:r>
      <w:r>
        <w:t xml:space="preserve"> de una MBA, aunque la sospecha fuerte también puede basarse en la valoración clínica sin la combinación completa (NICE 1.1.4‑1.1.5).</w:t>
      </w:r>
    </w:p>
    <w:p w14:paraId="6B3BB1B9" w14:textId="77777777" w:rsidR="00736A71" w:rsidRDefault="00B77AB3">
      <w:pPr>
        <w:pStyle w:val="Prrafodelista"/>
        <w:keepLines/>
        <w:numPr>
          <w:ilvl w:val="0"/>
          <w:numId w:val="10"/>
        </w:numPr>
        <w:spacing w:after="80"/>
      </w:pPr>
      <w:r>
        <w:rPr>
          <w:b/>
          <w:color w:val="C00000"/>
        </w:rPr>
        <w:t>La ausencia de los signos clásicos NO descarta la MBA</w:t>
      </w:r>
      <w:r>
        <w:t xml:space="preserve"> (ESCMID, grado A). La tríada clásica (fiebre, rigidez de nuca y alteración de la consciencia) solo está en el </w:t>
      </w:r>
      <w:r>
        <w:rPr>
          <w:b/>
        </w:rPr>
        <w:t>41‑51 %</w:t>
      </w:r>
      <w:r>
        <w:t xml:space="preserve"> de los adultos (ESCMID; 44 % según la SEMES 2012; ≈40 % según la SEN 2025, que añade que el 95 % tiene al menos dos de sus elementos). Para predecir pleocitosis, la sensibilidad es baja: </w:t>
      </w:r>
      <w:r>
        <w:rPr>
          <w:b/>
        </w:rPr>
        <w:t>rigidez de nuca 31 %, Kernig 11 %, Brudzinski 9 %</w:t>
      </w:r>
      <w:r>
        <w:t xml:space="preserve"> (ESCMID).</w:t>
      </w:r>
    </w:p>
    <w:p w14:paraId="6C1E049C" w14:textId="77777777" w:rsidR="00736A71" w:rsidRDefault="00B77AB3">
      <w:pPr>
        <w:pStyle w:val="Prrafodelista"/>
        <w:keepLines/>
        <w:numPr>
          <w:ilvl w:val="0"/>
          <w:numId w:val="10"/>
        </w:numPr>
        <w:spacing w:after="80"/>
      </w:pPr>
      <w:r>
        <w:t xml:space="preserve">Frecuencia de cada dato: cefalea intensa 84 %, fiebre &gt;38 °C 74 %, rigidez de nuca 74 %, GCS &lt;14: 71 %, náuseas 62 %; con menos frecuencia, crisis 23 %, afasia o déficit motor focal 22 %, coma 13 %, pares craneales 9 %, exantema 8 % y papiledema 4 %. Suele instaurarse en </w:t>
      </w:r>
      <w:r>
        <w:rPr>
          <w:b/>
        </w:rPr>
        <w:t>24‑72 h</w:t>
      </w:r>
      <w:r>
        <w:t>, aunque la meningocócica puede ser fulminante en pocas horas (síndrome de Waterhouse-Friderichsen).</w:t>
      </w:r>
    </w:p>
    <w:p w14:paraId="56A3BEFE" w14:textId="77777777" w:rsidR="00736A71" w:rsidRDefault="00B77AB3">
      <w:pPr>
        <w:pStyle w:val="Prrafodelista"/>
        <w:keepNext/>
        <w:keepLines/>
        <w:numPr>
          <w:ilvl w:val="0"/>
          <w:numId w:val="10"/>
        </w:numPr>
        <w:spacing w:after="80"/>
      </w:pPr>
      <w:r>
        <w:rPr>
          <w:b/>
          <w:color w:val="17384D"/>
        </w:rPr>
        <w:t>Pistas de etiología</w:t>
      </w:r>
      <w:r>
        <w:t xml:space="preserve">: ver la tabla de la sección 3.</w:t>
      </w:r>
    </w:p>
    <w:p w14:paraId="65990F11" w14:textId="77777777" w:rsidR="00736A71" w:rsidRDefault="00B77AB3">
      <w:pPr>
        <w:pStyle w:val="Prrafodelista"/>
        <w:keepLines/>
        <w:numPr>
          <w:ilvl w:val="0"/>
          <w:numId w:val="10"/>
        </w:numPr>
        <w:spacing w:after="80"/>
      </w:pPr>
      <w:r>
        <w:rPr>
          <w:b/>
          <w:color w:val="17384D"/>
        </w:rPr>
        <w:lastRenderedPageBreak/>
        <w:t>Petequias o púrpura</w:t>
      </w:r>
      <w:r>
        <w:t xml:space="preserve">: aparecen en el </w:t>
      </w:r>
      <w:r>
        <w:rPr>
          <w:b/>
        </w:rPr>
        <w:t>20‑52 %</w:t>
      </w:r>
      <w:r>
        <w:t xml:space="preserve"> de los adultos con MBA y, cuando están, </w:t>
      </w:r>
      <w:r>
        <w:rPr>
          <w:b/>
        </w:rPr>
        <w:t>son meningocócicas en &gt;90 %</w:t>
      </w:r>
      <w:r>
        <w:t xml:space="preserve"> (ESCMID). </w:t>
      </w:r>
      <w:r>
        <w:rPr>
          <w:b/>
        </w:rPr>
        <w:t>No descartar la enfermedad meningocócica por la ausencia de exantema</w:t>
      </w:r>
      <w:r>
        <w:t xml:space="preserve"> (NICE 1.1.10).</w:t>
      </w:r>
    </w:p>
    <w:p w14:paraId="3BE3E7ED" w14:textId="77777777" w:rsidR="00736A71" w:rsidRDefault="00B77AB3">
      <w:pPr>
        <w:pStyle w:val="Prrafodelista"/>
        <w:keepLines/>
        <w:numPr>
          <w:ilvl w:val="0"/>
          <w:numId w:val="10"/>
        </w:numPr>
        <w:spacing w:after="80"/>
      </w:pPr>
      <w:r>
        <w:t xml:space="preserve">Buscar en la exploración (SEMES 2012): </w:t>
      </w:r>
      <w:r>
        <w:rPr>
          <w:b/>
        </w:rPr>
        <w:t>estabilidad hemodinámica y constantes</w:t>
      </w:r>
      <w:r>
        <w:t xml:space="preserve"> (PA, temperatura, FC y FR), </w:t>
      </w:r>
      <w:r>
        <w:rPr>
          <w:b/>
        </w:rPr>
        <w:t>focos asociados</w:t>
      </w:r>
      <w:r>
        <w:t xml:space="preserve"> (otitis, sinusitis, neumonía, endocarditis), </w:t>
      </w:r>
      <w:r>
        <w:rPr>
          <w:b/>
        </w:rPr>
        <w:t>lesiones cutáneas</w:t>
      </w:r>
      <w:r>
        <w:t xml:space="preserve">, </w:t>
      </w:r>
      <w:r>
        <w:rPr>
          <w:b/>
        </w:rPr>
        <w:t>nivel de consciencia (GCS)</w:t>
      </w:r>
      <w:r>
        <w:t xml:space="preserve">, </w:t>
      </w:r>
      <w:proofErr w:type="spellStart"/>
      <w:r>
        <w:rPr>
          <w:b/>
        </w:rPr>
        <w:t>focalidad</w:t>
      </w:r>
      <w:proofErr w:type="spellEnd"/>
      <w:r>
        <w:t xml:space="preserve"> y </w:t>
      </w:r>
      <w:r>
        <w:rPr>
          <w:b/>
        </w:rPr>
        <w:t>datos de HTIC</w:t>
      </w:r>
      <w:r>
        <w:t xml:space="preserve"> (papiledema, HTA, bradicardia). Hacer otoscopia y fondo de ojo.</w:t>
      </w:r>
    </w:p>
    <w:p w14:paraId="31454664" w14:textId="77777777" w:rsidR="00736A71" w:rsidRDefault="00B77AB3">
      <w:pPr>
        <w:pStyle w:val="Prrafodelista"/>
        <w:keepLines/>
        <w:numPr>
          <w:ilvl w:val="0"/>
          <w:numId w:val="10"/>
        </w:numPr>
        <w:spacing w:after="80"/>
      </w:pPr>
      <w:r>
        <w:t xml:space="preserve">Presentaciones atípicas que dificultan el diagnóstico (NICE, tabla 2; SEMES 2012): en el </w:t>
      </w:r>
      <w:r>
        <w:rPr>
          <w:b/>
        </w:rPr>
        <w:t>anciano</w:t>
      </w:r>
      <w:r>
        <w:t xml:space="preserve">, menos fiebre y rigidez, y la meningitis se confunde con un delirium; en el </w:t>
      </w:r>
      <w:r>
        <w:rPr>
          <w:b/>
        </w:rPr>
        <w:t>joven</w:t>
      </w:r>
      <w:r>
        <w:t xml:space="preserve">, la alteración de conducta se atribuye a alcohol o drogas; en el </w:t>
      </w:r>
      <w:r>
        <w:rPr>
          <w:b/>
        </w:rPr>
        <w:t>neutropénico</w:t>
      </w:r>
      <w:r>
        <w:t xml:space="preserve">, la reacción inflamatoria es escasa. La rigidez de nuca es difícil de valorar si hay demencia o artrosis cervical. </w:t>
      </w:r>
      <w:r>
        <w:rPr>
          <w:b/>
        </w:rPr>
        <w:t>La fiebre puede faltar</w:t>
      </w:r>
      <w:r>
        <w:t xml:space="preserve"> en ancianos, inmunodeprimidos, pacientes en shock o que toman antitérmicos, y la rigidez de nuca en niños, ancianos e inmunodeprimidos.</w:t>
      </w:r>
    </w:p>
    <w:p w14:paraId="49AA3542" w14:textId="77777777" w:rsidR="00736A71" w:rsidRDefault="00B77AB3">
      <w:pPr>
        <w:pStyle w:val="Ttulo2"/>
      </w:pPr>
      <w:bookmarkStart w:id="2" w:name="_Toc000510002"/>
      <w:r>
        <w:rPr>
          <w:color w:val="1C7C7D"/>
        </w:rPr>
        <w:t xml:space="preserve">1.2. </w:t>
      </w:r>
      <w:r>
        <w:t>Diagnóstico</w:t>
      </w:r>
      <w:bookmarkEnd w:id="2"/>
    </w:p>
    <w:p w14:paraId="21C9F108" w14:textId="77777777" w:rsidR="00736A71" w:rsidRDefault="00B77AB3">
      <w:pPr>
        <w:keepLines/>
      </w:pPr>
      <w:r>
        <w:t xml:space="preserve">Se confirma con la </w:t>
      </w:r>
      <w:r>
        <w:rPr>
          <w:b/>
          <w:color w:val="C00000"/>
        </w:rPr>
        <w:t>combinación de clínica + analítica de sangre + LCR</w:t>
      </w:r>
      <w:r>
        <w:rPr>
          <w:color w:val="C00000"/>
        </w:rPr>
        <w:t>.</w:t>
      </w:r>
    </w:p>
    <w:p w14:paraId="5B308164" w14:textId="77777777" w:rsidR="00736A71" w:rsidRDefault="00B77AB3">
      <w:pPr>
        <w:keepLines/>
      </w:pPr>
      <w:r>
        <w:t xml:space="preserve">El estudio del LCR incluye </w:t>
      </w:r>
      <w:r>
        <w:rPr>
          <w:b/>
        </w:rPr>
        <w:t>Gram, cultivo y PCR</w:t>
      </w:r>
      <w:r>
        <w:t>; la PCR es especialmente útil cuando el Gram o el cultivo son negativos y su rendimiento no se altera por el antibiótico previo.</w:t>
      </w:r>
    </w:p>
    <w:p w14:paraId="6EE0D016" w14:textId="77777777" w:rsidR="00736A71" w:rsidRDefault="00B77AB3">
      <w:r>
        <w:t xml:space="preserve">Diagnóstico diferencial: la mayoría de los pacientes con sospecha de MBA acaba con otro diagnóstico, sobre todo </w:t>
      </w:r>
      <w:r>
        <w:rPr>
          <w:b/>
        </w:rPr>
        <w:t>meningitis vírica</w:t>
      </w:r>
      <w:r>
        <w:t xml:space="preserve"> (ESCMID), con LCR habitualmente linfocitario y </w:t>
      </w:r>
      <w:proofErr w:type="spellStart"/>
      <w:r>
        <w:t>glucorraquia</w:t>
      </w:r>
      <w:proofErr w:type="spellEnd"/>
      <w:r>
        <w:t xml:space="preserve"> normal o ligeramente disminuida. Muchos signos de la MBA aparecen también en </w:t>
      </w:r>
      <w:r>
        <w:rPr>
          <w:b/>
        </w:rPr>
        <w:t>otras sepsis, hemorragia o isquemia intracraneal y neumonía</w:t>
      </w:r>
      <w:r>
        <w:t xml:space="preserve"> (NICE 1.1.17). Hay que considerar también la meningitis vírica (que en las primeras 24 h puede tener predominio de neutrófilos), la tuberculosa y la fúngica (de curso subagudo), las infecciones </w:t>
      </w:r>
      <w:proofErr w:type="spellStart"/>
      <w:r>
        <w:t>parameníngeas</w:t>
      </w:r>
      <w:proofErr w:type="spellEnd"/>
      <w:r>
        <w:t xml:space="preserve">, las rickettsiosis, la meningitis carcinomatosa y la </w:t>
      </w:r>
      <w:r>
        <w:rPr>
          <w:b/>
        </w:rPr>
        <w:t>meningitis aséptica por fármacos</w:t>
      </w:r>
      <w:r>
        <w:t xml:space="preserve"> (AINE, antibióticos, quimioterapia intratecal e </w:t>
      </w:r>
      <w:r>
        <w:rPr>
          <w:b/>
        </w:rPr>
        <w:t>inhibidores de puntos de control inmunitario</w:t>
      </w:r>
      <w:r>
        <w:t xml:space="preserve">). La </w:t>
      </w:r>
      <w:r>
        <w:rPr>
          <w:b/>
        </w:rPr>
        <w:t>meningitis asociada a cuidados sanitarios</w:t>
      </w:r>
      <w:r>
        <w:t xml:space="preserve"> (neurocirugía, derivaciones de LCR, traumatismo penetrante) tiene otra etiología (estafilococos, bacilos gramnegativos) y otra pauta empírica (ver capítulo 6).</w:t>
      </w:r>
    </w:p>
    <w:p w14:paraId="419BD860" w14:textId="77777777" w:rsidR="00736A71" w:rsidRDefault="00B77AB3">
      <w:pPr>
        <w:pStyle w:val="Ttulo1"/>
      </w:pPr>
      <w:bookmarkStart w:id="3" w:name="_Toc000510003"/>
      <w:r>
        <w:rPr>
          <w:color w:val="1C7C7D"/>
        </w:rPr>
        <w:t xml:space="preserve">2. </w:t>
      </w:r>
      <w:r>
        <w:t>Epidemiología</w:t>
      </w:r>
      <w:bookmarkEnd w:id="3"/>
    </w:p>
    <w:p w14:paraId="12C8A26F" w14:textId="77777777" w:rsidR="00736A71" w:rsidRDefault="00B77AB3">
      <w:pPr>
        <w:pStyle w:val="Prrafodelista"/>
        <w:keepLines/>
        <w:numPr>
          <w:ilvl w:val="0"/>
          <w:numId w:val="12"/>
        </w:numPr>
        <w:spacing w:after="80"/>
      </w:pPr>
      <w:r>
        <w:rPr>
          <w:b/>
        </w:rPr>
        <w:t>Incidencia</w:t>
      </w:r>
      <w:r>
        <w:t xml:space="preserve"> de MBA en adultos: </w:t>
      </w:r>
      <w:r>
        <w:rPr>
          <w:b/>
        </w:rPr>
        <w:t>4‑8 casos/100.000 habitantes/año</w:t>
      </w:r>
      <w:r>
        <w:t xml:space="preserve">, el </w:t>
      </w:r>
      <w:r>
        <w:rPr>
          <w:b/>
        </w:rPr>
        <w:t xml:space="preserve">60‑80 % por </w:t>
      </w:r>
      <w:r>
        <w:rPr>
          <w:b/>
          <w:i/>
        </w:rPr>
        <w:t xml:space="preserve">S. </w:t>
      </w:r>
      <w:proofErr w:type="spellStart"/>
      <w:r>
        <w:rPr>
          <w:b/>
          <w:i/>
        </w:rPr>
        <w:t>pneumoniae</w:t>
      </w:r>
      <w:proofErr w:type="spellEnd"/>
      <w:r>
        <w:rPr>
          <w:b/>
        </w:rPr>
        <w:t xml:space="preserve"> y </w:t>
      </w:r>
      <w:r>
        <w:rPr>
          <w:b/>
          <w:i/>
        </w:rPr>
        <w:t xml:space="preserve">N. </w:t>
      </w:r>
      <w:proofErr w:type="spellStart"/>
      <w:r>
        <w:rPr>
          <w:b/>
          <w:i/>
        </w:rPr>
        <w:t>meningitidis</w:t>
      </w:r>
      <w:proofErr w:type="spellEnd"/>
      <w:r>
        <w:t xml:space="preserve"> (SEMES 2012). </w:t>
      </w:r>
      <w:r>
        <w:rPr>
          <w:b/>
        </w:rPr>
        <w:t>La mayoría de las meningitis que llegan a urgencias son víricas</w:t>
      </w:r>
      <w:r>
        <w:t xml:space="preserve"> (SEMES 2012).</w:t>
      </w:r>
    </w:p>
    <w:p w14:paraId="360C41B5" w14:textId="77777777" w:rsidR="00736A71" w:rsidRDefault="00B77AB3">
      <w:pPr>
        <w:pStyle w:val="Prrafodelista"/>
        <w:keepLines/>
        <w:numPr>
          <w:ilvl w:val="0"/>
          <w:numId w:val="12"/>
        </w:numPr>
        <w:spacing w:after="80"/>
      </w:pPr>
      <w:r>
        <w:t xml:space="preserve">Tras las vacunas conjugadas, </w:t>
      </w:r>
      <w:r>
        <w:rPr>
          <w:b/>
          <w:i/>
        </w:rPr>
        <w:t xml:space="preserve">H. </w:t>
      </w:r>
      <w:proofErr w:type="spellStart"/>
      <w:r>
        <w:rPr>
          <w:b/>
          <w:i/>
        </w:rPr>
        <w:t>influenzae</w:t>
      </w:r>
      <w:proofErr w:type="spellEnd"/>
      <w:r>
        <w:rPr>
          <w:b/>
        </w:rPr>
        <w:t xml:space="preserve"> tipo b ha prácticamente desaparecido</w:t>
      </w:r>
      <w:r>
        <w:t xml:space="preserve"> y la MBA </w:t>
      </w:r>
      <w:r>
        <w:rPr>
          <w:b/>
        </w:rPr>
        <w:t>afecta hoy más a adultos que a niños</w:t>
      </w:r>
      <w:r>
        <w:t xml:space="preserve">. El meningococo del adulto es sobre todo del </w:t>
      </w:r>
      <w:proofErr w:type="spellStart"/>
      <w:r>
        <w:rPr>
          <w:b/>
        </w:rPr>
        <w:t>serogrupo</w:t>
      </w:r>
      <w:proofErr w:type="spellEnd"/>
      <w:r>
        <w:rPr>
          <w:b/>
        </w:rPr>
        <w:t xml:space="preserve"> B</w:t>
      </w:r>
      <w:r>
        <w:t xml:space="preserve"> (ESCMID).</w:t>
      </w:r>
    </w:p>
    <w:p w14:paraId="0F419E3D" w14:textId="77777777" w:rsidR="00736A71" w:rsidRDefault="00B77AB3">
      <w:pPr>
        <w:pStyle w:val="Prrafodelista"/>
        <w:keepLines/>
        <w:numPr>
          <w:ilvl w:val="0"/>
          <w:numId w:val="12"/>
        </w:numPr>
        <w:spacing w:after="80"/>
      </w:pPr>
      <w:r>
        <w:t xml:space="preserve">La </w:t>
      </w:r>
      <w:r>
        <w:rPr>
          <w:b/>
        </w:rPr>
        <w:t>enfermedad meningocócica</w:t>
      </w:r>
      <w:r>
        <w:t xml:space="preserve"> bajó </w:t>
      </w:r>
      <w:r>
        <w:rPr>
          <w:b/>
        </w:rPr>
        <w:t>más de un 50 % en España en 2020‑2022</w:t>
      </w:r>
      <w:r>
        <w:t>, con las medidas de protección de la pandemia de COVID-19.</w:t>
      </w:r>
    </w:p>
    <w:p w14:paraId="636049B3" w14:textId="77777777" w:rsidR="00736A71" w:rsidRDefault="00B77AB3">
      <w:pPr>
        <w:pStyle w:val="Prrafodelista"/>
        <w:keepLines/>
        <w:numPr>
          <w:ilvl w:val="0"/>
          <w:numId w:val="12"/>
        </w:numPr>
        <w:spacing w:after="80"/>
      </w:pPr>
      <w:r>
        <w:rPr>
          <w:b/>
        </w:rPr>
        <w:t>Mortalidad</w:t>
      </w:r>
      <w:r>
        <w:t xml:space="preserve"> de la MBA del adulto: </w:t>
      </w:r>
      <w:r>
        <w:rPr>
          <w:b/>
        </w:rPr>
        <w:t>hasta el 18‑25 %</w:t>
      </w:r>
      <w:r>
        <w:t xml:space="preserve"> (SEMES 2012); </w:t>
      </w:r>
      <w:r>
        <w:rPr>
          <w:b/>
        </w:rPr>
        <w:t>en torno al 30 %</w:t>
      </w:r>
      <w:r>
        <w:t xml:space="preserve"> según la SEN 2025.</w:t>
      </w:r>
    </w:p>
    <w:p w14:paraId="7FF83310" w14:textId="77777777" w:rsidR="00736A71" w:rsidRDefault="00B77AB3">
      <w:pPr>
        <w:pStyle w:val="Prrafodelista"/>
        <w:keepLines/>
        <w:numPr>
          <w:ilvl w:val="0"/>
          <w:numId w:val="12"/>
        </w:numPr>
        <w:spacing w:after="80"/>
      </w:pPr>
      <w:r>
        <w:rPr>
          <w:b/>
          <w:color w:val="17384D"/>
        </w:rPr>
        <w:t>Factores de mal pronóstico</w:t>
      </w:r>
      <w:r>
        <w:t xml:space="preserve">: </w:t>
      </w:r>
      <w:r>
        <w:rPr>
          <w:b/>
        </w:rPr>
        <w:t>edad avanzada</w:t>
      </w:r>
      <w:r>
        <w:t xml:space="preserve">, otitis o sinusitis, </w:t>
      </w:r>
      <w:r>
        <w:rPr>
          <w:b/>
        </w:rPr>
        <w:t>GCS bajo al ingreso</w:t>
      </w:r>
      <w:r>
        <w:t xml:space="preserve">, </w:t>
      </w:r>
      <w:r>
        <w:rPr>
          <w:b/>
        </w:rPr>
        <w:t>taquicardia</w:t>
      </w:r>
      <w:r>
        <w:t xml:space="preserve"> o compromiso hemodinámico, hemocultivos positivos, VSG alta, </w:t>
      </w:r>
      <w:r>
        <w:rPr>
          <w:b/>
        </w:rPr>
        <w:t>trombopenia</w:t>
      </w:r>
      <w:r>
        <w:t xml:space="preserve">, </w:t>
      </w:r>
      <w:r>
        <w:rPr>
          <w:b/>
        </w:rPr>
        <w:t>LCR con &lt;100 células/µL</w:t>
      </w:r>
      <w:r>
        <w:t xml:space="preserve"> y </w:t>
      </w:r>
      <w:r>
        <w:rPr>
          <w:b/>
        </w:rPr>
        <w:t>crisis en las primeras 24 h</w:t>
      </w:r>
      <w:r>
        <w:t xml:space="preserve"> o estado epiléptico.</w:t>
      </w:r>
    </w:p>
    <w:p w14:paraId="6FCBE140" w14:textId="77777777" w:rsidR="00736A71" w:rsidRDefault="00B77AB3">
      <w:pPr>
        <w:pStyle w:val="Prrafodelista"/>
        <w:keepLines/>
        <w:numPr>
          <w:ilvl w:val="0"/>
          <w:numId w:val="12"/>
        </w:numPr>
        <w:spacing w:after="80"/>
      </w:pPr>
      <w:r>
        <w:rPr>
          <w:b/>
        </w:rPr>
        <w:lastRenderedPageBreak/>
        <w:t>Secuelas</w:t>
      </w:r>
      <w:r>
        <w:t xml:space="preserve"> (ESCMID): </w:t>
      </w:r>
      <w:r>
        <w:rPr>
          <w:b/>
        </w:rPr>
        <w:t>un tercio de los supervivientes</w:t>
      </w:r>
      <w:r>
        <w:t xml:space="preserve"> tiene quejas persistentes. Hay </w:t>
      </w:r>
      <w:r>
        <w:rPr>
          <w:b/>
        </w:rPr>
        <w:t>hipoacusia neurosensorial en el 5‑35 %</w:t>
      </w:r>
      <w:r>
        <w:t xml:space="preserve"> (bilateral grave en el 4 %) y, en adultos, </w:t>
      </w:r>
      <w:r>
        <w:rPr>
          <w:b/>
        </w:rPr>
        <w:t>déficit cognitivo en el 32 %</w:t>
      </w:r>
      <w:r>
        <w:t xml:space="preserve"> frente al 6 % de los controles, sobre todo enlentecimiento. </w:t>
      </w:r>
      <w:r>
        <w:rPr>
          <w:i/>
        </w:rPr>
        <w:t>La SEN 2025 cifra las secuelas auditivas o vestibulares en el 10‑30 %.</w:t>
      </w:r>
    </w:p>
    <w:p w14:paraId="7B8D3893" w14:textId="77777777" w:rsidR="00736A71" w:rsidRDefault="00B77AB3">
      <w:pPr>
        <w:pStyle w:val="Prrafodelista"/>
        <w:keepLines/>
        <w:numPr>
          <w:ilvl w:val="0"/>
          <w:numId w:val="12"/>
        </w:numPr>
        <w:spacing w:after="80"/>
      </w:pPr>
      <w:r>
        <w:rPr>
          <w:b/>
        </w:rPr>
        <w:t>Evolución hospitalaria</w:t>
      </w:r>
      <w:r>
        <w:t xml:space="preserve"> (ESCMID): </w:t>
      </w:r>
      <w:r>
        <w:rPr>
          <w:b/>
        </w:rPr>
        <w:t xml:space="preserve">la mitad de los adultos desarrolla </w:t>
      </w:r>
      <w:proofErr w:type="spellStart"/>
      <w:r>
        <w:rPr>
          <w:b/>
        </w:rPr>
        <w:t>focalidad</w:t>
      </w:r>
      <w:proofErr w:type="spellEnd"/>
      <w:r>
        <w:t xml:space="preserve"> durante el ingreso y </w:t>
      </w:r>
      <w:r>
        <w:rPr>
          <w:b/>
        </w:rPr>
        <w:t>un tercio, insuficiencia hemodinámica o respiratoria</w:t>
      </w:r>
      <w:r>
        <w:t>.</w:t>
      </w:r>
    </w:p>
    <w:p w14:paraId="73C067FE" w14:textId="77777777" w:rsidR="00736A71" w:rsidRDefault="00B77AB3">
      <w:pPr>
        <w:pStyle w:val="Prrafodelista"/>
        <w:keepLines/>
        <w:numPr>
          <w:ilvl w:val="0"/>
          <w:numId w:val="12"/>
        </w:numPr>
        <w:spacing w:after="80"/>
      </w:pPr>
      <w:r>
        <w:rPr>
          <w:b/>
          <w:color w:val="17384D"/>
        </w:rPr>
        <w:t>Recurrencia</w:t>
      </w:r>
      <w:r>
        <w:t xml:space="preserve">: </w:t>
      </w:r>
      <w:r>
        <w:rPr>
          <w:b/>
        </w:rPr>
        <w:t>1‑5 %</w:t>
      </w:r>
      <w:r>
        <w:t xml:space="preserve"> tras una meningitis neumocócica (ESCMID).</w:t>
      </w:r>
    </w:p>
    <w:p w14:paraId="37628092" w14:textId="77777777" w:rsidR="00736A71" w:rsidRDefault="00B77AB3">
      <w:pPr>
        <w:pStyle w:val="Prrafodelista"/>
        <w:keepLines/>
        <w:numPr>
          <w:ilvl w:val="0"/>
          <w:numId w:val="12"/>
        </w:numPr>
        <w:spacing w:after="80"/>
      </w:pPr>
      <w:r>
        <w:t xml:space="preserve">Tiempo hasta el antibiótico: </w:t>
      </w:r>
      <w:r>
        <w:rPr>
          <w:b/>
        </w:rPr>
        <w:t>retrasarlo se asocia con fuerza a muerte y mal pronóstico, y el retraso suele deberse a la TC antes de la PL</w:t>
      </w:r>
      <w:r>
        <w:t xml:space="preserve"> (ESCMID). En la revisión de la NICE, dar el antibiótico en cuanto se sospecha redujo la mortalidad en adultos, y el deterioro funcional cuando se comparó con retrasos &gt;6 h.</w:t>
      </w:r>
    </w:p>
    <w:p w14:paraId="58EB4046" w14:textId="77777777" w:rsidR="00736A71" w:rsidRDefault="00B77AB3">
      <w:pPr>
        <w:pStyle w:val="Ttulo1"/>
      </w:pPr>
      <w:bookmarkStart w:id="4" w:name="_Toc000510004"/>
      <w:r>
        <w:rPr>
          <w:color w:val="1C7C7D"/>
        </w:rPr>
        <w:t xml:space="preserve">3. </w:t>
      </w:r>
      <w:r>
        <w:t>Etiología</w:t>
      </w:r>
      <w:bookmarkEnd w:id="4"/>
    </w:p>
    <w:p w14:paraId="540D9219" w14:textId="77777777" w:rsidR="00736A71" w:rsidRDefault="00B77AB3">
      <w:pPr>
        <w:keepLines/>
      </w:pPr>
      <w:proofErr w:type="spellStart"/>
      <w:r>
        <w:rPr>
          <w:b/>
          <w:i/>
        </w:rPr>
        <w:t>Streptococcus</w:t>
      </w:r>
      <w:proofErr w:type="spellEnd"/>
      <w:r>
        <w:rPr>
          <w:b/>
          <w:i/>
        </w:rPr>
        <w:t xml:space="preserve"> </w:t>
      </w:r>
      <w:proofErr w:type="spellStart"/>
      <w:r>
        <w:rPr>
          <w:b/>
          <w:i/>
        </w:rPr>
        <w:t>pneumoniae</w:t>
      </w:r>
      <w:proofErr w:type="spellEnd"/>
      <w:r>
        <w:t xml:space="preserve"> es la primera causa en el adulto, seguido de </w:t>
      </w:r>
      <w:proofErr w:type="spellStart"/>
      <w:r>
        <w:rPr>
          <w:b/>
          <w:i/>
        </w:rPr>
        <w:t>Neisseria</w:t>
      </w:r>
      <w:proofErr w:type="spellEnd"/>
      <w:r>
        <w:rPr>
          <w:b/>
          <w:i/>
        </w:rPr>
        <w:t xml:space="preserve"> </w:t>
      </w:r>
      <w:proofErr w:type="spellStart"/>
      <w:r>
        <w:rPr>
          <w:b/>
          <w:i/>
        </w:rPr>
        <w:t>meningitidis</w:t>
      </w:r>
      <w:proofErr w:type="spellEnd"/>
      <w:r>
        <w:t xml:space="preserve">. </w:t>
      </w:r>
      <w:r>
        <w:rPr>
          <w:b/>
          <w:i/>
        </w:rPr>
        <w:t xml:space="preserve">Listeria </w:t>
      </w:r>
      <w:proofErr w:type="spellStart"/>
      <w:r>
        <w:rPr>
          <w:b/>
          <w:i/>
        </w:rPr>
        <w:t>monocytogenes</w:t>
      </w:r>
      <w:proofErr w:type="spellEnd"/>
      <w:r>
        <w:t xml:space="preserve"> es la </w:t>
      </w:r>
      <w:r>
        <w:rPr>
          <w:b/>
        </w:rPr>
        <w:t>tercera</w:t>
      </w:r>
      <w:r>
        <w:t xml:space="preserve"> (sobre todo en ancianos e inmunodeprimidos). </w:t>
      </w:r>
      <w:r>
        <w:rPr>
          <w:b/>
          <w:i/>
        </w:rPr>
        <w:t xml:space="preserve">H. </w:t>
      </w:r>
      <w:proofErr w:type="spellStart"/>
      <w:r>
        <w:rPr>
          <w:b/>
          <w:i/>
        </w:rPr>
        <w:t>influenzae</w:t>
      </w:r>
      <w:proofErr w:type="spellEnd"/>
      <w:r>
        <w:t xml:space="preserve"> y </w:t>
      </w:r>
      <w:r>
        <w:rPr>
          <w:b/>
          <w:i/>
        </w:rPr>
        <w:t xml:space="preserve">S. </w:t>
      </w:r>
      <w:proofErr w:type="spellStart"/>
      <w:r>
        <w:rPr>
          <w:b/>
          <w:i/>
        </w:rPr>
        <w:t>aureus</w:t>
      </w:r>
      <w:proofErr w:type="spellEnd"/>
      <w:r>
        <w:t xml:space="preserve"> causan cada uno el 1‑2 %; </w:t>
      </w:r>
      <w:r>
        <w:rPr>
          <w:i/>
        </w:rPr>
        <w:t xml:space="preserve">H. </w:t>
      </w:r>
      <w:proofErr w:type="spellStart"/>
      <w:r>
        <w:rPr>
          <w:i/>
        </w:rPr>
        <w:t>influenzae</w:t>
      </w:r>
      <w:proofErr w:type="spellEnd"/>
      <w:r>
        <w:t xml:space="preserve"> se asocia a otitis o sinusitis y </w:t>
      </w:r>
      <w:r>
        <w:rPr>
          <w:i/>
        </w:rPr>
        <w:t xml:space="preserve">S. </w:t>
      </w:r>
      <w:proofErr w:type="spellStart"/>
      <w:r>
        <w:rPr>
          <w:i/>
        </w:rPr>
        <w:t>aureus</w:t>
      </w:r>
      <w:proofErr w:type="spellEnd"/>
      <w:r>
        <w:t xml:space="preserve"> a endocarditis (ESCMID).</w:t>
      </w:r>
    </w:p>
    <w:p w14:paraId="27AAACAA" w14:textId="77777777" w:rsidR="00736A71" w:rsidRDefault="00B77AB3">
      <w:pPr>
        <w:keepLines/>
      </w:pPr>
      <w:r>
        <w:t xml:space="preserve">Series europeas de adultos recogidas por la ESCMID (4.060 casos): </w:t>
      </w:r>
      <w:r>
        <w:rPr>
          <w:b/>
        </w:rPr>
        <w:t xml:space="preserve">neumococo 53 %, meningococo 27 %, </w:t>
      </w:r>
      <w:r>
        <w:rPr>
          <w:b/>
          <w:i/>
        </w:rPr>
        <w:t>Listeria</w:t>
      </w:r>
      <w:r>
        <w:rPr>
          <w:b/>
        </w:rPr>
        <w:t xml:space="preserve"> 4 %, </w:t>
      </w:r>
      <w:r>
        <w:rPr>
          <w:b/>
          <w:i/>
        </w:rPr>
        <w:t xml:space="preserve">H. </w:t>
      </w:r>
      <w:proofErr w:type="spellStart"/>
      <w:r>
        <w:rPr>
          <w:b/>
          <w:i/>
        </w:rPr>
        <w:t>influenzae</w:t>
      </w:r>
      <w:proofErr w:type="spellEnd"/>
      <w:r>
        <w:rPr>
          <w:b/>
        </w:rPr>
        <w:t xml:space="preserve"> 3 %</w:t>
      </w:r>
      <w:r>
        <w:t xml:space="preserve"> y otros 13 %. La SEMES 2012 sitúa </w:t>
      </w:r>
      <w:r>
        <w:rPr>
          <w:i/>
        </w:rPr>
        <w:t>Listeria</w:t>
      </w:r>
      <w:r>
        <w:t xml:space="preserve"> en el 4‑8 %. Neumococo y meningococo suman el 80 % de las MBA del adulto; </w:t>
      </w:r>
      <w:r>
        <w:rPr>
          <w:i/>
        </w:rPr>
        <w:t>Listeria</w:t>
      </w:r>
      <w:r>
        <w:t xml:space="preserve"> va en aumento por el envejecimiento y la inmunosupresión; el </w:t>
      </w:r>
      <w:r>
        <w:rPr>
          <w:b/>
        </w:rPr>
        <w:t>estreptococo del grupo B</w:t>
      </w:r>
      <w:r>
        <w:t xml:space="preserve"> (</w:t>
      </w:r>
      <w:r>
        <w:rPr>
          <w:i/>
        </w:rPr>
        <w:t xml:space="preserve">S. </w:t>
      </w:r>
      <w:proofErr w:type="spellStart"/>
      <w:r>
        <w:rPr>
          <w:i/>
        </w:rPr>
        <w:t>agalactiae</w:t>
      </w:r>
      <w:proofErr w:type="spellEnd"/>
      <w:r>
        <w:t xml:space="preserve">) es frecuente en </w:t>
      </w:r>
      <w:r>
        <w:rPr>
          <w:b/>
        </w:rPr>
        <w:t>&gt;50 años con enfermedades debilitantes</w:t>
      </w:r>
      <w:r>
        <w:t xml:space="preserve">; y </w:t>
      </w:r>
      <w:r>
        <w:rPr>
          <w:i/>
        </w:rPr>
        <w:t xml:space="preserve">H. </w:t>
      </w:r>
      <w:proofErr w:type="spellStart"/>
      <w:r>
        <w:rPr>
          <w:i/>
        </w:rPr>
        <w:t>influenzae</w:t>
      </w:r>
      <w:proofErr w:type="spellEnd"/>
      <w:r>
        <w:t xml:space="preserve"> queda para ancianos con enfermedad respiratoria y niños no vacunados.</w:t>
      </w:r>
    </w:p>
    <w:tbl>
      <w:tblPr>
        <w:tblW w:w="0" w:type="auto"/>
        <w:jc w:val="center"/>
        <w:tblBorders>
          <w:top w:val="single" w:sz="8" w:space="0" w:color="17384D"/>
          <w:left w:val="nil"/>
          <w:bottom w:val="single" w:sz="12" w:space="0" w:color="17384D"/>
          <w:right w:val="nil"/>
          <w:insideH w:val="single" w:sz="4" w:space="0" w:color="D3DEE3"/>
          <w:insideV w:val="single" w:sz="6" w:space="0" w:color="FFFFFF"/>
        </w:tblBorders>
        <w:tblLayout w:type="fixed"/>
        <w:tblLook w:val="04A0" w:firstRow="1" w:lastRow="0" w:firstColumn="1" w:lastColumn="0" w:noHBand="0" w:noVBand="1"/>
      </w:tblPr>
      <w:tblGrid>
        <w:gridCol w:w="1814"/>
        <w:gridCol w:w="3288"/>
        <w:gridCol w:w="2665"/>
        <w:gridCol w:w="1644"/>
      </w:tblGrid>
      <w:tr w:rsidR="00736A71" w14:paraId="52501367" w14:textId="77777777">
        <w:trPr>
          <w:cantSplit/>
          <w:tblHeader/>
          <w:jc w:val="center"/>
        </w:trPr>
        <w:tc>
          <w:tcPr>
            <w:tcW w:w="1814" w:type="dxa"/>
            <w:shd w:val="clear" w:color="auto" w:fill="17384D"/>
            <w:tcMar>
              <w:top w:w="95" w:type="dxa"/>
              <w:left w:w="115" w:type="dxa"/>
              <w:bottom w:w="95" w:type="dxa"/>
              <w:right w:w="115" w:type="dxa"/>
            </w:tcMar>
            <w:vAlign w:val="center"/>
          </w:tcPr>
          <w:p w14:paraId="59AEB898" w14:textId="77777777" w:rsidR="00736A71" w:rsidRDefault="00B77AB3">
            <w:pPr>
              <w:keepNext/>
              <w:keepLines/>
              <w:suppressAutoHyphens/>
              <w:spacing w:after="0" w:line="252" w:lineRule="auto"/>
              <w:jc w:val="left"/>
            </w:pPr>
            <w:r>
              <w:rPr>
                <w:rFonts w:ascii="Calibri" w:hAnsi="Calibri"/>
                <w:b/>
                <w:color w:val="FFFFFF"/>
                <w:spacing w:val="4"/>
                <w:sz w:val="20"/>
                <w:szCs w:val="20"/>
              </w:rPr>
              <w:lastRenderedPageBreak/>
              <w:t>Patógeno</w:t>
            </w:r>
          </w:p>
        </w:tc>
        <w:tc>
          <w:tcPr>
            <w:tcW w:w="3288" w:type="dxa"/>
            <w:shd w:val="clear" w:color="auto" w:fill="17384D"/>
            <w:tcMar>
              <w:top w:w="95" w:type="dxa"/>
              <w:left w:w="115" w:type="dxa"/>
              <w:bottom w:w="95" w:type="dxa"/>
              <w:right w:w="115" w:type="dxa"/>
            </w:tcMar>
            <w:vAlign w:val="center"/>
          </w:tcPr>
          <w:p w14:paraId="1EEC79F6" w14:textId="77777777" w:rsidR="00736A71" w:rsidRDefault="00B77AB3">
            <w:pPr>
              <w:keepNext/>
              <w:keepLines/>
              <w:suppressAutoHyphens/>
              <w:spacing w:after="0" w:line="252" w:lineRule="auto"/>
              <w:jc w:val="left"/>
            </w:pPr>
            <w:r>
              <w:rPr>
                <w:rFonts w:ascii="Calibri" w:hAnsi="Calibri"/>
                <w:b/>
                <w:color w:val="FFFFFF"/>
                <w:spacing w:val="4"/>
                <w:sz w:val="20"/>
                <w:szCs w:val="20"/>
              </w:rPr>
              <w:t>Factores de riesgo</w:t>
            </w:r>
          </w:p>
        </w:tc>
        <w:tc>
          <w:tcPr>
            <w:tcW w:w="2665" w:type="dxa"/>
            <w:shd w:val="clear" w:color="auto" w:fill="17384D"/>
            <w:tcMar>
              <w:top w:w="95" w:type="dxa"/>
              <w:left w:w="115" w:type="dxa"/>
              <w:bottom w:w="95" w:type="dxa"/>
              <w:right w:w="115" w:type="dxa"/>
            </w:tcMar>
            <w:vAlign w:val="center"/>
          </w:tcPr>
          <w:p w14:paraId="710F8491" w14:textId="77777777" w:rsidR="00736A71" w:rsidRDefault="00B77AB3">
            <w:pPr>
              <w:keepNext/>
              <w:keepLines/>
              <w:suppressAutoHyphens/>
              <w:spacing w:after="0" w:line="252" w:lineRule="auto"/>
              <w:jc w:val="left"/>
            </w:pPr>
            <w:r>
              <w:rPr>
                <w:rFonts w:ascii="Calibri" w:hAnsi="Calibri"/>
                <w:b/>
                <w:color w:val="FFFFFF"/>
                <w:spacing w:val="4"/>
                <w:sz w:val="20"/>
                <w:szCs w:val="20"/>
              </w:rPr>
              <w:t>Pistas clínicas</w:t>
            </w:r>
          </w:p>
        </w:tc>
        <w:tc>
          <w:tcPr>
            <w:tcW w:w="1644" w:type="dxa"/>
            <w:shd w:val="clear" w:color="auto" w:fill="17384D"/>
            <w:tcMar>
              <w:top w:w="95" w:type="dxa"/>
              <w:left w:w="115" w:type="dxa"/>
              <w:bottom w:w="95" w:type="dxa"/>
              <w:right w:w="115" w:type="dxa"/>
            </w:tcMar>
            <w:vAlign w:val="center"/>
          </w:tcPr>
          <w:p w14:paraId="7B5DA356" w14:textId="77777777" w:rsidR="00736A71" w:rsidRDefault="00B77AB3">
            <w:pPr>
              <w:keepNext/>
              <w:keepLines/>
              <w:suppressAutoHyphens/>
              <w:spacing w:after="0" w:line="252" w:lineRule="auto"/>
              <w:jc w:val="left"/>
            </w:pPr>
            <w:r>
              <w:rPr>
                <w:rFonts w:ascii="Calibri" w:hAnsi="Calibri"/>
                <w:b/>
                <w:color w:val="FFFFFF"/>
                <w:spacing w:val="4"/>
                <w:sz w:val="20"/>
                <w:szCs w:val="20"/>
              </w:rPr>
              <w:t>Gram</w:t>
            </w:r>
          </w:p>
        </w:tc>
      </w:tr>
      <w:tr w:rsidR="00736A71" w14:paraId="41806EB5" w14:textId="77777777">
        <w:trPr>
          <w:cantSplit/>
          <w:jc w:val="center"/>
        </w:trPr>
        <w:tc>
          <w:tcPr>
            <w:tcW w:w="1814" w:type="dxa"/>
            <w:shd w:val="clear" w:color="auto" w:fill="FFFFFF"/>
            <w:tcMar>
              <w:top w:w="95" w:type="dxa"/>
              <w:left w:w="115" w:type="dxa"/>
              <w:bottom w:w="95" w:type="dxa"/>
              <w:right w:w="115" w:type="dxa"/>
            </w:tcMar>
          </w:tcPr>
          <w:p w14:paraId="65052551" w14:textId="77777777" w:rsidR="00736A71" w:rsidRDefault="00B77AB3">
            <w:pPr>
              <w:keepNext/>
              <w:keepLines/>
              <w:suppressAutoHyphens/>
              <w:spacing w:after="0" w:line="252" w:lineRule="auto"/>
              <w:jc w:val="left"/>
            </w:pPr>
            <w:r>
              <w:rPr>
                <w:rFonts w:ascii="Calibri" w:hAnsi="Calibri"/>
                <w:b/>
                <w:color w:val="17384D"/>
                <w:sz w:val="21"/>
              </w:rPr>
              <w:t>NEUMOCOCO</w:t>
            </w:r>
          </w:p>
        </w:tc>
        <w:tc>
          <w:tcPr>
            <w:tcW w:w="3288" w:type="dxa"/>
            <w:shd w:val="clear" w:color="auto" w:fill="FFFFFF"/>
            <w:tcMar>
              <w:top w:w="95" w:type="dxa"/>
              <w:left w:w="115" w:type="dxa"/>
              <w:bottom w:w="95" w:type="dxa"/>
              <w:right w:w="115" w:type="dxa"/>
            </w:tcMar>
          </w:tcPr>
          <w:p w14:paraId="11757888" w14:textId="77777777" w:rsidR="00736A71" w:rsidRDefault="00B77AB3">
            <w:pPr>
              <w:keepNext/>
              <w:keepLines/>
              <w:suppressAutoHyphens/>
              <w:spacing w:after="0" w:line="252" w:lineRule="auto"/>
              <w:jc w:val="left"/>
            </w:pPr>
            <w:r>
              <w:rPr>
                <w:rFonts w:ascii="Calibri" w:hAnsi="Calibri"/>
                <w:b/>
                <w:sz w:val="21"/>
              </w:rPr>
              <w:t>Fractura de base de cráneo</w:t>
            </w:r>
            <w:r>
              <w:rPr>
                <w:rFonts w:ascii="Calibri" w:hAnsi="Calibri"/>
                <w:sz w:val="21"/>
              </w:rPr>
              <w:t xml:space="preserve">, </w:t>
            </w:r>
            <w:r>
              <w:rPr>
                <w:rFonts w:ascii="Calibri" w:hAnsi="Calibri"/>
                <w:b/>
                <w:sz w:val="21"/>
              </w:rPr>
              <w:t>implante coclear</w:t>
            </w:r>
            <w:r>
              <w:rPr>
                <w:rFonts w:ascii="Calibri" w:hAnsi="Calibri"/>
                <w:sz w:val="21"/>
              </w:rPr>
              <w:t xml:space="preserve"> y cirugía ORL; </w:t>
            </w:r>
            <w:r>
              <w:rPr>
                <w:rFonts w:ascii="Calibri" w:hAnsi="Calibri"/>
                <w:b/>
                <w:sz w:val="21"/>
              </w:rPr>
              <w:t>fístula de LCR</w:t>
            </w:r>
            <w:r>
              <w:rPr>
                <w:rFonts w:ascii="Calibri" w:hAnsi="Calibri"/>
                <w:sz w:val="21"/>
              </w:rPr>
              <w:t>, asplenia, enolismo, diabetes, cáncer, VIH, hipogammaglobulinemia, nefropatía o hepatopatía crónica (ESCMID; SEMES)</w:t>
            </w:r>
          </w:p>
        </w:tc>
        <w:tc>
          <w:tcPr>
            <w:tcW w:w="2665" w:type="dxa"/>
            <w:shd w:val="clear" w:color="auto" w:fill="FFFFFF"/>
            <w:tcMar>
              <w:top w:w="95" w:type="dxa"/>
              <w:left w:w="115" w:type="dxa"/>
              <w:bottom w:w="95" w:type="dxa"/>
              <w:right w:w="115" w:type="dxa"/>
            </w:tcMar>
          </w:tcPr>
          <w:p w14:paraId="629DC6A8" w14:textId="77777777" w:rsidR="00736A71" w:rsidRDefault="00B77AB3">
            <w:pPr>
              <w:keepNext/>
              <w:keepLines/>
              <w:suppressAutoHyphens/>
              <w:spacing w:after="0" w:line="252" w:lineRule="auto"/>
              <w:jc w:val="left"/>
            </w:pPr>
            <w:r>
              <w:rPr>
                <w:rFonts w:ascii="Calibri" w:hAnsi="Calibri"/>
                <w:sz w:val="21"/>
              </w:rPr>
              <w:t xml:space="preserve">Otitis, sinusitis o neumonía asociadas; laberintitis purulenta con hipoacusia; ictus isquémico (16 %); crisis algo más frecuentes</w:t>
            </w:r>
          </w:p>
        </w:tc>
        <w:tc>
          <w:tcPr>
            <w:tcW w:w="1644" w:type="dxa"/>
            <w:shd w:val="clear" w:color="auto" w:fill="FFFFFF"/>
            <w:tcMar>
              <w:top w:w="95" w:type="dxa"/>
              <w:left w:w="115" w:type="dxa"/>
              <w:bottom w:w="95" w:type="dxa"/>
              <w:right w:w="115" w:type="dxa"/>
            </w:tcMar>
          </w:tcPr>
          <w:p w14:paraId="59DAFF49" w14:textId="77777777" w:rsidR="00736A71" w:rsidRDefault="00B77AB3">
            <w:pPr>
              <w:keepNext/>
              <w:keepLines/>
              <w:suppressAutoHyphens/>
              <w:spacing w:after="0" w:line="252" w:lineRule="auto"/>
              <w:jc w:val="left"/>
            </w:pPr>
            <w:r>
              <w:rPr>
                <w:rFonts w:ascii="Calibri" w:hAnsi="Calibri"/>
                <w:sz w:val="21"/>
              </w:rPr>
              <w:t>Diplococos grampositivos</w:t>
            </w:r>
          </w:p>
        </w:tc>
      </w:tr>
      <w:tr w:rsidR="00736A71" w14:paraId="078FE163" w14:textId="77777777">
        <w:trPr>
          <w:cantSplit/>
          <w:jc w:val="center"/>
        </w:trPr>
        <w:tc>
          <w:tcPr>
            <w:tcW w:w="1814" w:type="dxa"/>
            <w:shd w:val="clear" w:color="auto" w:fill="F2F6F8"/>
            <w:tcMar>
              <w:top w:w="95" w:type="dxa"/>
              <w:left w:w="115" w:type="dxa"/>
              <w:bottom w:w="95" w:type="dxa"/>
              <w:right w:w="115" w:type="dxa"/>
            </w:tcMar>
          </w:tcPr>
          <w:p w14:paraId="7723F1C3" w14:textId="77777777" w:rsidR="00736A71" w:rsidRDefault="00B77AB3">
            <w:pPr>
              <w:keepNext/>
              <w:keepLines/>
              <w:suppressAutoHyphens/>
              <w:spacing w:after="0" w:line="252" w:lineRule="auto"/>
              <w:jc w:val="left"/>
            </w:pPr>
            <w:r>
              <w:rPr>
                <w:rFonts w:ascii="Calibri" w:hAnsi="Calibri"/>
                <w:b/>
                <w:color w:val="17384D"/>
                <w:sz w:val="21"/>
              </w:rPr>
              <w:t>MENINGOCOCO</w:t>
            </w:r>
          </w:p>
        </w:tc>
        <w:tc>
          <w:tcPr>
            <w:tcW w:w="3288" w:type="dxa"/>
            <w:shd w:val="clear" w:color="auto" w:fill="F2F6F8"/>
            <w:tcMar>
              <w:top w:w="95" w:type="dxa"/>
              <w:left w:w="115" w:type="dxa"/>
              <w:bottom w:w="95" w:type="dxa"/>
              <w:right w:w="115" w:type="dxa"/>
            </w:tcMar>
          </w:tcPr>
          <w:p w14:paraId="38FEC824" w14:textId="77777777" w:rsidR="00736A71" w:rsidRDefault="00B77AB3">
            <w:pPr>
              <w:keepNext/>
              <w:keepLines/>
              <w:suppressAutoHyphens/>
              <w:spacing w:after="0" w:line="252" w:lineRule="auto"/>
              <w:jc w:val="left"/>
            </w:pPr>
            <w:r>
              <w:rPr>
                <w:rFonts w:ascii="Calibri" w:hAnsi="Calibri"/>
                <w:sz w:val="21"/>
              </w:rPr>
              <w:t xml:space="preserve">A menudo ninguno; contacto con un caso o brote; </w:t>
            </w:r>
            <w:r>
              <w:rPr>
                <w:rFonts w:ascii="Calibri" w:hAnsi="Calibri"/>
                <w:b/>
                <w:sz w:val="21"/>
              </w:rPr>
              <w:t>déficit de complemento o tratamiento con inhibidores del complemento</w:t>
            </w:r>
            <w:r>
              <w:rPr>
                <w:rFonts w:ascii="Calibri" w:hAnsi="Calibri"/>
                <w:sz w:val="21"/>
              </w:rPr>
              <w:t>; asplenia; estudiantes en residencias; no vacunado (NICE 1.1.14; ESCMID)</w:t>
            </w:r>
          </w:p>
        </w:tc>
        <w:tc>
          <w:tcPr>
            <w:tcW w:w="2665" w:type="dxa"/>
            <w:shd w:val="clear" w:color="auto" w:fill="F2F6F8"/>
            <w:tcMar>
              <w:top w:w="95" w:type="dxa"/>
              <w:left w:w="115" w:type="dxa"/>
              <w:bottom w:w="95" w:type="dxa"/>
              <w:right w:w="115" w:type="dxa"/>
            </w:tcMar>
          </w:tcPr>
          <w:p w14:paraId="2150E220" w14:textId="77777777" w:rsidR="00736A71" w:rsidRDefault="00B77AB3">
            <w:pPr>
              <w:keepNext/>
              <w:keepLines/>
              <w:suppressAutoHyphens/>
              <w:spacing w:after="0" w:line="252" w:lineRule="auto"/>
              <w:jc w:val="left"/>
            </w:pPr>
            <w:r>
              <w:rPr>
                <w:rFonts w:ascii="Calibri" w:hAnsi="Calibri"/>
                <w:b/>
                <w:sz w:val="21"/>
              </w:rPr>
              <w:t>Petequias / púrpura</w:t>
            </w:r>
            <w:r>
              <w:rPr>
                <w:rFonts w:ascii="Calibri" w:hAnsi="Calibri"/>
                <w:sz w:val="21"/>
              </w:rPr>
              <w:t xml:space="preserve">; artritis (7 % de las MBA, dos tercios meningocócicas; también </w:t>
            </w:r>
            <w:r>
              <w:rPr>
                <w:rFonts w:ascii="Calibri" w:hAnsi="Calibri"/>
                <w:i/>
                <w:sz w:val="21"/>
              </w:rPr>
              <w:t xml:space="preserve">Borrelia</w:t>
            </w:r>
            <w:r>
              <w:rPr>
                <w:rFonts w:ascii="Calibri" w:hAnsi="Calibri"/>
                <w:sz w:val="21"/>
              </w:rPr>
              <w:t xml:space="preserve"> y </w:t>
            </w:r>
            <w:r>
              <w:rPr>
                <w:rFonts w:ascii="Calibri" w:hAnsi="Calibri"/>
                <w:i/>
                <w:sz w:val="21"/>
              </w:rPr>
              <w:t xml:space="preserve">Brucella</w:t>
            </w:r>
            <w:r>
              <w:rPr>
                <w:rFonts w:ascii="Calibri" w:hAnsi="Calibri"/>
                <w:sz w:val="21"/>
              </w:rPr>
              <w:t xml:space="preserve">; el cultivo del líquido articular puede identificar el microorganismo)</w:t>
            </w:r>
          </w:p>
        </w:tc>
        <w:tc>
          <w:tcPr>
            <w:tcW w:w="1644" w:type="dxa"/>
            <w:shd w:val="clear" w:color="auto" w:fill="F2F6F8"/>
            <w:tcMar>
              <w:top w:w="95" w:type="dxa"/>
              <w:left w:w="115" w:type="dxa"/>
              <w:bottom w:w="95" w:type="dxa"/>
              <w:right w:w="115" w:type="dxa"/>
            </w:tcMar>
          </w:tcPr>
          <w:p w14:paraId="36FF9F52" w14:textId="77777777" w:rsidR="00736A71" w:rsidRDefault="00B77AB3">
            <w:pPr>
              <w:keepNext/>
              <w:keepLines/>
              <w:suppressAutoHyphens/>
              <w:spacing w:after="0" w:line="252" w:lineRule="auto"/>
              <w:jc w:val="left"/>
            </w:pPr>
            <w:r>
              <w:rPr>
                <w:rFonts w:ascii="Calibri" w:hAnsi="Calibri"/>
                <w:sz w:val="21"/>
              </w:rPr>
              <w:t>Diplococos gramnegativos</w:t>
            </w:r>
          </w:p>
        </w:tc>
      </w:tr>
      <w:tr w:rsidR="00736A71" w14:paraId="616A689A" w14:textId="77777777">
        <w:trPr>
          <w:cantSplit/>
          <w:jc w:val="center"/>
        </w:trPr>
        <w:tc>
          <w:tcPr>
            <w:tcW w:w="1814" w:type="dxa"/>
            <w:shd w:val="clear" w:color="auto" w:fill="FFFFFF"/>
            <w:tcMar>
              <w:top w:w="95" w:type="dxa"/>
              <w:left w:w="115" w:type="dxa"/>
              <w:bottom w:w="95" w:type="dxa"/>
              <w:right w:w="115" w:type="dxa"/>
            </w:tcMar>
          </w:tcPr>
          <w:p w14:paraId="35C64937" w14:textId="77777777" w:rsidR="00736A71" w:rsidRDefault="00B77AB3">
            <w:pPr>
              <w:keepNext/>
              <w:keepLines/>
              <w:suppressAutoHyphens/>
              <w:spacing w:after="0" w:line="252" w:lineRule="auto"/>
              <w:jc w:val="left"/>
            </w:pPr>
            <w:r>
              <w:rPr>
                <w:rFonts w:ascii="Calibri" w:hAnsi="Calibri"/>
                <w:b/>
                <w:i/>
                <w:color w:val="17384D"/>
                <w:sz w:val="21"/>
              </w:rPr>
              <w:t>LISTERIA</w:t>
            </w:r>
          </w:p>
        </w:tc>
        <w:tc>
          <w:tcPr>
            <w:tcW w:w="3288" w:type="dxa"/>
            <w:shd w:val="clear" w:color="auto" w:fill="FFFFFF"/>
            <w:tcMar>
              <w:top w:w="95" w:type="dxa"/>
              <w:left w:w="115" w:type="dxa"/>
              <w:bottom w:w="95" w:type="dxa"/>
              <w:right w:w="115" w:type="dxa"/>
            </w:tcMar>
          </w:tcPr>
          <w:p w14:paraId="12F389F1" w14:textId="77777777" w:rsidR="00736A71" w:rsidRDefault="00B77AB3">
            <w:pPr>
              <w:keepNext/>
              <w:keepLines/>
              <w:suppressAutoHyphens/>
              <w:spacing w:after="0" w:line="252" w:lineRule="auto"/>
              <w:jc w:val="left"/>
            </w:pPr>
            <w:r>
              <w:rPr>
                <w:rFonts w:ascii="Calibri" w:hAnsi="Calibri"/>
                <w:b/>
                <w:sz w:val="21"/>
              </w:rPr>
              <w:t>&gt;50 años</w:t>
            </w:r>
            <w:r>
              <w:rPr>
                <w:rFonts w:ascii="Calibri" w:hAnsi="Calibri"/>
                <w:sz w:val="21"/>
              </w:rPr>
              <w:t>; embarazo; inmunosupresión celular (corticoides, trasplante, cáncer sólido o hematológico, VIH); diabetes; enolismo; cirrosis; nefropatía o hepatopatía (NICE; SEMES)</w:t>
            </w:r>
          </w:p>
        </w:tc>
        <w:tc>
          <w:tcPr>
            <w:tcW w:w="2665" w:type="dxa"/>
            <w:shd w:val="clear" w:color="auto" w:fill="FFFFFF"/>
            <w:tcMar>
              <w:top w:w="95" w:type="dxa"/>
              <w:left w:w="115" w:type="dxa"/>
              <w:bottom w:w="95" w:type="dxa"/>
              <w:right w:w="115" w:type="dxa"/>
            </w:tcMar>
          </w:tcPr>
          <w:p w14:paraId="23FF968E" w14:textId="77777777" w:rsidR="00736A71" w:rsidRDefault="00B77AB3">
            <w:pPr>
              <w:keepNext/>
              <w:keepLines/>
              <w:suppressAutoHyphens/>
              <w:spacing w:after="0" w:line="252" w:lineRule="auto"/>
              <w:jc w:val="left"/>
            </w:pPr>
            <w:proofErr w:type="spellStart"/>
            <w:r>
              <w:rPr>
                <w:rFonts w:ascii="Calibri" w:hAnsi="Calibri"/>
                <w:b/>
                <w:sz w:val="21"/>
              </w:rPr>
              <w:t>Romboencefalitis</w:t>
            </w:r>
            <w:proofErr w:type="spellEnd"/>
            <w:r>
              <w:rPr>
                <w:rFonts w:ascii="Calibri" w:hAnsi="Calibri"/>
                <w:sz w:val="21"/>
              </w:rPr>
              <w:t xml:space="preserve"> (ataxia, pares craneales bajos, nistagmo); </w:t>
            </w:r>
            <w:proofErr w:type="spellStart"/>
            <w:r>
              <w:rPr>
                <w:rFonts w:ascii="Calibri" w:hAnsi="Calibri"/>
                <w:sz w:val="21"/>
              </w:rPr>
              <w:t>focalidad</w:t>
            </w:r>
            <w:proofErr w:type="spellEnd"/>
            <w:r>
              <w:rPr>
                <w:rFonts w:ascii="Calibri" w:hAnsi="Calibri"/>
                <w:sz w:val="21"/>
              </w:rPr>
              <w:t xml:space="preserve"> precoz</w:t>
            </w:r>
          </w:p>
        </w:tc>
        <w:tc>
          <w:tcPr>
            <w:tcW w:w="1644" w:type="dxa"/>
            <w:shd w:val="clear" w:color="auto" w:fill="FFFFFF"/>
            <w:tcMar>
              <w:top w:w="95" w:type="dxa"/>
              <w:left w:w="115" w:type="dxa"/>
              <w:bottom w:w="95" w:type="dxa"/>
              <w:right w:w="115" w:type="dxa"/>
            </w:tcMar>
          </w:tcPr>
          <w:p w14:paraId="1F3F7B50" w14:textId="77777777" w:rsidR="00736A71" w:rsidRDefault="00B77AB3">
            <w:pPr>
              <w:keepNext/>
              <w:keepLines/>
              <w:suppressAutoHyphens/>
              <w:spacing w:after="0" w:line="252" w:lineRule="auto"/>
              <w:jc w:val="left"/>
            </w:pPr>
            <w:r>
              <w:rPr>
                <w:rFonts w:ascii="Calibri" w:hAnsi="Calibri"/>
                <w:sz w:val="21"/>
              </w:rPr>
              <w:t>Bacilos/cocobacilos grampositivos</w:t>
            </w:r>
          </w:p>
        </w:tc>
      </w:tr>
      <w:tr w:rsidR="00736A71" w14:paraId="5D243F50" w14:textId="77777777">
        <w:trPr>
          <w:cantSplit/>
          <w:jc w:val="center"/>
        </w:trPr>
        <w:tc>
          <w:tcPr>
            <w:tcW w:w="1814" w:type="dxa"/>
            <w:shd w:val="clear" w:color="auto" w:fill="F2F6F8"/>
            <w:tcMar>
              <w:top w:w="95" w:type="dxa"/>
              <w:left w:w="115" w:type="dxa"/>
              <w:bottom w:w="95" w:type="dxa"/>
              <w:right w:w="115" w:type="dxa"/>
            </w:tcMar>
          </w:tcPr>
          <w:p w14:paraId="4A3BD328" w14:textId="77777777" w:rsidR="00736A71" w:rsidRDefault="00B77AB3">
            <w:pPr>
              <w:keepLines/>
              <w:suppressAutoHyphens/>
              <w:spacing w:after="0" w:line="252" w:lineRule="auto"/>
              <w:jc w:val="left"/>
            </w:pPr>
            <w:r>
              <w:rPr>
                <w:rFonts w:ascii="Calibri" w:hAnsi="Calibri"/>
                <w:b/>
                <w:i/>
                <w:color w:val="17384D"/>
                <w:sz w:val="21"/>
              </w:rPr>
              <w:t>H. INFLUENZAE</w:t>
            </w:r>
          </w:p>
        </w:tc>
        <w:tc>
          <w:tcPr>
            <w:tcW w:w="3288" w:type="dxa"/>
            <w:shd w:val="clear" w:color="auto" w:fill="F2F6F8"/>
            <w:tcMar>
              <w:top w:w="95" w:type="dxa"/>
              <w:left w:w="115" w:type="dxa"/>
              <w:bottom w:w="95" w:type="dxa"/>
              <w:right w:w="115" w:type="dxa"/>
            </w:tcMar>
          </w:tcPr>
          <w:p w14:paraId="74207EFE" w14:textId="77777777" w:rsidR="00736A71" w:rsidRDefault="00B77AB3">
            <w:pPr>
              <w:keepLines/>
              <w:suppressAutoHyphens/>
              <w:spacing w:after="0" w:line="252" w:lineRule="auto"/>
              <w:jc w:val="left"/>
            </w:pPr>
            <w:r>
              <w:rPr>
                <w:rFonts w:ascii="Calibri" w:hAnsi="Calibri"/>
                <w:sz w:val="21"/>
              </w:rPr>
              <w:t>Infección ORL; déficit de inmunidad humoral; diabetes; enolismo; asplenia; mieloma (ESCMID)</w:t>
            </w:r>
          </w:p>
        </w:tc>
        <w:tc>
          <w:tcPr>
            <w:tcW w:w="2665" w:type="dxa"/>
            <w:shd w:val="clear" w:color="auto" w:fill="F2F6F8"/>
            <w:tcMar>
              <w:top w:w="95" w:type="dxa"/>
              <w:left w:w="115" w:type="dxa"/>
              <w:bottom w:w="95" w:type="dxa"/>
              <w:right w:w="115" w:type="dxa"/>
            </w:tcMar>
          </w:tcPr>
          <w:p w14:paraId="1DB4D1D5" w14:textId="77777777" w:rsidR="00736A71" w:rsidRDefault="00B77AB3">
            <w:pPr>
              <w:keepLines/>
              <w:suppressAutoHyphens/>
              <w:spacing w:after="0" w:line="252" w:lineRule="auto"/>
              <w:jc w:val="left"/>
            </w:pPr>
            <w:r>
              <w:rPr>
                <w:rFonts w:ascii="Calibri" w:hAnsi="Calibri"/>
                <w:sz w:val="21"/>
              </w:rPr>
              <w:t>Otitis, sinusitis, faringitis</w:t>
            </w:r>
          </w:p>
        </w:tc>
        <w:tc>
          <w:tcPr>
            <w:tcW w:w="1644" w:type="dxa"/>
            <w:shd w:val="clear" w:color="auto" w:fill="F2F6F8"/>
            <w:tcMar>
              <w:top w:w="95" w:type="dxa"/>
              <w:left w:w="115" w:type="dxa"/>
              <w:bottom w:w="95" w:type="dxa"/>
              <w:right w:w="115" w:type="dxa"/>
            </w:tcMar>
          </w:tcPr>
          <w:p w14:paraId="3CE2A016" w14:textId="77777777" w:rsidR="00736A71" w:rsidRDefault="00B77AB3">
            <w:pPr>
              <w:keepLines/>
              <w:suppressAutoHyphens/>
              <w:spacing w:after="0" w:line="252" w:lineRule="auto"/>
              <w:jc w:val="left"/>
            </w:pPr>
            <w:r>
              <w:rPr>
                <w:rFonts w:ascii="Calibri" w:hAnsi="Calibri"/>
                <w:sz w:val="21"/>
              </w:rPr>
              <w:t>Cocobacilos gramnegativos</w:t>
            </w:r>
          </w:p>
        </w:tc>
      </w:tr>
    </w:tbl>
    <w:p w14:paraId="529DB94D" w14:textId="77777777" w:rsidR="00736A71" w:rsidRDefault="00736A71">
      <w:pPr>
        <w:widowControl w:val="0"/>
        <w:spacing w:after="0" w:line="140" w:lineRule="exact"/>
      </w:pPr>
    </w:p>
    <w:p w14:paraId="07DAA5A1" w14:textId="77777777" w:rsidR="00736A71" w:rsidRDefault="00B77AB3">
      <w:pPr>
        <w:keepNext/>
        <w:keepLines/>
      </w:pPr>
      <w:r>
        <w:rPr>
          <w:b/>
        </w:rPr>
        <w:t>Situaciones especiales</w:t>
      </w:r>
      <w:r>
        <w:t xml:space="preserve"> (SEMES 2012, además de lo esperable por la edad):</w:t>
      </w:r>
    </w:p>
    <w:p w14:paraId="6A10BF1E" w14:textId="77777777" w:rsidR="00736A71" w:rsidRDefault="00B77AB3">
      <w:pPr>
        <w:pStyle w:val="Prrafodelista"/>
        <w:keepLines/>
        <w:numPr>
          <w:ilvl w:val="0"/>
          <w:numId w:val="13"/>
        </w:numPr>
        <w:spacing w:after="80"/>
      </w:pPr>
      <w:r>
        <w:rPr>
          <w:b/>
          <w:color w:val="17384D"/>
        </w:rPr>
        <w:t>Neutropenia</w:t>
      </w:r>
      <w:r>
        <w:t xml:space="preserve">: enterobacterias, </w:t>
      </w:r>
      <w:r>
        <w:rPr>
          <w:i/>
        </w:rPr>
        <w:t>Pseudomonas</w:t>
      </w:r>
      <w:r>
        <w:t xml:space="preserve">, </w:t>
      </w:r>
      <w:r>
        <w:rPr>
          <w:i/>
        </w:rPr>
        <w:t>Listeria</w:t>
      </w:r>
      <w:r>
        <w:t>, anaerobios.</w:t>
      </w:r>
    </w:p>
    <w:p w14:paraId="1F80D37E" w14:textId="77777777" w:rsidR="00736A71" w:rsidRDefault="00B77AB3">
      <w:pPr>
        <w:pStyle w:val="Prrafodelista"/>
        <w:keepLines/>
        <w:numPr>
          <w:ilvl w:val="0"/>
          <w:numId w:val="13"/>
        </w:numPr>
        <w:spacing w:after="80"/>
      </w:pPr>
      <w:r>
        <w:rPr>
          <w:b/>
          <w:color w:val="17384D"/>
        </w:rPr>
        <w:t>Esplenectomía</w:t>
      </w:r>
      <w:r>
        <w:t xml:space="preserve">: neumococo y otros encapsulados, </w:t>
      </w:r>
      <w:r>
        <w:rPr>
          <w:i/>
        </w:rPr>
        <w:t>Listeria</w:t>
      </w:r>
      <w:r>
        <w:t>.</w:t>
      </w:r>
    </w:p>
    <w:p w14:paraId="2C3E4A56" w14:textId="77777777" w:rsidR="00736A71" w:rsidRDefault="00B77AB3">
      <w:pPr>
        <w:pStyle w:val="Prrafodelista"/>
        <w:keepLines/>
        <w:numPr>
          <w:ilvl w:val="0"/>
          <w:numId w:val="13"/>
        </w:numPr>
        <w:spacing w:after="80"/>
      </w:pPr>
      <w:r>
        <w:rPr>
          <w:b/>
        </w:rPr>
        <w:t>Enfermedad crónica debilitante</w:t>
      </w:r>
      <w:r>
        <w:t xml:space="preserve"> (diabetes, insuficiencia renal, alcoholismo, cáncer, corticoides, hepatopatía): enterobacterias, </w:t>
      </w:r>
      <w:r>
        <w:rPr>
          <w:i/>
        </w:rPr>
        <w:t>Pseudomonas</w:t>
      </w:r>
      <w:r>
        <w:t xml:space="preserve">, </w:t>
      </w:r>
      <w:r>
        <w:rPr>
          <w:i/>
        </w:rPr>
        <w:t>Listeria</w:t>
      </w:r>
      <w:r>
        <w:t xml:space="preserve">, meningococo, neumococo, </w:t>
      </w:r>
      <w:r>
        <w:rPr>
          <w:i/>
        </w:rPr>
        <w:t>M. tuberculosis</w:t>
      </w:r>
      <w:r>
        <w:t xml:space="preserve">, </w:t>
      </w:r>
      <w:r>
        <w:rPr>
          <w:i/>
        </w:rPr>
        <w:t xml:space="preserve">H. </w:t>
      </w:r>
      <w:proofErr w:type="spellStart"/>
      <w:r>
        <w:rPr>
          <w:i/>
        </w:rPr>
        <w:t>influenzae</w:t>
      </w:r>
      <w:proofErr w:type="spellEnd"/>
      <w:r>
        <w:t xml:space="preserve">. También se describen </w:t>
      </w:r>
      <w:r>
        <w:rPr>
          <w:b/>
        </w:rPr>
        <w:t>bacilos gramnegativos</w:t>
      </w:r>
      <w:r>
        <w:t xml:space="preserve"> (</w:t>
      </w:r>
      <w:r>
        <w:rPr>
          <w:i/>
        </w:rPr>
        <w:t xml:space="preserve">P. </w:t>
      </w:r>
      <w:proofErr w:type="spellStart"/>
      <w:r>
        <w:rPr>
          <w:i/>
        </w:rPr>
        <w:t>aeruginosa</w:t>
      </w:r>
      <w:proofErr w:type="spellEnd"/>
      <w:r>
        <w:t xml:space="preserve">, </w:t>
      </w:r>
      <w:proofErr w:type="spellStart"/>
      <w:r>
        <w:rPr>
          <w:i/>
        </w:rPr>
        <w:t>Klebsiella</w:t>
      </w:r>
      <w:proofErr w:type="spellEnd"/>
      <w:r>
        <w:t xml:space="preserve">) en la </w:t>
      </w:r>
      <w:r>
        <w:rPr>
          <w:b/>
        </w:rPr>
        <w:t>estrongiloidiasis diseminada</w:t>
      </w:r>
      <w:r>
        <w:t xml:space="preserve"> y enterobacterias en la diabetes, la cirrosis, el alcoholismo y las infecciones urinarias.</w:t>
      </w:r>
    </w:p>
    <w:p w14:paraId="6CB69C9B" w14:textId="77777777" w:rsidR="00736A71" w:rsidRDefault="00B77AB3">
      <w:pPr>
        <w:pStyle w:val="Prrafodelista"/>
        <w:keepLines/>
        <w:numPr>
          <w:ilvl w:val="0"/>
          <w:numId w:val="13"/>
        </w:numPr>
        <w:spacing w:after="80"/>
      </w:pPr>
      <w:r>
        <w:rPr>
          <w:b/>
          <w:color w:val="17384D"/>
        </w:rPr>
        <w:t>Fístula de LCR</w:t>
      </w:r>
      <w:r>
        <w:t>: neumococo.</w:t>
      </w:r>
    </w:p>
    <w:p w14:paraId="34A2DE92" w14:textId="77777777" w:rsidR="00736A71" w:rsidRDefault="00B77AB3">
      <w:pPr>
        <w:pStyle w:val="Prrafodelista"/>
        <w:keepLines/>
        <w:numPr>
          <w:ilvl w:val="0"/>
          <w:numId w:val="13"/>
        </w:numPr>
        <w:spacing w:after="80"/>
      </w:pPr>
      <w:r>
        <w:rPr>
          <w:b/>
          <w:color w:val="17384D"/>
        </w:rPr>
        <w:t>Neurocirugía</w:t>
      </w:r>
      <w:r>
        <w:t xml:space="preserve">: </w:t>
      </w:r>
      <w:r>
        <w:rPr>
          <w:i/>
        </w:rPr>
        <w:t xml:space="preserve">S. </w:t>
      </w:r>
      <w:proofErr w:type="spellStart"/>
      <w:r>
        <w:rPr>
          <w:i/>
        </w:rPr>
        <w:t>aureus</w:t>
      </w:r>
      <w:proofErr w:type="spellEnd"/>
      <w:r>
        <w:t xml:space="preserve">, </w:t>
      </w:r>
      <w:r>
        <w:rPr>
          <w:i/>
        </w:rPr>
        <w:t xml:space="preserve">S. </w:t>
      </w:r>
      <w:proofErr w:type="spellStart"/>
      <w:r>
        <w:rPr>
          <w:i/>
        </w:rPr>
        <w:t>epidermidis</w:t>
      </w:r>
      <w:proofErr w:type="spellEnd"/>
      <w:r>
        <w:t xml:space="preserve">, </w:t>
      </w:r>
      <w:r>
        <w:rPr>
          <w:i/>
        </w:rPr>
        <w:t xml:space="preserve">P. </w:t>
      </w:r>
      <w:proofErr w:type="spellStart"/>
      <w:r>
        <w:rPr>
          <w:i/>
        </w:rPr>
        <w:t>aeruginosa</w:t>
      </w:r>
      <w:proofErr w:type="spellEnd"/>
      <w:r>
        <w:t>, enterobacterias.</w:t>
      </w:r>
    </w:p>
    <w:p w14:paraId="67414F0B" w14:textId="77777777" w:rsidR="00736A71" w:rsidRDefault="00B77AB3">
      <w:pPr>
        <w:keepLines/>
      </w:pPr>
      <w:r>
        <w:t xml:space="preserve">Tras las vacunas antineumocócicas conjugadas se ha observado en adultos un </w:t>
      </w:r>
      <w:r>
        <w:rPr>
          <w:b/>
        </w:rPr>
        <w:t>reemplazo de serotipos</w:t>
      </w:r>
      <w:r>
        <w:t>, por lo que la vigilancia sigue siendo necesaria (ESCMID, con datos de Barcelona).</w:t>
      </w:r>
    </w:p>
    <w:p w14:paraId="4F824830" w14:textId="77777777" w:rsidR="00736A71" w:rsidRDefault="00B77AB3">
      <w:pPr>
        <w:pStyle w:val="Ttulo1"/>
      </w:pPr>
      <w:bookmarkStart w:id="5" w:name="_Toc000510005"/>
      <w:r>
        <w:rPr>
          <w:color w:val="1C7C7D"/>
        </w:rPr>
        <w:lastRenderedPageBreak/>
        <w:t xml:space="preserve">4. </w:t>
      </w:r>
      <w:r>
        <w:t>Valoración inicial: tiempos y secuencia en urgencias</w:t>
      </w:r>
      <w:bookmarkEnd w:id="5"/>
    </w:p>
    <w:p w14:paraId="5418488E" w14:textId="77777777" w:rsidR="00736A71" w:rsidRDefault="00B77AB3">
      <w:pPr>
        <w:keepNext/>
        <w:keepLines/>
        <w:pBdr>
          <w:top w:val="single" w:sz="4" w:space="5" w:color="FDF0EF"/>
          <w:left w:val="single" w:sz="24" w:space="8" w:color="C00000"/>
          <w:bottom w:val="single" w:sz="4" w:space="5" w:color="FDF0EF"/>
          <w:right w:val="single" w:sz="4" w:space="8" w:color="FDF0EF"/>
        </w:pBdr>
        <w:shd w:val="clear" w:color="auto" w:fill="FDF0EF"/>
        <w:spacing w:before="160" w:after="200"/>
        <w:ind w:left="220" w:right="170"/>
      </w:pPr>
      <w:r>
        <w:rPr>
          <w:b/>
        </w:rPr>
        <w:t xml:space="preserve">LA MBA ES UNA EMERGENCIA TIEMPO-DEPENDIENTE: </w:t>
      </w:r>
      <w:r>
        <w:rPr>
          <w:b/>
          <w:color w:val="C00000"/>
        </w:rPr>
        <w:t>ANTIBIÓTICO IV EN MENOS DE 1 HORA DESDE LA LLEGADA</w:t>
      </w:r>
      <w:r>
        <w:t xml:space="preserve"> (ESCMID, grado A; NICE 1.4.1). </w:t>
      </w:r>
      <w:r>
        <w:rPr>
          <w:i/>
        </w:rPr>
        <w:t xml:space="preserve">Mensa 2026 recomienda iniciar el antibiótico </w:t>
      </w:r>
      <w:r>
        <w:rPr>
          <w:b/>
          <w:i/>
          <w:color w:val="C00000"/>
        </w:rPr>
        <w:t>en los primeros 30 min desde el diagnóstico</w:t>
      </w:r>
      <w:r>
        <w:rPr>
          <w:i/>
        </w:rPr>
        <w:t>.</w:t>
      </w:r>
    </w:p>
    <w:p w14:paraId="42A457BD" w14:textId="77777777" w:rsidR="00736A71" w:rsidRDefault="00B77AB3">
      <w:pPr>
        <w:pStyle w:val="Prrafodelista"/>
        <w:keepNext/>
        <w:keepLines/>
        <w:numPr>
          <w:ilvl w:val="0"/>
          <w:numId w:val="14"/>
        </w:numPr>
        <w:spacing w:after="80"/>
      </w:pPr>
      <w:r>
        <w:rPr>
          <w:b/>
        </w:rPr>
        <w:t>Estabilizar</w:t>
      </w:r>
      <w:r>
        <w:t xml:space="preserve"> y buscar datos de sepsis.</w:t>
      </w:r>
    </w:p>
    <w:p w14:paraId="35C6B392" w14:textId="77777777" w:rsidR="00736A71" w:rsidRDefault="00B77AB3">
      <w:pPr>
        <w:pStyle w:val="Prrafodelista"/>
        <w:keepNext/>
        <w:keepLines/>
        <w:numPr>
          <w:ilvl w:val="0"/>
          <w:numId w:val="14"/>
        </w:numPr>
        <w:spacing w:after="80"/>
      </w:pPr>
      <w:r>
        <w:rPr>
          <w:b/>
        </w:rPr>
        <w:t>Extraer hemocultivos y analítica ANTES del antibiótico</w:t>
      </w:r>
      <w:r>
        <w:t xml:space="preserve"> (ESCMID, grado A; NICE 1.6.1), y antes de la PL.</w:t>
      </w:r>
    </w:p>
    <w:p w14:paraId="22E3AD93" w14:textId="77777777" w:rsidR="00736A71" w:rsidRDefault="00B77AB3">
      <w:pPr>
        <w:pStyle w:val="Prrafodelista"/>
        <w:keepNext/>
        <w:keepLines/>
        <w:numPr>
          <w:ilvl w:val="0"/>
          <w:numId w:val="14"/>
        </w:numPr>
        <w:spacing w:after="80"/>
      </w:pPr>
      <w:r>
        <w:rPr>
          <w:b/>
        </w:rPr>
        <w:t xml:space="preserve">Hacer la PL antes del antibiótico </w:t>
      </w:r>
      <w:r>
        <w:rPr>
          <w:b/>
          <w:color w:val="C00000"/>
        </w:rPr>
        <w:t>SOLO si es segura y no lo retrasa de forma relevante</w:t>
      </w:r>
      <w:r>
        <w:t xml:space="preserve"> (NICE 1.4.9). Si no, se inicia el tratamiento y se hace la PL en cuanto sea posible (NICE 1.4.10). </w:t>
      </w:r>
      <w:r>
        <w:t>La NICE admite, según el juicio clínico, retrasar el antibiótico «ligeramente más de 1 hora» si así se puede hacer antes la PL.</w:t>
      </w:r>
    </w:p>
    <w:p w14:paraId="1386A976" w14:textId="77777777" w:rsidR="00736A71" w:rsidRDefault="00B77AB3">
      <w:pPr>
        <w:pStyle w:val="Prrafodelista"/>
        <w:keepNext/>
        <w:keepLines/>
        <w:numPr>
          <w:ilvl w:val="0"/>
          <w:numId w:val="14"/>
        </w:numPr>
        <w:spacing w:after="80"/>
      </w:pPr>
      <w:r>
        <w:rPr>
          <w:b/>
        </w:rPr>
        <w:t>Si la PL se va a retrasar (por ejemplo, por la TC), iniciar el tratamiento empírico de inmediato ante la sospecha clínica, tras los hemocultivos, aunque el diagnóstico no esté confirmado</w:t>
      </w:r>
      <w:r>
        <w:t xml:space="preserve"> (ESCMID, grado A).</w:t>
      </w:r>
    </w:p>
    <w:p w14:paraId="301FCB2A" w14:textId="77777777" w:rsidR="00736A71" w:rsidRDefault="00B77AB3">
      <w:pPr>
        <w:pStyle w:val="Prrafodelista"/>
        <w:keepLines/>
        <w:numPr>
          <w:ilvl w:val="0"/>
          <w:numId w:val="14"/>
        </w:numPr>
        <w:spacing w:after="80"/>
      </w:pPr>
      <w:r>
        <w:rPr>
          <w:b/>
        </w:rPr>
        <w:t>Dexametasona con o justo antes de la primera dosis de antibiótico</w:t>
      </w:r>
      <w:r>
        <w:t>, sin retrasar el antibiótico por ella (ESCMID; NICE 1.8.5).</w:t>
      </w:r>
    </w:p>
    <w:p w14:paraId="4EC1E60B" w14:textId="77777777" w:rsidR="00736A71" w:rsidRDefault="00B77AB3">
      <w:pPr>
        <w:pStyle w:val="Ttulo2"/>
      </w:pPr>
      <w:bookmarkStart w:id="6" w:name="_Toc000510006"/>
      <w:r>
        <w:rPr>
          <w:color w:val="1C7C7D"/>
        </w:rPr>
        <w:t xml:space="preserve">4.1. </w:t>
      </w:r>
      <w:r>
        <w:t>¿TC craneal ANTES de la punción lumbar?</w:t>
      </w:r>
      <w:bookmarkEnd w:id="6"/>
    </w:p>
    <w:p w14:paraId="7FA32163" w14:textId="77777777" w:rsidR="00736A71" w:rsidRDefault="00B77AB3">
      <w:pPr>
        <w:keepLines/>
      </w:pPr>
      <w:r>
        <w:rPr>
          <w:b/>
        </w:rPr>
        <w:t>La SEN 2025</w:t>
      </w:r>
      <w:r>
        <w:t xml:space="preserve"> </w:t>
      </w:r>
      <w:r>
        <w:rPr>
          <w:b/>
        </w:rPr>
        <w:t>recomienda neuroimagen antes de la PL</w:t>
      </w:r>
      <w:r>
        <w:t xml:space="preserve">, generalmente TC craneal, pero </w:t>
      </w:r>
      <w:r>
        <w:rPr>
          <w:b/>
        </w:rPr>
        <w:t>solo la considera obligatoria ante la posibilidad de una lesión intracerebral con riesgo de herniación tras la PL</w:t>
      </w:r>
      <w:r>
        <w:t>. Enumera los siguientes criterios:</w:t>
      </w:r>
    </w:p>
    <w:p w14:paraId="3044DAA9" w14:textId="77777777" w:rsidR="00736A71" w:rsidRDefault="00B77AB3">
      <w:pPr>
        <w:pStyle w:val="Prrafodelista"/>
        <w:keepLines/>
        <w:numPr>
          <w:ilvl w:val="0"/>
          <w:numId w:val="15"/>
        </w:numPr>
        <w:spacing w:after="80"/>
      </w:pPr>
      <w:proofErr w:type="spellStart"/>
      <w:r>
        <w:rPr>
          <w:b/>
        </w:rPr>
        <w:t>Focalidad</w:t>
      </w:r>
      <w:proofErr w:type="spellEnd"/>
      <w:r>
        <w:rPr>
          <w:b/>
        </w:rPr>
        <w:t xml:space="preserve"> neurológica</w:t>
      </w:r>
      <w:r>
        <w:t>.</w:t>
      </w:r>
    </w:p>
    <w:p w14:paraId="5C855D6F" w14:textId="77777777" w:rsidR="00736A71" w:rsidRDefault="00B77AB3">
      <w:pPr>
        <w:pStyle w:val="Prrafodelista"/>
        <w:keepLines/>
        <w:numPr>
          <w:ilvl w:val="0"/>
          <w:numId w:val="15"/>
        </w:numPr>
        <w:spacing w:after="80"/>
      </w:pPr>
      <w:r>
        <w:rPr>
          <w:b/>
        </w:rPr>
        <w:t>Bajo nivel de consciencia</w:t>
      </w:r>
      <w:r>
        <w:t>.</w:t>
      </w:r>
    </w:p>
    <w:p w14:paraId="035E5594" w14:textId="77777777" w:rsidR="00736A71" w:rsidRDefault="00B77AB3">
      <w:pPr>
        <w:pStyle w:val="Prrafodelista"/>
        <w:keepLines/>
        <w:numPr>
          <w:ilvl w:val="0"/>
          <w:numId w:val="15"/>
        </w:numPr>
        <w:spacing w:after="80"/>
      </w:pPr>
      <w:r>
        <w:rPr>
          <w:b/>
        </w:rPr>
        <w:t>Crisis epilépticas asociadas</w:t>
      </w:r>
      <w:r>
        <w:t>.</w:t>
      </w:r>
    </w:p>
    <w:p w14:paraId="5505B19B" w14:textId="77777777" w:rsidR="00736A71" w:rsidRDefault="00B77AB3">
      <w:pPr>
        <w:pStyle w:val="Prrafodelista"/>
        <w:keepLines/>
        <w:numPr>
          <w:ilvl w:val="0"/>
          <w:numId w:val="15"/>
        </w:numPr>
        <w:spacing w:after="80"/>
      </w:pPr>
      <w:r>
        <w:rPr>
          <w:b/>
        </w:rPr>
        <w:t>Papiledema u otros datos de hipertensión intracraneal</w:t>
      </w:r>
      <w:r>
        <w:t>.</w:t>
      </w:r>
    </w:p>
    <w:p w14:paraId="567B72E8" w14:textId="77777777" w:rsidR="00736A71" w:rsidRDefault="00B77AB3">
      <w:pPr>
        <w:pStyle w:val="Prrafodelista"/>
        <w:keepLines/>
        <w:numPr>
          <w:ilvl w:val="0"/>
          <w:numId w:val="15"/>
        </w:numPr>
        <w:spacing w:after="80"/>
      </w:pPr>
      <w:r>
        <w:rPr>
          <w:b/>
        </w:rPr>
        <w:t>Inmunosupresión</w:t>
      </w:r>
      <w:r>
        <w:t xml:space="preserve"> que pueda facilitar la presencia de abscesos cerebrales.</w:t>
      </w:r>
    </w:p>
    <w:p w14:paraId="58F401D3" w14:textId="77777777" w:rsidR="00736A71" w:rsidRDefault="00B77AB3">
      <w:pPr>
        <w:pStyle w:val="Prrafodelista"/>
        <w:keepLines/>
        <w:numPr>
          <w:ilvl w:val="0"/>
          <w:numId w:val="15"/>
        </w:numPr>
        <w:spacing w:after="80"/>
      </w:pPr>
      <w:r>
        <w:rPr>
          <w:b/>
        </w:rPr>
        <w:t>Proceso oncológico activo conocido</w:t>
      </w:r>
      <w:r>
        <w:t>.</w:t>
      </w:r>
    </w:p>
    <w:p w14:paraId="23F6E9CD" w14:textId="77777777" w:rsidR="00736A71" w:rsidRDefault="00B77AB3">
      <w:pPr>
        <w:pStyle w:val="Prrafodelista"/>
        <w:keepLines/>
        <w:numPr>
          <w:ilvl w:val="0"/>
          <w:numId w:val="15"/>
        </w:numPr>
        <w:spacing w:after="80"/>
      </w:pPr>
      <w:r>
        <w:rPr>
          <w:b/>
        </w:rPr>
        <w:t>Sospecha de absceso epidural espinal</w:t>
      </w:r>
      <w:r>
        <w:t>.</w:t>
      </w:r>
    </w:p>
    <w:p w14:paraId="52741166" w14:textId="77777777" w:rsidR="00736A71" w:rsidRDefault="00B77AB3">
      <w:pPr>
        <w:pStyle w:val="Prrafodelista"/>
        <w:keepLines/>
        <w:numPr>
          <w:ilvl w:val="0"/>
          <w:numId w:val="15"/>
        </w:numPr>
        <w:spacing w:after="80"/>
      </w:pPr>
      <w:r>
        <w:rPr>
          <w:b/>
        </w:rPr>
        <w:t>Plaquetopenia o diátesis hemorrágica</w:t>
      </w:r>
      <w:r>
        <w:t>, incluido el tratamiento anticoagulante.</w:t>
      </w:r>
    </w:p>
    <w:p w14:paraId="49CC4B2C" w14:textId="77777777" w:rsidR="00736A71" w:rsidRDefault="00B77AB3">
      <w:pPr>
        <w:keepNext/>
        <w:keepLines/>
        <w:pBdr>
          <w:top w:val="single" w:sz="4" w:space="5" w:color="FDF0EF"/>
          <w:left w:val="single" w:sz="24" w:space="8" w:color="C00000"/>
          <w:bottom w:val="single" w:sz="4" w:space="5" w:color="FDF0EF"/>
          <w:right w:val="single" w:sz="4" w:space="8" w:color="FDF0EF"/>
        </w:pBdr>
        <w:shd w:val="clear" w:color="auto" w:fill="FDF0EF"/>
        <w:spacing w:before="160" w:after="200"/>
        <w:ind w:left="220" w:right="170"/>
      </w:pPr>
      <w:r>
        <w:rPr>
          <w:b/>
          <w:color w:val="C00000"/>
        </w:rPr>
        <w:t>LA NEUROIMAGEN NUNCA DEBE RETRASAR EL INICIO DEL ANTIBIÓTICO</w:t>
      </w:r>
      <w:r>
        <w:t xml:space="preserve">. Si se necesita imagen, </w:t>
      </w:r>
      <w:r>
        <w:rPr>
          <w:b/>
        </w:rPr>
        <w:t>extraer sangre, administrar antibióticos y estabilizar al paciente antes de realizarla</w:t>
      </w:r>
      <w:r>
        <w:t xml:space="preserve"> (NICE 1.4.8).</w:t>
      </w:r>
    </w:p>
    <w:p w14:paraId="3D6CBE03" w14:textId="77777777" w:rsidR="00736A71" w:rsidRDefault="00B77AB3">
      <w:pPr>
        <w:keepNext/>
        <w:keepLines/>
        <w:spacing w:before="200" w:after="100"/>
        <w:jc w:val="left"/>
      </w:pPr>
      <w:r>
        <w:rPr>
          <w:rFonts w:ascii="Calibri" w:hAnsi="Calibri" w:cs="Calibri"/>
          <w:b/>
          <w:color w:val="17384D"/>
        </w:rPr>
        <w:t>Matices de NICE NG240 (2024):</w:t>
      </w:r>
    </w:p>
    <w:p w14:paraId="0FC24991" w14:textId="77777777" w:rsidR="00736A71" w:rsidRDefault="00B77AB3">
      <w:pPr>
        <w:pStyle w:val="Prrafodelista"/>
        <w:keepLines/>
        <w:numPr>
          <w:ilvl w:val="0"/>
          <w:numId w:val="16"/>
        </w:numPr>
        <w:spacing w:after="80"/>
      </w:pPr>
      <w:r>
        <w:t xml:space="preserve">La neuroimagen antes de la PL </w:t>
      </w:r>
      <w:r>
        <w:rPr>
          <w:b/>
        </w:rPr>
        <w:t>no debe hacerse de rutina</w:t>
      </w:r>
      <w:r>
        <w:t xml:space="preserve">. La indica si hay </w:t>
      </w:r>
      <w:r>
        <w:rPr>
          <w:b/>
        </w:rPr>
        <w:t>factores de riesgo de lesión ocupante de espacio en evolución</w:t>
      </w:r>
      <w:r>
        <w:t xml:space="preserve">, </w:t>
      </w:r>
      <w:proofErr w:type="spellStart"/>
      <w:r>
        <w:rPr>
          <w:b/>
        </w:rPr>
        <w:t>focalidad</w:t>
      </w:r>
      <w:proofErr w:type="spellEnd"/>
      <w:r>
        <w:rPr>
          <w:b/>
        </w:rPr>
        <w:t xml:space="preserve"> neurológica nueva (incluidas crisis o posturas anómalas)</w:t>
      </w:r>
      <w:r>
        <w:t xml:space="preserve">, </w:t>
      </w:r>
      <w:r>
        <w:rPr>
          <w:b/>
        </w:rPr>
        <w:t>reacciones pupilares anormales</w:t>
      </w:r>
      <w:r>
        <w:t xml:space="preserve">, o </w:t>
      </w:r>
      <w:r>
        <w:rPr>
          <w:b/>
        </w:rPr>
        <w:t>GCS ≤9 o descenso progresivo y sostenido, o rápido, del nivel de consciencia</w:t>
      </w:r>
      <w:r>
        <w:t>.</w:t>
      </w:r>
    </w:p>
    <w:p w14:paraId="2B8CF64D" w14:textId="77777777" w:rsidR="00736A71" w:rsidRDefault="00B77AB3">
      <w:pPr>
        <w:pStyle w:val="Prrafodelista"/>
        <w:keepLines/>
        <w:numPr>
          <w:ilvl w:val="0"/>
          <w:numId w:val="16"/>
        </w:numPr>
        <w:spacing w:after="80"/>
      </w:pPr>
      <w:r>
        <w:t xml:space="preserve">Con estos factores, </w:t>
      </w:r>
      <w:r>
        <w:rPr>
          <w:b/>
        </w:rPr>
        <w:t>no realizar la PL hasta que se hayan resuelto</w:t>
      </w:r>
      <w:r>
        <w:t xml:space="preserve">. El </w:t>
      </w:r>
      <w:r>
        <w:rPr>
          <w:b/>
        </w:rPr>
        <w:t>riesgo hemorrágico debe tratarse y estabilizarse antes de la PL</w:t>
      </w:r>
      <w:r>
        <w:t>.</w:t>
      </w:r>
    </w:p>
    <w:p w14:paraId="59D1AB68" w14:textId="77777777" w:rsidR="00736A71" w:rsidRDefault="00B77AB3">
      <w:pPr>
        <w:pStyle w:val="Prrafodelista"/>
        <w:keepLines/>
        <w:numPr>
          <w:ilvl w:val="0"/>
          <w:numId w:val="16"/>
        </w:numPr>
        <w:spacing w:after="80"/>
      </w:pPr>
      <w:r>
        <w:lastRenderedPageBreak/>
        <w:t>Si la PL es segura y no retrasa de forma clínicamente relevante el antibiótico, hacerla antes de iniciarlo; si ya se ha administrado, realizarla cuanto antes, siempre que sea segura.</w:t>
      </w:r>
    </w:p>
    <w:p w14:paraId="5BA9A0E7" w14:textId="77777777" w:rsidR="00736A71" w:rsidRDefault="00B77AB3">
      <w:pPr>
        <w:pStyle w:val="Ttulo2"/>
      </w:pPr>
      <w:bookmarkStart w:id="7" w:name="_Toc000510007"/>
      <w:r>
        <w:rPr>
          <w:color w:val="1C7C7D"/>
        </w:rPr>
        <w:t xml:space="preserve">4.2. </w:t>
      </w:r>
      <w:r>
        <w:t>Contraindicaciones de la punción lumbar</w:t>
      </w:r>
      <w:bookmarkEnd w:id="7"/>
    </w:p>
    <w:p w14:paraId="158E9BE2" w14:textId="77777777" w:rsidR="00736A71" w:rsidRDefault="00B77AB3">
      <w:pPr>
        <w:pStyle w:val="Prrafodelista"/>
        <w:keepLines/>
        <w:numPr>
          <w:ilvl w:val="0"/>
          <w:numId w:val="17"/>
        </w:numPr>
        <w:spacing w:after="80"/>
      </w:pPr>
      <w:r>
        <w:rPr>
          <w:b/>
        </w:rPr>
        <w:t>Signos de HTIC o riesgo de herniación</w:t>
      </w:r>
      <w:r>
        <w:t xml:space="preserve"> (los criterios de imagen de arriba; hidrocefalia obstructiva, edema cerebral, lesión ocupante de espacio): primero la imagen y no puncionar hasta resolverlos (NICE 1.4.7, 1.4.12).</w:t>
      </w:r>
    </w:p>
    <w:p w14:paraId="1AFED80A" w14:textId="77777777" w:rsidR="00736A71" w:rsidRDefault="00B77AB3">
      <w:pPr>
        <w:pStyle w:val="Prrafodelista"/>
        <w:keepLines/>
        <w:numPr>
          <w:ilvl w:val="0"/>
          <w:numId w:val="17"/>
        </w:numPr>
        <w:spacing w:after="80"/>
      </w:pPr>
      <w:r>
        <w:rPr>
          <w:b/>
        </w:rPr>
        <w:t>Púrpura extensa o en rápida progresión</w:t>
      </w:r>
      <w:r>
        <w:t xml:space="preserve"> (NICE 1.4.12).</w:t>
      </w:r>
    </w:p>
    <w:p w14:paraId="3DB2AE2E" w14:textId="77777777" w:rsidR="00736A71" w:rsidRDefault="00B77AB3">
      <w:pPr>
        <w:pStyle w:val="Prrafodelista"/>
        <w:keepLines/>
        <w:numPr>
          <w:ilvl w:val="0"/>
          <w:numId w:val="17"/>
        </w:numPr>
        <w:spacing w:after="80"/>
      </w:pPr>
      <w:r>
        <w:rPr>
          <w:b/>
        </w:rPr>
        <w:t>Coagulopatía o trombopenia</w:t>
      </w:r>
      <w:r>
        <w:t xml:space="preserve"> (por ejemplo, anticoagulación reciente) (ESCMID). </w:t>
      </w:r>
    </w:p>
    <w:p w14:paraId="0AD0FD8C" w14:textId="77777777" w:rsidR="00736A71" w:rsidRDefault="00B77AB3">
      <w:pPr>
        <w:pStyle w:val="Prrafodelista"/>
        <w:keepLines/>
        <w:numPr>
          <w:ilvl w:val="0"/>
          <w:numId w:val="17"/>
        </w:numPr>
        <w:spacing w:after="80"/>
      </w:pPr>
      <w:r>
        <w:rPr>
          <w:b/>
        </w:rPr>
        <w:t>Sospecha de absceso epidural espinal</w:t>
      </w:r>
      <w:r>
        <w:t>.</w:t>
      </w:r>
    </w:p>
    <w:p w14:paraId="0E9B8761" w14:textId="77777777" w:rsidR="00736A71" w:rsidRDefault="00B77AB3">
      <w:pPr>
        <w:pStyle w:val="Prrafodelista"/>
        <w:keepLines/>
        <w:numPr>
          <w:ilvl w:val="0"/>
          <w:numId w:val="17"/>
        </w:numPr>
        <w:spacing w:after="80"/>
      </w:pPr>
      <w:r>
        <w:rPr>
          <w:b/>
        </w:rPr>
        <w:t>Infección en el punto de punción</w:t>
      </w:r>
      <w:r>
        <w:t xml:space="preserve"> (NICE; ESCMID).</w:t>
      </w:r>
    </w:p>
    <w:p w14:paraId="7FA54B75" w14:textId="77777777" w:rsidR="00736A71" w:rsidRDefault="00B77AB3">
      <w:pPr>
        <w:pStyle w:val="Prrafodelista"/>
        <w:keepLines/>
        <w:numPr>
          <w:ilvl w:val="0"/>
          <w:numId w:val="17"/>
        </w:numPr>
        <w:spacing w:after="80"/>
      </w:pPr>
      <w:r>
        <w:rPr>
          <w:b/>
          <w:color w:val="17384D"/>
        </w:rPr>
        <w:t>Inestabilidad</w:t>
      </w:r>
      <w:r>
        <w:t>: tratar y estabilizar antes una vía aérea no protegida, compromiso respiratorio, shock o crisis no controladas (NICE 1.4.11; ESCMID).</w:t>
      </w:r>
    </w:p>
    <w:p w14:paraId="034CC2B1" w14:textId="77777777" w:rsidR="00736A71" w:rsidRDefault="00B77AB3">
      <w:r>
        <w:rPr>
          <w:b/>
        </w:rPr>
        <w:t>Una neuroimagen normal o una aguja fina no bastan para considerar segura la PL si persisten factores de riesgo</w:t>
      </w:r>
      <w:r>
        <w:t xml:space="preserve">: mantener la valoración clínica y las contraindicaciones anteriores (NICE 1.4.7 y 1.4.11‑1.4.12). El desarrollo de cefalea </w:t>
      </w:r>
      <w:proofErr w:type="spellStart"/>
      <w:r>
        <w:t>pospunción</w:t>
      </w:r>
      <w:proofErr w:type="spellEnd"/>
      <w:r>
        <w:t>, hematoma, infección y herniación está en el capítulo 8 (Complicaciones de la punción lumbar).</w:t>
      </w:r>
    </w:p>
    <w:p w14:paraId="32D5A517" w14:textId="77777777" w:rsidR="00736A71" w:rsidRDefault="00B77AB3">
      <w:pPr>
        <w:pStyle w:val="Ttulo1"/>
      </w:pPr>
      <w:bookmarkStart w:id="8" w:name="_Toc000510008"/>
      <w:r>
        <w:rPr>
          <w:color w:val="1C7C7D"/>
        </w:rPr>
        <w:t xml:space="preserve">5. </w:t>
      </w:r>
      <w:r>
        <w:t>Pruebas complementarias</w:t>
      </w:r>
      <w:bookmarkEnd w:id="8"/>
    </w:p>
    <w:p w14:paraId="492B4451" w14:textId="77777777" w:rsidR="00736A71" w:rsidRDefault="00B77AB3">
      <w:pPr>
        <w:pStyle w:val="Ttulo2"/>
      </w:pPr>
      <w:bookmarkStart w:id="9" w:name="_Toc000510009"/>
      <w:r>
        <w:rPr>
          <w:color w:val="1C7C7D"/>
        </w:rPr>
        <w:t xml:space="preserve">5.1. </w:t>
      </w:r>
      <w:r>
        <w:t>Sangre</w:t>
      </w:r>
      <w:bookmarkEnd w:id="9"/>
    </w:p>
    <w:p w14:paraId="1BE8A38E" w14:textId="77777777" w:rsidR="00736A71" w:rsidRDefault="00B77AB3">
      <w:pPr>
        <w:pStyle w:val="Prrafodelista"/>
        <w:keepLines/>
        <w:numPr>
          <w:ilvl w:val="0"/>
          <w:numId w:val="18"/>
        </w:numPr>
        <w:spacing w:after="80"/>
      </w:pPr>
      <w:r>
        <w:rPr>
          <w:b/>
        </w:rPr>
        <w:t>2 HEMOCULTIVOS antes del antibiótico</w:t>
      </w:r>
      <w:r>
        <w:t xml:space="preserve"> (ESCMID, grado A). Positivos en el 50‑90 % de las MBA. Según ESCMID: ≈75 % en la neumocócica, 50‑90 % en la de </w:t>
      </w:r>
      <w:r>
        <w:rPr>
          <w:i/>
        </w:rPr>
        <w:t xml:space="preserve">H. </w:t>
      </w:r>
      <w:proofErr w:type="spellStart"/>
      <w:r>
        <w:rPr>
          <w:i/>
        </w:rPr>
        <w:t>influenzae</w:t>
      </w:r>
      <w:proofErr w:type="spellEnd"/>
      <w:r>
        <w:t xml:space="preserve"> y </w:t>
      </w:r>
      <w:r>
        <w:rPr>
          <w:b/>
        </w:rPr>
        <w:t>40‑60 % en la meningocócica</w:t>
      </w:r>
      <w:r>
        <w:t>. El antibiótico previo reduce su rendimiento en ≈20 % (ESCMID).</w:t>
      </w:r>
    </w:p>
    <w:p w14:paraId="46D7470B" w14:textId="77777777" w:rsidR="00736A71" w:rsidRDefault="00B77AB3">
      <w:pPr>
        <w:pStyle w:val="Prrafodelista"/>
        <w:keepLines/>
        <w:numPr>
          <w:ilvl w:val="0"/>
          <w:numId w:val="18"/>
        </w:numPr>
        <w:spacing w:after="80"/>
      </w:pPr>
      <w:r>
        <w:t xml:space="preserve">Casi la mitad de los pacientes tiene una </w:t>
      </w:r>
      <w:r>
        <w:rPr>
          <w:b/>
        </w:rPr>
        <w:t>condición predisponente</w:t>
      </w:r>
      <w:r>
        <w:t xml:space="preserve"> que justifica ampliar el estudio</w:t>
      </w:r>
      <w:r>
        <w:t xml:space="preserve">: foco </w:t>
      </w:r>
      <w:proofErr w:type="spellStart"/>
      <w:r>
        <w:t>parameníngeo</w:t>
      </w:r>
      <w:proofErr w:type="spellEnd"/>
      <w:r>
        <w:t xml:space="preserve"> (sinusitis, </w:t>
      </w:r>
      <w:proofErr w:type="spellStart"/>
      <w:r>
        <w:t>otomastoiditis</w:t>
      </w:r>
      <w:proofErr w:type="spellEnd"/>
      <w:r>
        <w:t>, absceso epidural, empiema subdural), traumatismo craneal o neurocirugía recientes, infección a distancia (neumonía, endocarditis), inmunosupresión (alcoholismo, esplenectomía, diabetes, VIH) o neoplasia.</w:t>
      </w:r>
    </w:p>
    <w:p w14:paraId="4BCD3D46" w14:textId="77777777" w:rsidR="00736A71" w:rsidRDefault="00B77AB3">
      <w:pPr>
        <w:pStyle w:val="Prrafodelista"/>
        <w:keepLines/>
        <w:numPr>
          <w:ilvl w:val="0"/>
          <w:numId w:val="18"/>
        </w:numPr>
        <w:spacing w:after="80"/>
      </w:pPr>
      <w:r>
        <w:rPr>
          <w:b/>
          <w:color w:val="17384D"/>
        </w:rPr>
        <w:t>Hemograma</w:t>
      </w:r>
      <w:r>
        <w:t xml:space="preserve">: valorar leucocitosis, desviación izquierda, neutropenia y plaquetas. La </w:t>
      </w:r>
      <w:r>
        <w:rPr>
          <w:b/>
        </w:rPr>
        <w:t>trombopenia es un factor de mal pronóstico</w:t>
      </w:r>
      <w:r>
        <w:t>.</w:t>
      </w:r>
    </w:p>
    <w:p w14:paraId="1BB47CD3" w14:textId="77777777" w:rsidR="00736A71" w:rsidRDefault="00B77AB3">
      <w:pPr>
        <w:pStyle w:val="Prrafodelista"/>
        <w:keepLines/>
        <w:numPr>
          <w:ilvl w:val="0"/>
          <w:numId w:val="18"/>
        </w:numPr>
        <w:spacing w:after="80"/>
      </w:pPr>
      <w:r>
        <w:rPr>
          <w:b/>
          <w:color w:val="17384D"/>
        </w:rPr>
        <w:t>Coagulación</w:t>
      </w:r>
      <w:r>
        <w:t>: descartar coagulopatía.</w:t>
      </w:r>
    </w:p>
    <w:p w14:paraId="76256EAF" w14:textId="77777777" w:rsidR="00736A71" w:rsidRDefault="00B77AB3">
      <w:pPr>
        <w:pStyle w:val="Prrafodelista"/>
        <w:keepLines/>
        <w:numPr>
          <w:ilvl w:val="0"/>
          <w:numId w:val="18"/>
        </w:numPr>
        <w:spacing w:after="80"/>
      </w:pPr>
      <w:r>
        <w:rPr>
          <w:b/>
          <w:color w:val="17384D"/>
        </w:rPr>
        <w:t>Bioquímica</w:t>
      </w:r>
      <w:r>
        <w:t xml:space="preserve">: electrolitos (hiponatremia por SIADH), creatinina y </w:t>
      </w:r>
      <w:r>
        <w:rPr>
          <w:b/>
        </w:rPr>
        <w:t>glucemia inmediatamente antes de la PL</w:t>
      </w:r>
      <w:r>
        <w:t xml:space="preserve"> para calcular el cociente glucosa LCR/sangre (NICE 1.4.13; SEMES 2012).</w:t>
      </w:r>
    </w:p>
    <w:p w14:paraId="15142D15" w14:textId="77777777" w:rsidR="00736A71" w:rsidRDefault="00B77AB3">
      <w:pPr>
        <w:pStyle w:val="Prrafodelista"/>
        <w:keepLines/>
        <w:numPr>
          <w:ilvl w:val="0"/>
          <w:numId w:val="18"/>
        </w:numPr>
        <w:spacing w:after="80"/>
      </w:pPr>
      <w:r>
        <w:rPr>
          <w:b/>
        </w:rPr>
        <w:t xml:space="preserve">Proteína C reactiva o procalcitonina</w:t>
      </w:r>
      <w:r>
        <w:t xml:space="preserve"> (NICE 1.4.4). </w:t>
      </w:r>
      <w:r>
        <w:rPr>
          <w:b/>
          <w:i/>
          <w:color w:val="C00000"/>
        </w:rPr>
        <w:t xml:space="preserve">Una proteína C reactiva normal, una PCT normal o </w:t>
      </w:r>
      <w:proofErr w:type="gramStart"/>
      <w:r>
        <w:rPr>
          <w:b/>
          <w:i/>
          <w:color w:val="C00000"/>
        </w:rPr>
        <w:t>un recuento leucocitario normal</w:t>
      </w:r>
      <w:proofErr w:type="gramEnd"/>
      <w:r>
        <w:rPr>
          <w:b/>
          <w:i/>
          <w:color w:val="C00000"/>
        </w:rPr>
        <w:t xml:space="preserve"> NO descartan la MBA</w:t>
      </w:r>
      <w:r>
        <w:t xml:space="preserve"> (NICE 1.4.5). La ESCMID añade que se asocian a infección bacteriana pero no permiten hacer el diagnóstico, y que pierden valor si hay otro foco (n</w:t>
      </w:r>
      <w:r>
        <w:t xml:space="preserve">eumonía, sepsis). La NICE prefiere la proteína C reactiva (la PCT no fue claramente superior y es más cara). Orientativo según la SEMES 2012: proteína C reactiva &gt;10 mg/</w:t>
      </w:r>
      <w:proofErr w:type="spellStart"/>
      <w:r>
        <w:t>dL</w:t>
      </w:r>
      <w:proofErr w:type="spellEnd"/>
      <w:r>
        <w:t xml:space="preserve"> o PCT &gt;0,5 ng/</w:t>
      </w:r>
      <w:proofErr w:type="spellStart"/>
      <w:r>
        <w:t>mL</w:t>
      </w:r>
      <w:proofErr w:type="spellEnd"/>
      <w:r>
        <w:t xml:space="preserve"> hacen más probable la MBA, y PCT &gt;2 ng/</w:t>
      </w:r>
      <w:proofErr w:type="spellStart"/>
      <w:r>
        <w:t>mL</w:t>
      </w:r>
      <w:proofErr w:type="spellEnd"/>
      <w:r>
        <w:t xml:space="preserve"> se asocia a MBA con bacteriemia y riesgo de sepsis grave.</w:t>
      </w:r>
    </w:p>
    <w:p w14:paraId="42123BB2" w14:textId="77777777" w:rsidR="00736A71" w:rsidRDefault="00B77AB3">
      <w:pPr>
        <w:pStyle w:val="Prrafodelista"/>
        <w:keepLines/>
        <w:numPr>
          <w:ilvl w:val="0"/>
          <w:numId w:val="18"/>
        </w:numPr>
        <w:spacing w:after="80"/>
      </w:pPr>
      <w:r>
        <w:rPr>
          <w:b/>
        </w:rPr>
        <w:t>PCR (reacción en cadena de la polimerasa) en sangre total para meningococo y neumococo</w:t>
      </w:r>
      <w:r>
        <w:t xml:space="preserve"> (NICE 1.4.4). </w:t>
      </w:r>
      <w:r>
        <w:rPr>
          <w:b/>
        </w:rPr>
        <w:t>Lactato</w:t>
      </w:r>
      <w:r>
        <w:t xml:space="preserve"> si se sospecha enfermedad meningocócica (NICE 1.5.3).</w:t>
      </w:r>
    </w:p>
    <w:p w14:paraId="5088F6ED" w14:textId="77777777" w:rsidR="00736A71" w:rsidRDefault="00B77AB3">
      <w:pPr>
        <w:pStyle w:val="Prrafodelista"/>
        <w:keepLines/>
        <w:numPr>
          <w:ilvl w:val="0"/>
          <w:numId w:val="18"/>
        </w:numPr>
        <w:spacing w:after="80"/>
      </w:pPr>
      <w:r>
        <w:rPr>
          <w:b/>
        </w:rPr>
        <w:t>SEROLOGÍA DE VIH EN TODOS LOS ADULTOS</w:t>
      </w:r>
      <w:r>
        <w:t xml:space="preserve"> con MBA o enfermedad meningocócica (NICE 1.10.1).</w:t>
      </w:r>
    </w:p>
    <w:p w14:paraId="3175C514" w14:textId="77777777" w:rsidR="00736A71" w:rsidRDefault="00B77AB3">
      <w:pPr>
        <w:pStyle w:val="Prrafodelista"/>
        <w:keepLines/>
        <w:numPr>
          <w:ilvl w:val="0"/>
          <w:numId w:val="18"/>
        </w:numPr>
        <w:spacing w:after="80"/>
      </w:pPr>
      <w:r>
        <w:rPr>
          <w:b/>
        </w:rPr>
        <w:lastRenderedPageBreak/>
        <w:t>Frotis faríngeo para cultivo de meningococo</w:t>
      </w:r>
      <w:r>
        <w:t xml:space="preserve">, preferiblemente antes del antibiótico (NICE 1.4.3), para </w:t>
      </w:r>
      <w:proofErr w:type="spellStart"/>
      <w:r>
        <w:t>tipar</w:t>
      </w:r>
      <w:proofErr w:type="spellEnd"/>
      <w:r>
        <w:t xml:space="preserve"> la cepa y orientar el manejo de contactos y brotes.</w:t>
      </w:r>
    </w:p>
    <w:p w14:paraId="0E166816" w14:textId="77777777" w:rsidR="00736A71" w:rsidRDefault="00B77AB3">
      <w:pPr>
        <w:pStyle w:val="Prrafodelista"/>
        <w:keepLines/>
        <w:numPr>
          <w:ilvl w:val="0"/>
          <w:numId w:val="18"/>
        </w:numPr>
        <w:spacing w:after="80"/>
      </w:pPr>
      <w:r>
        <w:rPr>
          <w:b/>
        </w:rPr>
        <w:t>Radiografía de tórax</w:t>
      </w:r>
      <w:r>
        <w:t xml:space="preserve"> y cultivos de focos sospechosos (SEMES 2012).</w:t>
      </w:r>
    </w:p>
    <w:p w14:paraId="0CA3C2FA" w14:textId="77777777" w:rsidR="00736A71" w:rsidRDefault="00B77AB3">
      <w:pPr>
        <w:pStyle w:val="Ttulo2"/>
      </w:pPr>
      <w:bookmarkStart w:id="10" w:name="_Toc000510010"/>
      <w:r>
        <w:rPr>
          <w:color w:val="1C7C7D"/>
        </w:rPr>
        <w:t xml:space="preserve">5.2. </w:t>
      </w:r>
      <w:r>
        <w:t>LCR</w:t>
      </w:r>
      <w:bookmarkEnd w:id="10"/>
    </w:p>
    <w:p w14:paraId="017BA007" w14:textId="77777777" w:rsidR="00736A71" w:rsidRDefault="00B77AB3">
      <w:pPr>
        <w:keepLines/>
      </w:pPr>
      <w:r>
        <w:rPr>
          <w:b/>
        </w:rPr>
        <w:t>Medir la presión de apertura</w:t>
      </w:r>
      <w:r>
        <w:t xml:space="preserve"> y pedir </w:t>
      </w:r>
      <w:r>
        <w:rPr>
          <w:b/>
        </w:rPr>
        <w:t>recuento celular con fórmula, proteínas, glucosa, lactato, Gram, cultivo y PCR múltiple</w:t>
      </w:r>
      <w:r>
        <w:t xml:space="preserve"> (ESCMID, grado A; NICE 1.4.14). </w:t>
      </w:r>
      <w:r>
        <w:rPr>
          <w:b/>
        </w:rPr>
        <w:t>Guardar el LCR sobrante</w:t>
      </w:r>
      <w:r>
        <w:t xml:space="preserve"> por si hacen falta más pruebas (NICE 1.4.15). La NICE pide la </w:t>
      </w:r>
      <w:proofErr w:type="spellStart"/>
      <w:r>
        <w:t>citobioquímica</w:t>
      </w:r>
      <w:proofErr w:type="spellEnd"/>
      <w:r>
        <w:t xml:space="preserve"> disponible en </w:t>
      </w:r>
      <w:r>
        <w:rPr>
          <w:b/>
        </w:rPr>
        <w:t>&lt;4 h</w:t>
      </w:r>
      <w:r>
        <w:t xml:space="preserve"> (1.4.16). Ampliar el estudio etiológico según el contexto clínico (ver capítulo 2).</w:t>
      </w:r>
    </w:p>
    <w:p w14:paraId="7EB6F0A6" w14:textId="77777777" w:rsidR="00736A71" w:rsidRDefault="00B77AB3">
      <w:pPr>
        <w:keepLines/>
      </w:pPr>
      <w:r>
        <w:t>LCR normal (SEMES 2012): claro, presión de apertura de 5‑20 cm H₂O, &lt;5 células/µL (mononucleares), glucosa al 60‑80 % de la glucemia y proteínas de 15‑45 mg/</w:t>
      </w:r>
      <w:proofErr w:type="spellStart"/>
      <w:r>
        <w:t>dL</w:t>
      </w:r>
      <w:proofErr w:type="spellEnd"/>
      <w:r>
        <w:t>. Con 5‑10 células/µL ya hay que considerar que puede ser patológico.</w:t>
      </w:r>
    </w:p>
    <w:tbl>
      <w:tblPr>
        <w:tblW w:w="0" w:type="auto"/>
        <w:jc w:val="center"/>
        <w:tblBorders>
          <w:top w:val="single" w:sz="8" w:space="0" w:color="17384D"/>
          <w:left w:val="nil"/>
          <w:bottom w:val="single" w:sz="12" w:space="0" w:color="17384D"/>
          <w:right w:val="nil"/>
          <w:insideH w:val="single" w:sz="4" w:space="0" w:color="D3DEE3"/>
          <w:insideV w:val="single" w:sz="6" w:space="0" w:color="FFFFFF"/>
        </w:tblBorders>
        <w:tblLayout w:type="fixed"/>
        <w:tblLook w:val="04A0" w:firstRow="1" w:lastRow="0" w:firstColumn="1" w:lastColumn="0" w:noHBand="0" w:noVBand="1"/>
      </w:tblPr>
      <w:tblGrid>
        <w:gridCol w:w="1984"/>
        <w:gridCol w:w="3713"/>
        <w:gridCol w:w="3713"/>
      </w:tblGrid>
      <w:tr w:rsidR="00736A71" w14:paraId="38B9ACDC" w14:textId="77777777">
        <w:trPr>
          <w:cantSplit/>
          <w:tblHeader/>
          <w:jc w:val="center"/>
        </w:trPr>
        <w:tc>
          <w:tcPr>
            <w:tcW w:w="1984" w:type="dxa"/>
            <w:shd w:val="clear" w:color="auto" w:fill="17384D"/>
            <w:tcMar>
              <w:top w:w="95" w:type="dxa"/>
              <w:left w:w="115" w:type="dxa"/>
              <w:bottom w:w="95" w:type="dxa"/>
              <w:right w:w="115" w:type="dxa"/>
            </w:tcMar>
            <w:vAlign w:val="center"/>
          </w:tcPr>
          <w:p w14:paraId="4B3B14C7" w14:textId="77777777" w:rsidR="00736A71" w:rsidRDefault="00B77AB3">
            <w:pPr>
              <w:keepNext/>
              <w:keepLines/>
              <w:suppressAutoHyphens/>
              <w:spacing w:after="0" w:line="252" w:lineRule="auto"/>
              <w:jc w:val="left"/>
            </w:pPr>
            <w:r>
              <w:rPr>
                <w:rFonts w:ascii="Calibri" w:hAnsi="Calibri"/>
                <w:b/>
                <w:color w:val="FFFFFF"/>
                <w:spacing w:val="4"/>
                <w:sz w:val="20"/>
                <w:szCs w:val="20"/>
              </w:rPr>
              <w:t>Parámetro</w:t>
            </w:r>
          </w:p>
        </w:tc>
        <w:tc>
          <w:tcPr>
            <w:tcW w:w="3713" w:type="dxa"/>
            <w:shd w:val="clear" w:color="auto" w:fill="17384D"/>
            <w:tcMar>
              <w:top w:w="95" w:type="dxa"/>
              <w:left w:w="115" w:type="dxa"/>
              <w:bottom w:w="95" w:type="dxa"/>
              <w:right w:w="115" w:type="dxa"/>
            </w:tcMar>
            <w:vAlign w:val="center"/>
          </w:tcPr>
          <w:p w14:paraId="34990111" w14:textId="77777777" w:rsidR="00736A71" w:rsidRDefault="00B77AB3">
            <w:pPr>
              <w:keepNext/>
              <w:keepLines/>
              <w:suppressAutoHyphens/>
              <w:spacing w:after="0" w:line="252" w:lineRule="auto"/>
              <w:jc w:val="left"/>
            </w:pPr>
            <w:r>
              <w:rPr>
                <w:rFonts w:ascii="Calibri" w:hAnsi="Calibri"/>
                <w:b/>
                <w:color w:val="FFFFFF"/>
                <w:spacing w:val="4"/>
                <w:sz w:val="20"/>
                <w:szCs w:val="20"/>
              </w:rPr>
              <w:t>MBA</w:t>
            </w:r>
          </w:p>
        </w:tc>
        <w:tc>
          <w:tcPr>
            <w:tcW w:w="3713" w:type="dxa"/>
            <w:shd w:val="clear" w:color="auto" w:fill="17384D"/>
            <w:tcMar>
              <w:top w:w="95" w:type="dxa"/>
              <w:left w:w="115" w:type="dxa"/>
              <w:bottom w:w="95" w:type="dxa"/>
              <w:right w:w="115" w:type="dxa"/>
            </w:tcMar>
            <w:vAlign w:val="center"/>
          </w:tcPr>
          <w:p w14:paraId="6CCABCCB" w14:textId="77777777" w:rsidR="00736A71" w:rsidRDefault="00B77AB3">
            <w:pPr>
              <w:keepNext/>
              <w:keepLines/>
              <w:suppressAutoHyphens/>
              <w:spacing w:after="0" w:line="252" w:lineRule="auto"/>
              <w:jc w:val="left"/>
            </w:pPr>
            <w:r>
              <w:rPr>
                <w:rFonts w:ascii="Calibri" w:hAnsi="Calibri"/>
                <w:b/>
                <w:color w:val="FFFFFF"/>
                <w:spacing w:val="4"/>
                <w:sz w:val="20"/>
                <w:szCs w:val="20"/>
              </w:rPr>
              <w:t>Meningoencefalitis vírica</w:t>
            </w:r>
          </w:p>
        </w:tc>
      </w:tr>
      <w:tr w:rsidR="00736A71" w14:paraId="17260EAE" w14:textId="77777777">
        <w:trPr>
          <w:cantSplit/>
          <w:jc w:val="center"/>
        </w:trPr>
        <w:tc>
          <w:tcPr>
            <w:tcW w:w="1984" w:type="dxa"/>
            <w:shd w:val="clear" w:color="auto" w:fill="FFFFFF"/>
            <w:tcMar>
              <w:top w:w="95" w:type="dxa"/>
              <w:left w:w="115" w:type="dxa"/>
              <w:bottom w:w="95" w:type="dxa"/>
              <w:right w:w="115" w:type="dxa"/>
            </w:tcMar>
          </w:tcPr>
          <w:p w14:paraId="46294A2A" w14:textId="77777777" w:rsidR="00736A71" w:rsidRDefault="00B77AB3">
            <w:pPr>
              <w:keepNext/>
              <w:keepLines/>
              <w:suppressAutoHyphens/>
              <w:spacing w:after="0" w:line="252" w:lineRule="auto"/>
              <w:jc w:val="left"/>
            </w:pPr>
            <w:r>
              <w:rPr>
                <w:rFonts w:ascii="Calibri" w:hAnsi="Calibri"/>
                <w:color w:val="17384D"/>
                <w:sz w:val="21"/>
              </w:rPr>
              <w:t>Presión de apertura</w:t>
            </w:r>
          </w:p>
        </w:tc>
        <w:tc>
          <w:tcPr>
            <w:tcW w:w="3713" w:type="dxa"/>
            <w:shd w:val="clear" w:color="auto" w:fill="FFFFFF"/>
            <w:tcMar>
              <w:top w:w="95" w:type="dxa"/>
              <w:left w:w="115" w:type="dxa"/>
              <w:bottom w:w="95" w:type="dxa"/>
              <w:right w:w="115" w:type="dxa"/>
            </w:tcMar>
          </w:tcPr>
          <w:p w14:paraId="390F09B8" w14:textId="77777777" w:rsidR="00736A71" w:rsidRDefault="00B77AB3">
            <w:pPr>
              <w:keepNext/>
              <w:keepLines/>
              <w:suppressAutoHyphens/>
              <w:spacing w:after="0" w:line="252" w:lineRule="auto"/>
              <w:jc w:val="left"/>
            </w:pPr>
            <w:r>
              <w:rPr>
                <w:rFonts w:ascii="Calibri" w:hAnsi="Calibri"/>
                <w:b/>
                <w:sz w:val="21"/>
              </w:rPr>
              <w:t>&gt;20 cm H₂O</w:t>
            </w:r>
          </w:p>
        </w:tc>
        <w:tc>
          <w:tcPr>
            <w:tcW w:w="3713" w:type="dxa"/>
            <w:shd w:val="clear" w:color="auto" w:fill="FFFFFF"/>
            <w:tcMar>
              <w:top w:w="95" w:type="dxa"/>
              <w:left w:w="115" w:type="dxa"/>
              <w:bottom w:w="95" w:type="dxa"/>
              <w:right w:w="115" w:type="dxa"/>
            </w:tcMar>
          </w:tcPr>
          <w:p w14:paraId="10F4B73B" w14:textId="77777777" w:rsidR="00736A71" w:rsidRDefault="00B77AB3">
            <w:pPr>
              <w:keepNext/>
              <w:keepLines/>
              <w:suppressAutoHyphens/>
              <w:spacing w:after="0" w:line="252" w:lineRule="auto"/>
              <w:jc w:val="left"/>
            </w:pPr>
            <w:r>
              <w:rPr>
                <w:rFonts w:ascii="Calibri" w:hAnsi="Calibri"/>
                <w:sz w:val="21"/>
              </w:rPr>
              <w:t>Normal o elevada</w:t>
            </w:r>
          </w:p>
        </w:tc>
      </w:tr>
      <w:tr w:rsidR="00736A71" w14:paraId="63E24F2B" w14:textId="77777777">
        <w:trPr>
          <w:cantSplit/>
          <w:jc w:val="center"/>
        </w:trPr>
        <w:tc>
          <w:tcPr>
            <w:tcW w:w="1984" w:type="dxa"/>
            <w:shd w:val="clear" w:color="auto" w:fill="F2F6F8"/>
            <w:tcMar>
              <w:top w:w="95" w:type="dxa"/>
              <w:left w:w="115" w:type="dxa"/>
              <w:bottom w:w="95" w:type="dxa"/>
              <w:right w:w="115" w:type="dxa"/>
            </w:tcMar>
          </w:tcPr>
          <w:p w14:paraId="2A0DDE30" w14:textId="77777777" w:rsidR="00736A71" w:rsidRDefault="00B77AB3">
            <w:pPr>
              <w:keepNext/>
              <w:keepLines/>
              <w:suppressAutoHyphens/>
              <w:spacing w:after="0" w:line="252" w:lineRule="auto"/>
              <w:jc w:val="left"/>
            </w:pPr>
            <w:r>
              <w:rPr>
                <w:rFonts w:ascii="Calibri" w:hAnsi="Calibri"/>
                <w:color w:val="17384D"/>
                <w:sz w:val="21"/>
              </w:rPr>
              <w:t>Leucocitos en el LCR</w:t>
            </w:r>
          </w:p>
        </w:tc>
        <w:tc>
          <w:tcPr>
            <w:tcW w:w="3713" w:type="dxa"/>
            <w:shd w:val="clear" w:color="auto" w:fill="F2F6F8"/>
            <w:tcMar>
              <w:top w:w="95" w:type="dxa"/>
              <w:left w:w="115" w:type="dxa"/>
              <w:bottom w:w="95" w:type="dxa"/>
              <w:right w:w="115" w:type="dxa"/>
            </w:tcMar>
          </w:tcPr>
          <w:p w14:paraId="71119B05" w14:textId="77777777" w:rsidR="00736A71" w:rsidRDefault="00B77AB3">
            <w:pPr>
              <w:keepNext/>
              <w:keepLines/>
              <w:suppressAutoHyphens/>
              <w:spacing w:after="0" w:line="252" w:lineRule="auto"/>
              <w:jc w:val="left"/>
            </w:pPr>
            <w:r>
              <w:rPr>
                <w:rFonts w:ascii="Calibri" w:hAnsi="Calibri"/>
                <w:sz w:val="21"/>
              </w:rPr>
              <w:t xml:space="preserve">Habitualmente </w:t>
            </w:r>
            <w:r>
              <w:rPr>
                <w:rFonts w:ascii="Calibri" w:hAnsi="Calibri"/>
                <w:b/>
                <w:sz w:val="21"/>
              </w:rPr>
              <w:t>100‑1.000/µL</w:t>
            </w:r>
            <w:r>
              <w:rPr>
                <w:rFonts w:ascii="Calibri" w:hAnsi="Calibri"/>
                <w:sz w:val="21"/>
              </w:rPr>
              <w:t>, de predominio polinuclear</w:t>
            </w:r>
          </w:p>
        </w:tc>
        <w:tc>
          <w:tcPr>
            <w:tcW w:w="3713" w:type="dxa"/>
            <w:shd w:val="clear" w:color="auto" w:fill="F2F6F8"/>
            <w:tcMar>
              <w:top w:w="95" w:type="dxa"/>
              <w:left w:w="115" w:type="dxa"/>
              <w:bottom w:w="95" w:type="dxa"/>
              <w:right w:w="115" w:type="dxa"/>
            </w:tcMar>
          </w:tcPr>
          <w:p w14:paraId="4B7508E0" w14:textId="77777777" w:rsidR="00736A71" w:rsidRDefault="00B77AB3">
            <w:pPr>
              <w:keepNext/>
              <w:keepLines/>
              <w:suppressAutoHyphens/>
              <w:spacing w:after="0" w:line="252" w:lineRule="auto"/>
              <w:jc w:val="left"/>
            </w:pPr>
            <w:r>
              <w:rPr>
                <w:rFonts w:ascii="Calibri" w:hAnsi="Calibri"/>
                <w:sz w:val="21"/>
              </w:rPr>
              <w:t xml:space="preserve">Habitualmente </w:t>
            </w:r>
            <w:r>
              <w:rPr>
                <w:rFonts w:ascii="Calibri" w:hAnsi="Calibri"/>
                <w:b/>
                <w:sz w:val="21"/>
              </w:rPr>
              <w:t>10‑500/µL</w:t>
            </w:r>
            <w:r>
              <w:rPr>
                <w:rFonts w:ascii="Calibri" w:hAnsi="Calibri"/>
                <w:sz w:val="21"/>
              </w:rPr>
              <w:t>, de predominio linfocitario*</w:t>
            </w:r>
          </w:p>
        </w:tc>
      </w:tr>
      <w:tr w:rsidR="00736A71" w14:paraId="000AD18D" w14:textId="77777777">
        <w:trPr>
          <w:cantSplit/>
          <w:jc w:val="center"/>
        </w:trPr>
        <w:tc>
          <w:tcPr>
            <w:tcW w:w="1984" w:type="dxa"/>
            <w:shd w:val="clear" w:color="auto" w:fill="FFFFFF"/>
            <w:tcMar>
              <w:top w:w="95" w:type="dxa"/>
              <w:left w:w="115" w:type="dxa"/>
              <w:bottom w:w="95" w:type="dxa"/>
              <w:right w:w="115" w:type="dxa"/>
            </w:tcMar>
          </w:tcPr>
          <w:p w14:paraId="7C03FDA2" w14:textId="77777777" w:rsidR="00736A71" w:rsidRDefault="00B77AB3">
            <w:pPr>
              <w:keepNext/>
              <w:keepLines/>
              <w:suppressAutoHyphens/>
              <w:spacing w:after="0" w:line="252" w:lineRule="auto"/>
              <w:jc w:val="left"/>
            </w:pPr>
            <w:r>
              <w:rPr>
                <w:rFonts w:ascii="Calibri" w:hAnsi="Calibri"/>
                <w:color w:val="17384D"/>
                <w:sz w:val="21"/>
              </w:rPr>
              <w:t>Glucosa</w:t>
            </w:r>
          </w:p>
        </w:tc>
        <w:tc>
          <w:tcPr>
            <w:tcW w:w="3713" w:type="dxa"/>
            <w:shd w:val="clear" w:color="auto" w:fill="FFFFFF"/>
            <w:tcMar>
              <w:top w:w="95" w:type="dxa"/>
              <w:left w:w="115" w:type="dxa"/>
              <w:bottom w:w="95" w:type="dxa"/>
              <w:right w:w="115" w:type="dxa"/>
            </w:tcMar>
          </w:tcPr>
          <w:p w14:paraId="402627F6" w14:textId="77777777" w:rsidR="00736A71" w:rsidRDefault="00B77AB3">
            <w:pPr>
              <w:keepNext/>
              <w:keepLines/>
              <w:suppressAutoHyphens/>
              <w:spacing w:after="0" w:line="252" w:lineRule="auto"/>
              <w:jc w:val="left"/>
            </w:pPr>
            <w:r>
              <w:rPr>
                <w:rFonts w:ascii="Calibri" w:hAnsi="Calibri"/>
                <w:b/>
                <w:sz w:val="21"/>
              </w:rPr>
              <w:t>&lt;45 mg/</w:t>
            </w:r>
            <w:proofErr w:type="spellStart"/>
            <w:r>
              <w:rPr>
                <w:rFonts w:ascii="Calibri" w:hAnsi="Calibri"/>
                <w:b/>
                <w:sz w:val="21"/>
              </w:rPr>
              <w:t>dL</w:t>
            </w:r>
            <w:proofErr w:type="spellEnd"/>
            <w:r>
              <w:rPr>
                <w:rFonts w:ascii="Calibri" w:hAnsi="Calibri"/>
                <w:b/>
                <w:sz w:val="21"/>
              </w:rPr>
              <w:t xml:space="preserve"> o &lt;40 % de la glucemia simultánea</w:t>
            </w:r>
          </w:p>
        </w:tc>
        <w:tc>
          <w:tcPr>
            <w:tcW w:w="3713" w:type="dxa"/>
            <w:shd w:val="clear" w:color="auto" w:fill="FFFFFF"/>
            <w:tcMar>
              <w:top w:w="95" w:type="dxa"/>
              <w:left w:w="115" w:type="dxa"/>
              <w:bottom w:w="95" w:type="dxa"/>
              <w:right w:w="115" w:type="dxa"/>
            </w:tcMar>
          </w:tcPr>
          <w:p w14:paraId="12D7E8CE" w14:textId="77777777" w:rsidR="00736A71" w:rsidRDefault="00B77AB3">
            <w:pPr>
              <w:keepNext/>
              <w:keepLines/>
              <w:suppressAutoHyphens/>
              <w:spacing w:after="0" w:line="252" w:lineRule="auto"/>
              <w:jc w:val="left"/>
            </w:pPr>
            <w:r>
              <w:rPr>
                <w:rFonts w:ascii="Calibri" w:hAnsi="Calibri"/>
                <w:sz w:val="21"/>
              </w:rPr>
              <w:t>Normal o ligeramente disminuida</w:t>
            </w:r>
          </w:p>
        </w:tc>
      </w:tr>
      <w:tr w:rsidR="00736A71" w14:paraId="738F745F" w14:textId="77777777">
        <w:trPr>
          <w:cantSplit/>
          <w:jc w:val="center"/>
        </w:trPr>
        <w:tc>
          <w:tcPr>
            <w:tcW w:w="1984" w:type="dxa"/>
            <w:shd w:val="clear" w:color="auto" w:fill="F2F6F8"/>
            <w:tcMar>
              <w:top w:w="95" w:type="dxa"/>
              <w:left w:w="115" w:type="dxa"/>
              <w:bottom w:w="95" w:type="dxa"/>
              <w:right w:w="115" w:type="dxa"/>
            </w:tcMar>
          </w:tcPr>
          <w:p w14:paraId="3A15AFDE" w14:textId="77777777" w:rsidR="00736A71" w:rsidRDefault="00B77AB3">
            <w:pPr>
              <w:keepLines/>
              <w:suppressAutoHyphens/>
              <w:spacing w:after="0" w:line="252" w:lineRule="auto"/>
              <w:jc w:val="left"/>
            </w:pPr>
            <w:r>
              <w:rPr>
                <w:rFonts w:ascii="Calibri" w:hAnsi="Calibri"/>
                <w:color w:val="17384D"/>
                <w:sz w:val="21"/>
              </w:rPr>
              <w:t>Proteínas</w:t>
            </w:r>
          </w:p>
        </w:tc>
        <w:tc>
          <w:tcPr>
            <w:tcW w:w="3713" w:type="dxa"/>
            <w:shd w:val="clear" w:color="auto" w:fill="F2F6F8"/>
            <w:tcMar>
              <w:top w:w="95" w:type="dxa"/>
              <w:left w:w="115" w:type="dxa"/>
              <w:bottom w:w="95" w:type="dxa"/>
              <w:right w:w="115" w:type="dxa"/>
            </w:tcMar>
          </w:tcPr>
          <w:p w14:paraId="6D08A07A" w14:textId="77777777" w:rsidR="00736A71" w:rsidRDefault="00B77AB3">
            <w:pPr>
              <w:keepLines/>
              <w:suppressAutoHyphens/>
              <w:spacing w:after="0" w:line="252" w:lineRule="auto"/>
              <w:jc w:val="left"/>
            </w:pPr>
            <w:r>
              <w:rPr>
                <w:rFonts w:ascii="Calibri" w:hAnsi="Calibri"/>
                <w:b/>
                <w:sz w:val="21"/>
              </w:rPr>
              <w:t>&gt;50 mg/</w:t>
            </w:r>
            <w:proofErr w:type="spellStart"/>
            <w:r>
              <w:rPr>
                <w:rFonts w:ascii="Calibri" w:hAnsi="Calibri"/>
                <w:b/>
                <w:sz w:val="21"/>
              </w:rPr>
              <w:t>dL</w:t>
            </w:r>
            <w:proofErr w:type="spellEnd"/>
          </w:p>
        </w:tc>
        <w:tc>
          <w:tcPr>
            <w:tcW w:w="3713" w:type="dxa"/>
            <w:shd w:val="clear" w:color="auto" w:fill="F2F6F8"/>
            <w:tcMar>
              <w:top w:w="95" w:type="dxa"/>
              <w:left w:w="115" w:type="dxa"/>
              <w:bottom w:w="95" w:type="dxa"/>
              <w:right w:w="115" w:type="dxa"/>
            </w:tcMar>
          </w:tcPr>
          <w:p w14:paraId="7F016513" w14:textId="77777777" w:rsidR="00736A71" w:rsidRDefault="00B77AB3">
            <w:pPr>
              <w:keepLines/>
              <w:suppressAutoHyphens/>
              <w:spacing w:after="0" w:line="252" w:lineRule="auto"/>
              <w:jc w:val="left"/>
            </w:pPr>
            <w:r>
              <w:rPr>
                <w:rFonts w:ascii="Calibri" w:hAnsi="Calibri"/>
                <w:b/>
                <w:sz w:val="21"/>
              </w:rPr>
              <w:t>40‑120 mg/</w:t>
            </w:r>
            <w:proofErr w:type="spellStart"/>
            <w:r>
              <w:rPr>
                <w:rFonts w:ascii="Calibri" w:hAnsi="Calibri"/>
                <w:b/>
                <w:sz w:val="21"/>
              </w:rPr>
              <w:t>dL</w:t>
            </w:r>
            <w:proofErr w:type="spellEnd"/>
          </w:p>
        </w:tc>
      </w:tr>
    </w:tbl>
    <w:p w14:paraId="6170650F" w14:textId="77777777" w:rsidR="00736A71" w:rsidRDefault="00736A71">
      <w:pPr>
        <w:widowControl w:val="0"/>
        <w:spacing w:after="0" w:line="140" w:lineRule="exact"/>
      </w:pPr>
    </w:p>
    <w:p w14:paraId="2FE1D6BA" w14:textId="77777777" w:rsidR="00736A71" w:rsidRDefault="00B77AB3">
      <w:pPr>
        <w:keepLines/>
        <w:spacing w:before="60" w:after="200"/>
      </w:pPr>
      <w:r>
        <w:rPr>
          <w:color w:val="4F5F68"/>
          <w:sz w:val="19"/>
          <w:szCs w:val="19"/>
        </w:rPr>
        <w:t>Son perfiles orientativos, con solapamiento. *En fases precoces de infección vírica puede haber LCR normal o predominio neutrofílico; con Listeria el LCR puede ser linfocitario. Ver capítulo 2.</w:t>
      </w:r>
    </w:p>
    <w:p w14:paraId="05F77517" w14:textId="77777777" w:rsidR="00736A71" w:rsidRDefault="00B77AB3">
      <w:pPr>
        <w:keepNext/>
        <w:keepLines/>
        <w:spacing w:before="200" w:after="100"/>
        <w:jc w:val="left"/>
      </w:pPr>
      <w:r>
        <w:rPr>
          <w:rFonts w:ascii="Calibri" w:hAnsi="Calibri" w:cs="Calibri"/>
          <w:b/>
          <w:color w:val="17384D"/>
        </w:rPr>
        <w:t>Perfil del LCR en la MBA</w:t>
      </w:r>
    </w:p>
    <w:tbl>
      <w:tblPr>
        <w:tblW w:w="0" w:type="auto"/>
        <w:jc w:val="center"/>
        <w:tblBorders>
          <w:top w:val="single" w:sz="8" w:space="0" w:color="17384D"/>
          <w:left w:val="nil"/>
          <w:bottom w:val="single" w:sz="12" w:space="0" w:color="17384D"/>
          <w:right w:val="nil"/>
          <w:insideH w:val="single" w:sz="4" w:space="0" w:color="D3DEE3"/>
          <w:insideV w:val="single" w:sz="6" w:space="0" w:color="FFFFFF"/>
        </w:tblBorders>
        <w:tblLayout w:type="fixed"/>
        <w:tblLook w:val="04A0" w:firstRow="1" w:lastRow="0" w:firstColumn="1" w:lastColumn="0" w:noHBand="0" w:noVBand="1"/>
      </w:tblPr>
      <w:tblGrid>
        <w:gridCol w:w="1984"/>
        <w:gridCol w:w="3713"/>
        <w:gridCol w:w="3713"/>
      </w:tblGrid>
      <w:tr w:rsidR="00736A71" w14:paraId="3C8E017B" w14:textId="77777777">
        <w:trPr>
          <w:cantSplit/>
          <w:tblHeader/>
          <w:jc w:val="center"/>
        </w:trPr>
        <w:tc>
          <w:tcPr>
            <w:tcW w:w="1984" w:type="dxa"/>
            <w:shd w:val="clear" w:color="auto" w:fill="17384D"/>
            <w:tcMar>
              <w:top w:w="95" w:type="dxa"/>
              <w:left w:w="115" w:type="dxa"/>
              <w:bottom w:w="95" w:type="dxa"/>
              <w:right w:w="115" w:type="dxa"/>
            </w:tcMar>
            <w:vAlign w:val="center"/>
          </w:tcPr>
          <w:p w14:paraId="0153ACD4" w14:textId="77777777" w:rsidR="00736A71" w:rsidRDefault="00B77AB3">
            <w:pPr>
              <w:keepNext/>
              <w:keepLines/>
              <w:suppressAutoHyphens/>
              <w:spacing w:after="0" w:line="252" w:lineRule="auto"/>
              <w:jc w:val="left"/>
            </w:pPr>
            <w:r>
              <w:rPr>
                <w:rFonts w:ascii="Calibri" w:hAnsi="Calibri"/>
                <w:b/>
                <w:color w:val="FFFFFF"/>
                <w:spacing w:val="4"/>
                <w:sz w:val="20"/>
                <w:szCs w:val="20"/>
              </w:rPr>
              <w:t>Parámetro</w:t>
            </w:r>
          </w:p>
        </w:tc>
        <w:tc>
          <w:tcPr>
            <w:tcW w:w="3713" w:type="dxa"/>
            <w:shd w:val="clear" w:color="auto" w:fill="17384D"/>
            <w:tcMar>
              <w:top w:w="95" w:type="dxa"/>
              <w:left w:w="115" w:type="dxa"/>
              <w:bottom w:w="95" w:type="dxa"/>
              <w:right w:w="115" w:type="dxa"/>
            </w:tcMar>
            <w:vAlign w:val="center"/>
          </w:tcPr>
          <w:p w14:paraId="021A00B5" w14:textId="77777777" w:rsidR="00736A71" w:rsidRDefault="00B77AB3">
            <w:pPr>
              <w:keepNext/>
              <w:keepLines/>
              <w:suppressAutoHyphens/>
              <w:spacing w:after="0" w:line="252" w:lineRule="auto"/>
              <w:jc w:val="left"/>
            </w:pPr>
            <w:r>
              <w:rPr>
                <w:rFonts w:ascii="Calibri" w:hAnsi="Calibri"/>
                <w:b/>
                <w:color w:val="FFFFFF"/>
                <w:spacing w:val="4"/>
                <w:sz w:val="20"/>
                <w:szCs w:val="20"/>
              </w:rPr>
              <w:t>Perfil habitual</w:t>
            </w:r>
          </w:p>
        </w:tc>
        <w:tc>
          <w:tcPr>
            <w:tcW w:w="3713" w:type="dxa"/>
            <w:shd w:val="clear" w:color="auto" w:fill="17384D"/>
            <w:tcMar>
              <w:top w:w="95" w:type="dxa"/>
              <w:left w:w="115" w:type="dxa"/>
              <w:bottom w:w="95" w:type="dxa"/>
              <w:right w:w="115" w:type="dxa"/>
            </w:tcMar>
            <w:vAlign w:val="center"/>
          </w:tcPr>
          <w:p w14:paraId="3A99E25E" w14:textId="77777777" w:rsidR="00736A71" w:rsidRDefault="00B77AB3">
            <w:pPr>
              <w:keepNext/>
              <w:keepLines/>
              <w:suppressAutoHyphens/>
              <w:spacing w:after="0" w:line="252" w:lineRule="auto"/>
              <w:jc w:val="left"/>
            </w:pPr>
            <w:r>
              <w:rPr>
                <w:rFonts w:ascii="Calibri" w:hAnsi="Calibri"/>
                <w:b/>
                <w:color w:val="FFFFFF"/>
                <w:spacing w:val="4"/>
                <w:sz w:val="20"/>
                <w:szCs w:val="20"/>
              </w:rPr>
              <w:t>Datos que hacen especialmente probable la MBA</w:t>
            </w:r>
          </w:p>
        </w:tc>
      </w:tr>
      <w:tr w:rsidR="00736A71" w14:paraId="0941BEB9" w14:textId="77777777">
        <w:trPr>
          <w:cantSplit/>
          <w:jc w:val="center"/>
        </w:trPr>
        <w:tc>
          <w:tcPr>
            <w:tcW w:w="1984" w:type="dxa"/>
            <w:shd w:val="clear" w:color="auto" w:fill="FFFFFF"/>
            <w:tcMar>
              <w:top w:w="95" w:type="dxa"/>
              <w:left w:w="115" w:type="dxa"/>
              <w:bottom w:w="95" w:type="dxa"/>
              <w:right w:w="115" w:type="dxa"/>
            </w:tcMar>
          </w:tcPr>
          <w:p w14:paraId="2EDBA84C" w14:textId="77777777" w:rsidR="00736A71" w:rsidRDefault="00B77AB3">
            <w:pPr>
              <w:keepNext/>
              <w:keepLines/>
              <w:suppressAutoHyphens/>
              <w:spacing w:after="0" w:line="252" w:lineRule="auto"/>
              <w:jc w:val="left"/>
            </w:pPr>
            <w:r>
              <w:rPr>
                <w:rFonts w:ascii="Calibri" w:hAnsi="Calibri"/>
                <w:b/>
                <w:color w:val="17384D"/>
                <w:sz w:val="21"/>
              </w:rPr>
              <w:t>Presión de apertura</w:t>
            </w:r>
          </w:p>
        </w:tc>
        <w:tc>
          <w:tcPr>
            <w:tcW w:w="3713" w:type="dxa"/>
            <w:shd w:val="clear" w:color="auto" w:fill="FFFFFF"/>
            <w:tcMar>
              <w:top w:w="95" w:type="dxa"/>
              <w:left w:w="115" w:type="dxa"/>
              <w:bottom w:w="95" w:type="dxa"/>
              <w:right w:w="115" w:type="dxa"/>
            </w:tcMar>
          </w:tcPr>
          <w:p w14:paraId="3BD43291" w14:textId="77777777" w:rsidR="00736A71" w:rsidRDefault="00B77AB3">
            <w:pPr>
              <w:keepNext/>
              <w:keepLines/>
              <w:suppressAutoHyphens/>
              <w:spacing w:after="0" w:line="252" w:lineRule="auto"/>
              <w:jc w:val="left"/>
            </w:pPr>
            <w:r>
              <w:rPr>
                <w:rFonts w:ascii="Calibri" w:hAnsi="Calibri"/>
                <w:b/>
                <w:sz w:val="21"/>
              </w:rPr>
              <w:t>&gt;20 cm H₂O</w:t>
            </w:r>
          </w:p>
        </w:tc>
        <w:tc>
          <w:tcPr>
            <w:tcW w:w="3713" w:type="dxa"/>
            <w:shd w:val="clear" w:color="auto" w:fill="FFFFFF"/>
            <w:tcMar>
              <w:top w:w="95" w:type="dxa"/>
              <w:left w:w="115" w:type="dxa"/>
              <w:bottom w:w="95" w:type="dxa"/>
              <w:right w:w="115" w:type="dxa"/>
            </w:tcMar>
          </w:tcPr>
          <w:p w14:paraId="56A4BF0A" w14:textId="77777777" w:rsidR="00736A71" w:rsidRDefault="00B77AB3">
            <w:pPr>
              <w:keepNext/>
              <w:keepLines/>
              <w:suppressAutoHyphens/>
              <w:spacing w:after="0" w:line="252" w:lineRule="auto"/>
              <w:jc w:val="left"/>
            </w:pPr>
            <w:r>
              <w:rPr>
                <w:rFonts w:ascii="Calibri" w:hAnsi="Calibri"/>
                <w:sz w:val="21"/>
              </w:rPr>
              <w:t>—</w:t>
            </w:r>
          </w:p>
        </w:tc>
      </w:tr>
      <w:tr w:rsidR="00736A71" w14:paraId="0C4D198E" w14:textId="77777777">
        <w:trPr>
          <w:cantSplit/>
          <w:jc w:val="center"/>
        </w:trPr>
        <w:tc>
          <w:tcPr>
            <w:tcW w:w="1984" w:type="dxa"/>
            <w:shd w:val="clear" w:color="auto" w:fill="F2F6F8"/>
            <w:tcMar>
              <w:top w:w="95" w:type="dxa"/>
              <w:left w:w="115" w:type="dxa"/>
              <w:bottom w:w="95" w:type="dxa"/>
              <w:right w:w="115" w:type="dxa"/>
            </w:tcMar>
          </w:tcPr>
          <w:p w14:paraId="3A3E7BC0" w14:textId="77777777" w:rsidR="00736A71" w:rsidRDefault="00B77AB3">
            <w:pPr>
              <w:keepNext/>
              <w:keepLines/>
              <w:suppressAutoHyphens/>
              <w:spacing w:after="0" w:line="252" w:lineRule="auto"/>
              <w:jc w:val="left"/>
            </w:pPr>
            <w:r>
              <w:rPr>
                <w:rFonts w:ascii="Calibri" w:hAnsi="Calibri"/>
                <w:b/>
                <w:color w:val="17384D"/>
                <w:sz w:val="21"/>
              </w:rPr>
              <w:t>Leucocitos en el LCR</w:t>
            </w:r>
          </w:p>
        </w:tc>
        <w:tc>
          <w:tcPr>
            <w:tcW w:w="3713" w:type="dxa"/>
            <w:shd w:val="clear" w:color="auto" w:fill="F2F6F8"/>
            <w:tcMar>
              <w:top w:w="95" w:type="dxa"/>
              <w:left w:w="115" w:type="dxa"/>
              <w:bottom w:w="95" w:type="dxa"/>
              <w:right w:w="115" w:type="dxa"/>
            </w:tcMar>
          </w:tcPr>
          <w:p w14:paraId="0A1E459A" w14:textId="77777777" w:rsidR="00736A71" w:rsidRDefault="00B77AB3">
            <w:pPr>
              <w:keepNext/>
              <w:keepLines/>
              <w:suppressAutoHyphens/>
              <w:spacing w:after="0" w:line="252" w:lineRule="auto"/>
              <w:jc w:val="left"/>
            </w:pPr>
            <w:r>
              <w:rPr>
                <w:rFonts w:ascii="Calibri" w:hAnsi="Calibri"/>
                <w:sz w:val="21"/>
              </w:rPr>
              <w:t>100‑1.000 células/µL, de predominio polinuclear</w:t>
            </w:r>
          </w:p>
        </w:tc>
        <w:tc>
          <w:tcPr>
            <w:tcW w:w="3713" w:type="dxa"/>
            <w:shd w:val="clear" w:color="auto" w:fill="F2F6F8"/>
            <w:tcMar>
              <w:top w:w="95" w:type="dxa"/>
              <w:left w:w="115" w:type="dxa"/>
              <w:bottom w:w="95" w:type="dxa"/>
              <w:right w:w="115" w:type="dxa"/>
            </w:tcMar>
          </w:tcPr>
          <w:p w14:paraId="4660D80C" w14:textId="77777777" w:rsidR="00736A71" w:rsidRDefault="00B77AB3">
            <w:pPr>
              <w:keepNext/>
              <w:keepLines/>
              <w:suppressAutoHyphens/>
              <w:spacing w:after="0" w:line="252" w:lineRule="auto"/>
              <w:jc w:val="left"/>
            </w:pPr>
            <w:r>
              <w:rPr>
                <w:rFonts w:ascii="Calibri" w:hAnsi="Calibri"/>
                <w:b/>
                <w:sz w:val="21"/>
              </w:rPr>
              <w:t>&gt;2.000 células/µL o &gt;1.180 polinucleares/µL</w:t>
            </w:r>
          </w:p>
        </w:tc>
      </w:tr>
      <w:tr w:rsidR="00736A71" w14:paraId="3F5C5275" w14:textId="77777777">
        <w:trPr>
          <w:cantSplit/>
          <w:jc w:val="center"/>
        </w:trPr>
        <w:tc>
          <w:tcPr>
            <w:tcW w:w="1984" w:type="dxa"/>
            <w:shd w:val="clear" w:color="auto" w:fill="FFFFFF"/>
            <w:tcMar>
              <w:top w:w="95" w:type="dxa"/>
              <w:left w:w="115" w:type="dxa"/>
              <w:bottom w:w="95" w:type="dxa"/>
              <w:right w:w="115" w:type="dxa"/>
            </w:tcMar>
          </w:tcPr>
          <w:p w14:paraId="04DA2439" w14:textId="77777777" w:rsidR="00736A71" w:rsidRDefault="00B77AB3">
            <w:pPr>
              <w:keepNext/>
              <w:keepLines/>
              <w:suppressAutoHyphens/>
              <w:spacing w:after="0" w:line="252" w:lineRule="auto"/>
              <w:jc w:val="left"/>
            </w:pPr>
            <w:r>
              <w:rPr>
                <w:rFonts w:ascii="Calibri" w:hAnsi="Calibri"/>
                <w:b/>
                <w:color w:val="17384D"/>
                <w:sz w:val="21"/>
              </w:rPr>
              <w:t>Glucosa</w:t>
            </w:r>
          </w:p>
        </w:tc>
        <w:tc>
          <w:tcPr>
            <w:tcW w:w="3713" w:type="dxa"/>
            <w:shd w:val="clear" w:color="auto" w:fill="FFFFFF"/>
            <w:tcMar>
              <w:top w:w="95" w:type="dxa"/>
              <w:left w:w="115" w:type="dxa"/>
              <w:bottom w:w="95" w:type="dxa"/>
              <w:right w:w="115" w:type="dxa"/>
            </w:tcMar>
          </w:tcPr>
          <w:p w14:paraId="3FAC44B2" w14:textId="77777777" w:rsidR="00736A71" w:rsidRDefault="00B77AB3">
            <w:pPr>
              <w:keepNext/>
              <w:keepLines/>
              <w:suppressAutoHyphens/>
              <w:spacing w:after="0" w:line="252" w:lineRule="auto"/>
              <w:jc w:val="left"/>
            </w:pPr>
            <w:r>
              <w:rPr>
                <w:rFonts w:ascii="Calibri" w:hAnsi="Calibri"/>
                <w:b/>
                <w:sz w:val="21"/>
              </w:rPr>
              <w:t>&lt;45 mg/</w:t>
            </w:r>
            <w:proofErr w:type="spellStart"/>
            <w:r>
              <w:rPr>
                <w:rFonts w:ascii="Calibri" w:hAnsi="Calibri"/>
                <w:b/>
                <w:sz w:val="21"/>
              </w:rPr>
              <w:t>dL</w:t>
            </w:r>
            <w:proofErr w:type="spellEnd"/>
            <w:r>
              <w:rPr>
                <w:rFonts w:ascii="Calibri" w:hAnsi="Calibri"/>
                <w:b/>
                <w:sz w:val="21"/>
              </w:rPr>
              <w:t xml:space="preserve"> o &lt;40 % de la glucemia simultánea</w:t>
            </w:r>
          </w:p>
        </w:tc>
        <w:tc>
          <w:tcPr>
            <w:tcW w:w="3713" w:type="dxa"/>
            <w:shd w:val="clear" w:color="auto" w:fill="FFFFFF"/>
            <w:tcMar>
              <w:top w:w="95" w:type="dxa"/>
              <w:left w:w="115" w:type="dxa"/>
              <w:bottom w:w="95" w:type="dxa"/>
              <w:right w:w="115" w:type="dxa"/>
            </w:tcMar>
          </w:tcPr>
          <w:p w14:paraId="4ED43E06" w14:textId="77777777" w:rsidR="00736A71" w:rsidRDefault="00B77AB3">
            <w:pPr>
              <w:keepNext/>
              <w:keepLines/>
              <w:suppressAutoHyphens/>
              <w:spacing w:after="0" w:line="252" w:lineRule="auto"/>
              <w:jc w:val="left"/>
            </w:pPr>
            <w:r>
              <w:rPr>
                <w:rFonts w:ascii="Calibri" w:hAnsi="Calibri"/>
                <w:b/>
                <w:sz w:val="21"/>
              </w:rPr>
              <w:t>&lt;45 mg/</w:t>
            </w:r>
            <w:proofErr w:type="spellStart"/>
            <w:r>
              <w:rPr>
                <w:rFonts w:ascii="Calibri" w:hAnsi="Calibri"/>
                <w:b/>
                <w:sz w:val="21"/>
              </w:rPr>
              <w:t>dL</w:t>
            </w:r>
            <w:proofErr w:type="spellEnd"/>
          </w:p>
        </w:tc>
      </w:tr>
      <w:tr w:rsidR="00736A71" w14:paraId="0241230A" w14:textId="77777777">
        <w:trPr>
          <w:cantSplit/>
          <w:jc w:val="center"/>
        </w:trPr>
        <w:tc>
          <w:tcPr>
            <w:tcW w:w="1984" w:type="dxa"/>
            <w:shd w:val="clear" w:color="auto" w:fill="F2F6F8"/>
            <w:tcMar>
              <w:top w:w="95" w:type="dxa"/>
              <w:left w:w="115" w:type="dxa"/>
              <w:bottom w:w="95" w:type="dxa"/>
              <w:right w:w="115" w:type="dxa"/>
            </w:tcMar>
          </w:tcPr>
          <w:p w14:paraId="53D42A05" w14:textId="77777777" w:rsidR="00736A71" w:rsidRDefault="00B77AB3">
            <w:pPr>
              <w:keepNext/>
              <w:keepLines/>
              <w:suppressAutoHyphens/>
              <w:spacing w:after="0" w:line="252" w:lineRule="auto"/>
              <w:jc w:val="left"/>
            </w:pPr>
            <w:r>
              <w:rPr>
                <w:rFonts w:ascii="Calibri" w:hAnsi="Calibri"/>
                <w:b/>
                <w:color w:val="17384D"/>
                <w:sz w:val="21"/>
              </w:rPr>
              <w:t>Proteínas</w:t>
            </w:r>
          </w:p>
        </w:tc>
        <w:tc>
          <w:tcPr>
            <w:tcW w:w="3713" w:type="dxa"/>
            <w:shd w:val="clear" w:color="auto" w:fill="F2F6F8"/>
            <w:tcMar>
              <w:top w:w="95" w:type="dxa"/>
              <w:left w:w="115" w:type="dxa"/>
              <w:bottom w:w="95" w:type="dxa"/>
              <w:right w:w="115" w:type="dxa"/>
            </w:tcMar>
          </w:tcPr>
          <w:p w14:paraId="0D5CE1A7" w14:textId="77777777" w:rsidR="00736A71" w:rsidRDefault="00B77AB3">
            <w:pPr>
              <w:keepNext/>
              <w:keepLines/>
              <w:suppressAutoHyphens/>
              <w:spacing w:after="0" w:line="252" w:lineRule="auto"/>
              <w:jc w:val="left"/>
            </w:pPr>
            <w:r>
              <w:rPr>
                <w:rFonts w:ascii="Calibri" w:hAnsi="Calibri"/>
                <w:b/>
                <w:sz w:val="21"/>
              </w:rPr>
              <w:t>&gt;50 mg/</w:t>
            </w:r>
            <w:proofErr w:type="spellStart"/>
            <w:r>
              <w:rPr>
                <w:rFonts w:ascii="Calibri" w:hAnsi="Calibri"/>
                <w:b/>
                <w:sz w:val="21"/>
              </w:rPr>
              <w:t>dL</w:t>
            </w:r>
            <w:proofErr w:type="spellEnd"/>
          </w:p>
        </w:tc>
        <w:tc>
          <w:tcPr>
            <w:tcW w:w="3713" w:type="dxa"/>
            <w:shd w:val="clear" w:color="auto" w:fill="F2F6F8"/>
            <w:tcMar>
              <w:top w:w="95" w:type="dxa"/>
              <w:left w:w="115" w:type="dxa"/>
              <w:bottom w:w="95" w:type="dxa"/>
              <w:right w:w="115" w:type="dxa"/>
            </w:tcMar>
          </w:tcPr>
          <w:p w14:paraId="3F49835B" w14:textId="77777777" w:rsidR="00736A71" w:rsidRDefault="00B77AB3">
            <w:pPr>
              <w:keepNext/>
              <w:keepLines/>
              <w:suppressAutoHyphens/>
              <w:spacing w:after="0" w:line="252" w:lineRule="auto"/>
              <w:jc w:val="left"/>
            </w:pPr>
            <w:r>
              <w:rPr>
                <w:rFonts w:ascii="Calibri" w:hAnsi="Calibri"/>
                <w:b/>
                <w:sz w:val="21"/>
              </w:rPr>
              <w:t>&gt;220 mg/</w:t>
            </w:r>
            <w:proofErr w:type="spellStart"/>
            <w:r>
              <w:rPr>
                <w:rFonts w:ascii="Calibri" w:hAnsi="Calibri"/>
                <w:b/>
                <w:sz w:val="21"/>
              </w:rPr>
              <w:t>dL</w:t>
            </w:r>
            <w:proofErr w:type="spellEnd"/>
          </w:p>
        </w:tc>
      </w:tr>
    </w:tbl>
    <w:p w14:paraId="17E9D61B" w14:textId="77777777" w:rsidR="00736A71" w:rsidRDefault="00B77AB3">
      <w:pPr>
        <w:keepLines/>
        <w:spacing w:before="60" w:after="200"/>
      </w:pPr>
      <w:r>
        <w:rPr>
          <w:i/>
          <w:color w:val="4F5F68"/>
          <w:sz w:val="19"/>
          <w:szCs w:val="19"/>
        </w:rPr>
        <w:t xml:space="preserve">Este perfil aparece en más del 90 % de los pacientes. Con </w:t>
      </w:r>
      <w:r>
        <w:rPr>
          <w:b/>
          <w:i/>
          <w:color w:val="4F5F68"/>
          <w:sz w:val="19"/>
          <w:szCs w:val="19"/>
        </w:rPr>
        <w:t>Listeria</w:t>
      </w:r>
      <w:r>
        <w:rPr>
          <w:i/>
          <w:color w:val="4F5F68"/>
          <w:sz w:val="19"/>
          <w:szCs w:val="19"/>
        </w:rPr>
        <w:t>, el LCR puede ser linfocitario.</w:t>
      </w:r>
    </w:p>
    <w:p w14:paraId="00C78861" w14:textId="77777777" w:rsidR="00736A71" w:rsidRDefault="00B77AB3">
      <w:pPr>
        <w:keepNext/>
        <w:keepLines/>
        <w:spacing w:before="200" w:after="100"/>
        <w:jc w:val="left"/>
      </w:pPr>
      <w:r>
        <w:rPr>
          <w:rFonts w:ascii="Calibri" w:hAnsi="Calibri" w:cs="Calibri"/>
          <w:b/>
          <w:color w:val="17384D"/>
        </w:rPr>
        <w:lastRenderedPageBreak/>
        <w:t>Rendimiento de las pruebas del LCR</w:t>
      </w:r>
      <w:r>
        <w:rPr>
          <w:rFonts w:ascii="Calibri" w:hAnsi="Calibri" w:cs="Calibri"/>
          <w:color w:val="4F5F68"/>
        </w:rPr>
        <w:t xml:space="preserve"> (ESCMID 2016, salvo donde se indica):</w:t>
      </w:r>
    </w:p>
    <w:tbl>
      <w:tblPr>
        <w:tblW w:w="0" w:type="auto"/>
        <w:jc w:val="center"/>
        <w:tblBorders>
          <w:top w:val="single" w:sz="8" w:space="0" w:color="17384D"/>
          <w:left w:val="nil"/>
          <w:bottom w:val="single" w:sz="12" w:space="0" w:color="17384D"/>
          <w:right w:val="nil"/>
          <w:insideH w:val="single" w:sz="4" w:space="0" w:color="D3DEE3"/>
          <w:insideV w:val="single" w:sz="6" w:space="0" w:color="FFFFFF"/>
        </w:tblBorders>
        <w:tblLayout w:type="fixed"/>
        <w:tblLook w:val="04A0" w:firstRow="1" w:lastRow="0" w:firstColumn="1" w:lastColumn="0" w:noHBand="0" w:noVBand="1"/>
      </w:tblPr>
      <w:tblGrid>
        <w:gridCol w:w="1644"/>
        <w:gridCol w:w="3572"/>
        <w:gridCol w:w="4195"/>
      </w:tblGrid>
      <w:tr w:rsidR="00736A71" w14:paraId="7773CC56" w14:textId="77777777">
        <w:trPr>
          <w:cantSplit/>
          <w:tblHeader/>
          <w:jc w:val="center"/>
        </w:trPr>
        <w:tc>
          <w:tcPr>
            <w:tcW w:w="1644" w:type="dxa"/>
            <w:shd w:val="clear" w:color="auto" w:fill="17384D"/>
            <w:tcMar>
              <w:top w:w="95" w:type="dxa"/>
              <w:left w:w="115" w:type="dxa"/>
              <w:bottom w:w="95" w:type="dxa"/>
              <w:right w:w="115" w:type="dxa"/>
            </w:tcMar>
            <w:vAlign w:val="center"/>
          </w:tcPr>
          <w:p w14:paraId="01C7AF0F" w14:textId="77777777" w:rsidR="00736A71" w:rsidRDefault="00B77AB3">
            <w:pPr>
              <w:keepNext/>
              <w:keepLines/>
              <w:suppressAutoHyphens/>
              <w:spacing w:after="0" w:line="252" w:lineRule="auto"/>
              <w:jc w:val="left"/>
            </w:pPr>
            <w:r>
              <w:rPr>
                <w:rFonts w:ascii="Calibri" w:hAnsi="Calibri"/>
                <w:b/>
                <w:color w:val="FFFFFF"/>
                <w:spacing w:val="4"/>
                <w:sz w:val="20"/>
                <w:szCs w:val="20"/>
              </w:rPr>
              <w:t>Prueba</w:t>
            </w:r>
          </w:p>
        </w:tc>
        <w:tc>
          <w:tcPr>
            <w:tcW w:w="3572" w:type="dxa"/>
            <w:shd w:val="clear" w:color="auto" w:fill="17384D"/>
            <w:tcMar>
              <w:top w:w="95" w:type="dxa"/>
              <w:left w:w="115" w:type="dxa"/>
              <w:bottom w:w="95" w:type="dxa"/>
              <w:right w:w="115" w:type="dxa"/>
            </w:tcMar>
            <w:vAlign w:val="center"/>
          </w:tcPr>
          <w:p w14:paraId="6493804E" w14:textId="77777777" w:rsidR="00736A71" w:rsidRDefault="00B77AB3">
            <w:pPr>
              <w:keepNext/>
              <w:keepLines/>
              <w:suppressAutoHyphens/>
              <w:spacing w:after="0" w:line="252" w:lineRule="auto"/>
              <w:jc w:val="left"/>
            </w:pPr>
            <w:r>
              <w:rPr>
                <w:rFonts w:ascii="Calibri" w:hAnsi="Calibri"/>
                <w:b/>
                <w:color w:val="FFFFFF"/>
                <w:spacing w:val="4"/>
                <w:sz w:val="20"/>
                <w:szCs w:val="20"/>
              </w:rPr>
              <w:t>Rendimiento</w:t>
            </w:r>
          </w:p>
        </w:tc>
        <w:tc>
          <w:tcPr>
            <w:tcW w:w="4195" w:type="dxa"/>
            <w:shd w:val="clear" w:color="auto" w:fill="17384D"/>
            <w:tcMar>
              <w:top w:w="95" w:type="dxa"/>
              <w:left w:w="115" w:type="dxa"/>
              <w:bottom w:w="95" w:type="dxa"/>
              <w:right w:w="115" w:type="dxa"/>
            </w:tcMar>
            <w:vAlign w:val="center"/>
          </w:tcPr>
          <w:p w14:paraId="09AE1BF9" w14:textId="77777777" w:rsidR="00736A71" w:rsidRDefault="00B77AB3">
            <w:pPr>
              <w:keepNext/>
              <w:keepLines/>
              <w:suppressAutoHyphens/>
              <w:spacing w:after="0" w:line="252" w:lineRule="auto"/>
              <w:jc w:val="left"/>
            </w:pPr>
            <w:r>
              <w:rPr>
                <w:rFonts w:ascii="Calibri" w:hAnsi="Calibri"/>
                <w:b/>
                <w:color w:val="FFFFFF"/>
                <w:spacing w:val="4"/>
                <w:sz w:val="20"/>
                <w:szCs w:val="20"/>
              </w:rPr>
              <w:t>Comentario</w:t>
            </w:r>
          </w:p>
        </w:tc>
      </w:tr>
      <w:tr w:rsidR="00736A71" w14:paraId="12647822" w14:textId="77777777">
        <w:trPr>
          <w:cantSplit/>
          <w:jc w:val="center"/>
        </w:trPr>
        <w:tc>
          <w:tcPr>
            <w:tcW w:w="1644" w:type="dxa"/>
            <w:shd w:val="clear" w:color="auto" w:fill="FFFFFF"/>
            <w:tcMar>
              <w:top w:w="95" w:type="dxa"/>
              <w:left w:w="115" w:type="dxa"/>
              <w:bottom w:w="95" w:type="dxa"/>
              <w:right w:w="115" w:type="dxa"/>
            </w:tcMar>
          </w:tcPr>
          <w:p w14:paraId="3072F7E1" w14:textId="77777777" w:rsidR="00736A71" w:rsidRDefault="00B77AB3">
            <w:pPr>
              <w:keepNext/>
              <w:keepLines/>
              <w:suppressAutoHyphens/>
              <w:spacing w:after="0" w:line="252" w:lineRule="auto"/>
              <w:jc w:val="left"/>
            </w:pPr>
            <w:r>
              <w:rPr>
                <w:rFonts w:ascii="Calibri" w:hAnsi="Calibri"/>
                <w:b/>
                <w:color w:val="17384D"/>
                <w:sz w:val="21"/>
              </w:rPr>
              <w:t>Cultivo</w:t>
            </w:r>
          </w:p>
        </w:tc>
        <w:tc>
          <w:tcPr>
            <w:tcW w:w="3572" w:type="dxa"/>
            <w:shd w:val="clear" w:color="auto" w:fill="FFFFFF"/>
            <w:tcMar>
              <w:top w:w="95" w:type="dxa"/>
              <w:left w:w="115" w:type="dxa"/>
              <w:bottom w:w="95" w:type="dxa"/>
              <w:right w:w="115" w:type="dxa"/>
            </w:tcMar>
          </w:tcPr>
          <w:p w14:paraId="459C374C" w14:textId="77777777" w:rsidR="00736A71" w:rsidRDefault="00B77AB3">
            <w:pPr>
              <w:keepNext/>
              <w:keepLines/>
              <w:suppressAutoHyphens/>
              <w:spacing w:after="0" w:line="252" w:lineRule="auto"/>
              <w:jc w:val="left"/>
            </w:pPr>
            <w:r>
              <w:rPr>
                <w:rFonts w:ascii="Calibri" w:hAnsi="Calibri"/>
                <w:sz w:val="21"/>
              </w:rPr>
              <w:t>Positivo en el 60‑90 %</w:t>
            </w:r>
          </w:p>
        </w:tc>
        <w:tc>
          <w:tcPr>
            <w:tcW w:w="4195" w:type="dxa"/>
            <w:shd w:val="clear" w:color="auto" w:fill="FFFFFF"/>
            <w:tcMar>
              <w:top w:w="95" w:type="dxa"/>
              <w:left w:w="115" w:type="dxa"/>
              <w:bottom w:w="95" w:type="dxa"/>
              <w:right w:w="115" w:type="dxa"/>
            </w:tcMar>
          </w:tcPr>
          <w:p w14:paraId="1502402B" w14:textId="77777777" w:rsidR="00736A71" w:rsidRDefault="00B77AB3">
            <w:pPr>
              <w:keepNext/>
              <w:keepLines/>
              <w:suppressAutoHyphens/>
              <w:spacing w:after="0" w:line="252" w:lineRule="auto"/>
              <w:jc w:val="left"/>
            </w:pPr>
            <w:r>
              <w:rPr>
                <w:rFonts w:ascii="Calibri" w:hAnsi="Calibri"/>
                <w:sz w:val="21"/>
              </w:rPr>
              <w:t>El antibiótico previo lo reduce un 10‑20 %</w:t>
            </w:r>
          </w:p>
        </w:tc>
      </w:tr>
      <w:tr w:rsidR="00736A71" w14:paraId="242D96D6" w14:textId="77777777">
        <w:trPr>
          <w:cantSplit/>
          <w:jc w:val="center"/>
        </w:trPr>
        <w:tc>
          <w:tcPr>
            <w:tcW w:w="1644" w:type="dxa"/>
            <w:shd w:val="clear" w:color="auto" w:fill="F2F6F8"/>
            <w:tcMar>
              <w:top w:w="95" w:type="dxa"/>
              <w:left w:w="115" w:type="dxa"/>
              <w:bottom w:w="95" w:type="dxa"/>
              <w:right w:w="115" w:type="dxa"/>
            </w:tcMar>
          </w:tcPr>
          <w:p w14:paraId="336160E8" w14:textId="77777777" w:rsidR="00736A71" w:rsidRDefault="00B77AB3">
            <w:pPr>
              <w:keepNext/>
              <w:keepLines/>
              <w:suppressAutoHyphens/>
              <w:spacing w:after="0" w:line="252" w:lineRule="auto"/>
              <w:jc w:val="left"/>
            </w:pPr>
            <w:r>
              <w:rPr>
                <w:rFonts w:ascii="Calibri" w:hAnsi="Calibri"/>
                <w:b/>
                <w:color w:val="17384D"/>
                <w:sz w:val="21"/>
              </w:rPr>
              <w:t>Gram</w:t>
            </w:r>
          </w:p>
        </w:tc>
        <w:tc>
          <w:tcPr>
            <w:tcW w:w="3572" w:type="dxa"/>
            <w:shd w:val="clear" w:color="auto" w:fill="F2F6F8"/>
            <w:tcMar>
              <w:top w:w="95" w:type="dxa"/>
              <w:left w:w="115" w:type="dxa"/>
              <w:bottom w:w="95" w:type="dxa"/>
              <w:right w:w="115" w:type="dxa"/>
            </w:tcMar>
          </w:tcPr>
          <w:p w14:paraId="39CF72BB" w14:textId="77777777" w:rsidR="00736A71" w:rsidRDefault="00B77AB3">
            <w:pPr>
              <w:keepNext/>
              <w:keepLines/>
              <w:suppressAutoHyphens/>
              <w:spacing w:after="0" w:line="252" w:lineRule="auto"/>
              <w:jc w:val="left"/>
            </w:pPr>
            <w:r>
              <w:rPr>
                <w:rFonts w:ascii="Calibri" w:hAnsi="Calibri"/>
                <w:sz w:val="21"/>
              </w:rPr>
              <w:t xml:space="preserve">Especificidad ≈100 %. Sensibilidad: neumococo 90 %, meningococo 70‑90 %, </w:t>
            </w:r>
            <w:r>
              <w:rPr>
                <w:rFonts w:ascii="Calibri" w:hAnsi="Calibri"/>
                <w:i/>
                <w:sz w:val="21"/>
              </w:rPr>
              <w:t xml:space="preserve">H. </w:t>
            </w:r>
            <w:proofErr w:type="spellStart"/>
            <w:r>
              <w:rPr>
                <w:rFonts w:ascii="Calibri" w:hAnsi="Calibri"/>
                <w:i/>
                <w:sz w:val="21"/>
              </w:rPr>
              <w:t>influenzae</w:t>
            </w:r>
            <w:proofErr w:type="spellEnd"/>
            <w:r>
              <w:rPr>
                <w:rFonts w:ascii="Calibri" w:hAnsi="Calibri"/>
                <w:sz w:val="21"/>
              </w:rPr>
              <w:t xml:space="preserve"> 50 %, </w:t>
            </w:r>
            <w:r>
              <w:rPr>
                <w:rFonts w:ascii="Calibri" w:hAnsi="Calibri"/>
                <w:b/>
                <w:i/>
                <w:sz w:val="21"/>
              </w:rPr>
              <w:t>Listeria</w:t>
            </w:r>
            <w:r>
              <w:rPr>
                <w:rFonts w:ascii="Calibri" w:hAnsi="Calibri"/>
                <w:b/>
                <w:sz w:val="21"/>
              </w:rPr>
              <w:t xml:space="preserve"> 25‑35 %</w:t>
            </w:r>
          </w:p>
        </w:tc>
        <w:tc>
          <w:tcPr>
            <w:tcW w:w="4195" w:type="dxa"/>
            <w:shd w:val="clear" w:color="auto" w:fill="F2F6F8"/>
            <w:tcMar>
              <w:top w:w="95" w:type="dxa"/>
              <w:left w:w="115" w:type="dxa"/>
              <w:bottom w:w="95" w:type="dxa"/>
              <w:right w:w="115" w:type="dxa"/>
            </w:tcMar>
          </w:tcPr>
          <w:p w14:paraId="66715097" w14:textId="77777777" w:rsidR="00736A71" w:rsidRDefault="00B77AB3">
            <w:pPr>
              <w:keepNext/>
              <w:keepLines/>
              <w:suppressAutoHyphens/>
              <w:spacing w:after="0" w:line="252" w:lineRule="auto"/>
              <w:jc w:val="left"/>
            </w:pPr>
            <w:r>
              <w:rPr>
                <w:rFonts w:ascii="Calibri" w:hAnsi="Calibri"/>
                <w:sz w:val="21"/>
              </w:rPr>
              <w:t>Apenas pierde rendimiento con antibiótico previo</w:t>
            </w:r>
          </w:p>
        </w:tc>
      </w:tr>
      <w:tr w:rsidR="00736A71" w14:paraId="0D5871CD" w14:textId="77777777">
        <w:trPr>
          <w:cantSplit/>
          <w:jc w:val="center"/>
        </w:trPr>
        <w:tc>
          <w:tcPr>
            <w:tcW w:w="1644" w:type="dxa"/>
            <w:shd w:val="clear" w:color="auto" w:fill="FFFFFF"/>
            <w:tcMar>
              <w:top w:w="95" w:type="dxa"/>
              <w:left w:w="115" w:type="dxa"/>
              <w:bottom w:w="95" w:type="dxa"/>
              <w:right w:w="115" w:type="dxa"/>
            </w:tcMar>
          </w:tcPr>
          <w:p w14:paraId="04004B64" w14:textId="77777777" w:rsidR="00736A71" w:rsidRDefault="00B77AB3">
            <w:pPr>
              <w:keepNext/>
              <w:keepLines/>
              <w:suppressAutoHyphens/>
              <w:spacing w:after="0" w:line="252" w:lineRule="auto"/>
              <w:jc w:val="left"/>
            </w:pPr>
            <w:r>
              <w:rPr>
                <w:rFonts w:ascii="Calibri" w:hAnsi="Calibri"/>
                <w:b/>
                <w:color w:val="17384D"/>
                <w:sz w:val="21"/>
              </w:rPr>
              <w:t>PCR</w:t>
            </w:r>
          </w:p>
        </w:tc>
        <w:tc>
          <w:tcPr>
            <w:tcW w:w="3572" w:type="dxa"/>
            <w:shd w:val="clear" w:color="auto" w:fill="FFFFFF"/>
            <w:tcMar>
              <w:top w:w="95" w:type="dxa"/>
              <w:left w:w="115" w:type="dxa"/>
              <w:bottom w:w="95" w:type="dxa"/>
              <w:right w:w="115" w:type="dxa"/>
            </w:tcMar>
          </w:tcPr>
          <w:p w14:paraId="1A58DEEC" w14:textId="77777777" w:rsidR="00736A71" w:rsidRDefault="00B77AB3">
            <w:pPr>
              <w:keepNext/>
              <w:keepLines/>
              <w:suppressAutoHyphens/>
              <w:spacing w:after="0" w:line="252" w:lineRule="auto"/>
              <w:jc w:val="left"/>
            </w:pPr>
            <w:r>
              <w:rPr>
                <w:rFonts w:ascii="Calibri" w:hAnsi="Calibri"/>
                <w:sz w:val="21"/>
              </w:rPr>
              <w:t xml:space="preserve">Sensibilidad: neumococo 79‑100 %, meningococo 91‑100 %, </w:t>
            </w:r>
            <w:r>
              <w:rPr>
                <w:rFonts w:ascii="Calibri" w:hAnsi="Calibri"/>
                <w:i/>
                <w:sz w:val="21"/>
              </w:rPr>
              <w:t xml:space="preserve">H. </w:t>
            </w:r>
            <w:proofErr w:type="spellStart"/>
            <w:r>
              <w:rPr>
                <w:rFonts w:ascii="Calibri" w:hAnsi="Calibri"/>
                <w:i/>
                <w:sz w:val="21"/>
              </w:rPr>
              <w:t>influenzae</w:t>
            </w:r>
            <w:proofErr w:type="spellEnd"/>
            <w:r>
              <w:rPr>
                <w:rFonts w:ascii="Calibri" w:hAnsi="Calibri"/>
                <w:sz w:val="21"/>
              </w:rPr>
              <w:t xml:space="preserve"> 67‑100 %; especificidad 95‑100 %</w:t>
            </w:r>
          </w:p>
        </w:tc>
        <w:tc>
          <w:tcPr>
            <w:tcW w:w="4195" w:type="dxa"/>
            <w:shd w:val="clear" w:color="auto" w:fill="FFFFFF"/>
            <w:tcMar>
              <w:top w:w="95" w:type="dxa"/>
              <w:left w:w="115" w:type="dxa"/>
              <w:bottom w:w="95" w:type="dxa"/>
              <w:right w:w="115" w:type="dxa"/>
            </w:tcMar>
          </w:tcPr>
          <w:p w14:paraId="5E6CC1EC" w14:textId="77777777" w:rsidR="00736A71" w:rsidRDefault="00B77AB3">
            <w:pPr>
              <w:keepNext/>
              <w:keepLines/>
              <w:suppressAutoHyphens/>
              <w:spacing w:after="0" w:line="252" w:lineRule="auto"/>
              <w:jc w:val="left"/>
            </w:pPr>
            <w:r>
              <w:rPr>
                <w:rFonts w:ascii="Calibri" w:hAnsi="Calibri"/>
                <w:sz w:val="21"/>
              </w:rPr>
              <w:t xml:space="preserve">Muy útil si se dio antibiótico antes de la PL (la SEN 2025 dice que este no influye en su rendimiento); </w:t>
            </w:r>
            <w:r>
              <w:rPr>
                <w:rFonts w:ascii="Calibri" w:hAnsi="Calibri"/>
                <w:b/>
                <w:sz w:val="21"/>
              </w:rPr>
              <w:t>no da antibiograma</w:t>
            </w:r>
          </w:p>
        </w:tc>
      </w:tr>
      <w:tr w:rsidR="00736A71" w14:paraId="4C6099C4" w14:textId="77777777">
        <w:trPr>
          <w:cantSplit/>
          <w:jc w:val="center"/>
        </w:trPr>
        <w:tc>
          <w:tcPr>
            <w:tcW w:w="1644" w:type="dxa"/>
            <w:shd w:val="clear" w:color="auto" w:fill="F2F6F8"/>
            <w:tcMar>
              <w:top w:w="95" w:type="dxa"/>
              <w:left w:w="115" w:type="dxa"/>
              <w:bottom w:w="95" w:type="dxa"/>
              <w:right w:w="115" w:type="dxa"/>
            </w:tcMar>
          </w:tcPr>
          <w:p w14:paraId="15126AA4" w14:textId="77777777" w:rsidR="00736A71" w:rsidRDefault="00B77AB3">
            <w:pPr>
              <w:keepNext/>
              <w:keepLines/>
              <w:suppressAutoHyphens/>
              <w:spacing w:after="0" w:line="252" w:lineRule="auto"/>
              <w:jc w:val="left"/>
            </w:pPr>
            <w:r>
              <w:rPr>
                <w:rFonts w:ascii="Calibri" w:hAnsi="Calibri"/>
                <w:b/>
                <w:color w:val="17384D"/>
                <w:sz w:val="21"/>
              </w:rPr>
              <w:t>Lactato</w:t>
            </w:r>
          </w:p>
        </w:tc>
        <w:tc>
          <w:tcPr>
            <w:tcW w:w="3572" w:type="dxa"/>
            <w:shd w:val="clear" w:color="auto" w:fill="F2F6F8"/>
            <w:tcMar>
              <w:top w:w="95" w:type="dxa"/>
              <w:left w:w="115" w:type="dxa"/>
              <w:bottom w:w="95" w:type="dxa"/>
              <w:right w:w="115" w:type="dxa"/>
            </w:tcMar>
          </w:tcPr>
          <w:p w14:paraId="7E91CCA6" w14:textId="77777777" w:rsidR="00736A71" w:rsidRDefault="00B77AB3">
            <w:pPr>
              <w:keepNext/>
              <w:keepLines/>
              <w:suppressAutoHyphens/>
              <w:spacing w:after="0" w:line="252" w:lineRule="auto"/>
              <w:jc w:val="left"/>
            </w:pPr>
            <w:r>
              <w:rPr>
                <w:rFonts w:ascii="Calibri" w:hAnsi="Calibri"/>
                <w:sz w:val="21"/>
              </w:rPr>
              <w:t>Mejor que el recuento celular para separar MBA de meningitis aséptica</w:t>
            </w:r>
          </w:p>
        </w:tc>
        <w:tc>
          <w:tcPr>
            <w:tcW w:w="4195" w:type="dxa"/>
            <w:shd w:val="clear" w:color="auto" w:fill="F2F6F8"/>
            <w:tcMar>
              <w:top w:w="95" w:type="dxa"/>
              <w:left w:w="115" w:type="dxa"/>
              <w:bottom w:w="95" w:type="dxa"/>
              <w:right w:w="115" w:type="dxa"/>
            </w:tcMar>
          </w:tcPr>
          <w:p w14:paraId="3A64E98D" w14:textId="77777777" w:rsidR="00736A71" w:rsidRDefault="00B77AB3">
            <w:pPr>
              <w:keepNext/>
              <w:keepLines/>
              <w:suppressAutoHyphens/>
              <w:spacing w:after="0" w:line="252" w:lineRule="auto"/>
              <w:jc w:val="left"/>
            </w:pPr>
            <w:r>
              <w:rPr>
                <w:rFonts w:ascii="Calibri" w:hAnsi="Calibri"/>
                <w:b/>
                <w:sz w:val="21"/>
              </w:rPr>
              <w:t>Sensibilidad del 98 % sin antibiótico previo y del 49 % con él</w:t>
            </w:r>
            <w:r>
              <w:rPr>
                <w:rFonts w:ascii="Calibri" w:hAnsi="Calibri"/>
                <w:sz w:val="21"/>
              </w:rPr>
              <w:t xml:space="preserve">; también sube en la encefalitis herpética y tras crisis. </w:t>
            </w:r>
            <w:r>
              <w:rPr>
                <w:rFonts w:ascii="Calibri" w:hAnsi="Calibri"/>
                <w:i/>
                <w:sz w:val="21"/>
              </w:rPr>
              <w:t>Especialmente útil tras neurocirugía, donde la pleocitosis es la norma (SEN 2025; capítulo 6)</w:t>
            </w:r>
          </w:p>
        </w:tc>
      </w:tr>
      <w:tr w:rsidR="00736A71" w14:paraId="38D6C0C4" w14:textId="77777777">
        <w:trPr>
          <w:cantSplit/>
          <w:jc w:val="center"/>
        </w:trPr>
        <w:tc>
          <w:tcPr>
            <w:tcW w:w="1644" w:type="dxa"/>
            <w:shd w:val="clear" w:color="auto" w:fill="FFFFFF"/>
            <w:tcMar>
              <w:top w:w="95" w:type="dxa"/>
              <w:left w:w="115" w:type="dxa"/>
              <w:bottom w:w="95" w:type="dxa"/>
              <w:right w:w="115" w:type="dxa"/>
            </w:tcMar>
          </w:tcPr>
          <w:p w14:paraId="30F7E259" w14:textId="77777777" w:rsidR="00736A71" w:rsidRDefault="00B77AB3">
            <w:pPr>
              <w:keepNext/>
              <w:keepLines/>
              <w:suppressAutoHyphens/>
              <w:spacing w:after="0" w:line="252" w:lineRule="auto"/>
              <w:jc w:val="left"/>
            </w:pPr>
            <w:r>
              <w:rPr>
                <w:rFonts w:ascii="Calibri" w:hAnsi="Calibri"/>
                <w:b/>
                <w:color w:val="17384D"/>
                <w:sz w:val="21"/>
              </w:rPr>
              <w:t>Antígeno neumocócico</w:t>
            </w:r>
            <w:r>
              <w:rPr>
                <w:rFonts w:ascii="Calibri" w:hAnsi="Calibri"/>
                <w:color w:val="17384D"/>
                <w:sz w:val="21"/>
              </w:rPr>
              <w:t xml:space="preserve"> (SEN 2025)</w:t>
            </w:r>
          </w:p>
        </w:tc>
        <w:tc>
          <w:tcPr>
            <w:tcW w:w="3572" w:type="dxa"/>
            <w:shd w:val="clear" w:color="auto" w:fill="FFFFFF"/>
            <w:tcMar>
              <w:top w:w="95" w:type="dxa"/>
              <w:left w:w="115" w:type="dxa"/>
              <w:bottom w:w="95" w:type="dxa"/>
              <w:right w:w="115" w:type="dxa"/>
            </w:tcMar>
          </w:tcPr>
          <w:p w14:paraId="30B34A9F" w14:textId="77777777" w:rsidR="00736A71" w:rsidRDefault="00B77AB3">
            <w:pPr>
              <w:keepNext/>
              <w:keepLines/>
              <w:suppressAutoHyphens/>
              <w:spacing w:after="0" w:line="252" w:lineRule="auto"/>
              <w:jc w:val="left"/>
            </w:pPr>
            <w:r>
              <w:rPr>
                <w:rFonts w:ascii="Calibri" w:hAnsi="Calibri"/>
                <w:sz w:val="21"/>
              </w:rPr>
              <w:t>Sensibilidad y especificidad del 95‑99 %, con falsos negativos</w:t>
            </w:r>
          </w:p>
        </w:tc>
        <w:tc>
          <w:tcPr>
            <w:tcW w:w="4195" w:type="dxa"/>
            <w:shd w:val="clear" w:color="auto" w:fill="FFFFFF"/>
            <w:tcMar>
              <w:top w:w="95" w:type="dxa"/>
              <w:left w:w="115" w:type="dxa"/>
              <w:bottom w:w="95" w:type="dxa"/>
              <w:right w:w="115" w:type="dxa"/>
            </w:tcMar>
          </w:tcPr>
          <w:p w14:paraId="69428AE1" w14:textId="77777777" w:rsidR="00736A71" w:rsidRDefault="00B77AB3">
            <w:pPr>
              <w:keepNext/>
              <w:keepLines/>
              <w:suppressAutoHyphens/>
              <w:spacing w:after="0" w:line="252" w:lineRule="auto"/>
              <w:jc w:val="left"/>
            </w:pPr>
            <w:r>
              <w:rPr>
                <w:rFonts w:ascii="Calibri" w:hAnsi="Calibri"/>
                <w:i/>
                <w:sz w:val="21"/>
              </w:rPr>
              <w:t xml:space="preserve">—</w:t>
            </w:r>
          </w:p>
        </w:tc>
      </w:tr>
      <w:tr w:rsidR="00736A71" w14:paraId="14F18779" w14:textId="77777777">
        <w:trPr>
          <w:cantSplit/>
          <w:jc w:val="center"/>
        </w:trPr>
        <w:tc>
          <w:tcPr>
            <w:tcW w:w="1644" w:type="dxa"/>
            <w:shd w:val="clear" w:color="auto" w:fill="F2F6F8"/>
            <w:tcMar>
              <w:top w:w="95" w:type="dxa"/>
              <w:left w:w="115" w:type="dxa"/>
              <w:bottom w:w="95" w:type="dxa"/>
              <w:right w:w="115" w:type="dxa"/>
            </w:tcMar>
          </w:tcPr>
          <w:p w14:paraId="21ADEFAE" w14:textId="77777777" w:rsidR="00736A71" w:rsidRDefault="00B77AB3">
            <w:pPr>
              <w:keepLines/>
              <w:suppressAutoHyphens/>
              <w:spacing w:after="0" w:line="252" w:lineRule="auto"/>
              <w:jc w:val="left"/>
            </w:pPr>
            <w:r>
              <w:rPr>
                <w:rFonts w:ascii="Calibri" w:hAnsi="Calibri"/>
                <w:b/>
                <w:color w:val="17384D"/>
                <w:sz w:val="21"/>
              </w:rPr>
              <w:t>Aglutinación con látex</w:t>
            </w:r>
          </w:p>
        </w:tc>
        <w:tc>
          <w:tcPr>
            <w:tcW w:w="3572" w:type="dxa"/>
            <w:shd w:val="clear" w:color="auto" w:fill="F2F6F8"/>
            <w:tcMar>
              <w:top w:w="95" w:type="dxa"/>
              <w:left w:w="115" w:type="dxa"/>
              <w:bottom w:w="95" w:type="dxa"/>
              <w:right w:w="115" w:type="dxa"/>
            </w:tcMar>
          </w:tcPr>
          <w:p w14:paraId="28D09CD6" w14:textId="77777777" w:rsidR="00736A71" w:rsidRDefault="00B77AB3">
            <w:pPr>
              <w:keepLines/>
              <w:suppressAutoHyphens/>
              <w:spacing w:after="0" w:line="252" w:lineRule="auto"/>
              <w:jc w:val="left"/>
            </w:pPr>
            <w:r>
              <w:rPr>
                <w:rFonts w:ascii="Calibri" w:hAnsi="Calibri"/>
                <w:b/>
                <w:sz w:val="21"/>
              </w:rPr>
              <w:t>No recomendada</w:t>
            </w:r>
          </w:p>
        </w:tc>
        <w:tc>
          <w:tcPr>
            <w:tcW w:w="4195" w:type="dxa"/>
            <w:shd w:val="clear" w:color="auto" w:fill="F2F6F8"/>
            <w:tcMar>
              <w:top w:w="95" w:type="dxa"/>
              <w:left w:w="115" w:type="dxa"/>
              <w:bottom w:w="95" w:type="dxa"/>
              <w:right w:w="115" w:type="dxa"/>
            </w:tcMar>
          </w:tcPr>
          <w:p w14:paraId="661D812D" w14:textId="77777777" w:rsidR="00736A71" w:rsidRDefault="00B77AB3">
            <w:pPr>
              <w:keepLines/>
              <w:suppressAutoHyphens/>
              <w:spacing w:after="0" w:line="252" w:lineRule="auto"/>
              <w:jc w:val="left"/>
            </w:pPr>
            <w:r>
              <w:rPr>
                <w:rFonts w:ascii="Calibri" w:hAnsi="Calibri"/>
                <w:sz w:val="21"/>
              </w:rPr>
              <w:t>No aporta nada si hay Gram</w:t>
            </w:r>
          </w:p>
        </w:tc>
      </w:tr>
    </w:tbl>
    <w:p w14:paraId="10E6E48F" w14:textId="77777777" w:rsidR="00736A71" w:rsidRDefault="00736A71">
      <w:pPr>
        <w:widowControl w:val="0"/>
        <w:spacing w:after="0" w:line="140" w:lineRule="exact"/>
      </w:pPr>
    </w:p>
    <w:p w14:paraId="04DAECE3" w14:textId="77777777" w:rsidR="00736A71" w:rsidRDefault="00B77AB3">
      <w:pPr>
        <w:keepLines/>
      </w:pPr>
      <w:r>
        <w:t>El cultivo y el Gram pueden seguir siendo útiles tras iniciar el antibiótico, aunque el tratamiento previo reduce el rendimiento del cultivo (ESCMID 2016). Obtener los cultivos antes del antibiótico, pero sin retrasarlo por la PL.</w:t>
      </w:r>
    </w:p>
    <w:p w14:paraId="5DBE7703" w14:textId="77777777" w:rsidR="00736A71" w:rsidRDefault="00B77AB3">
      <w:pPr>
        <w:pStyle w:val="Prrafodelista"/>
        <w:keepLines/>
        <w:numPr>
          <w:ilvl w:val="0"/>
          <w:numId w:val="19"/>
        </w:numPr>
        <w:spacing w:after="80"/>
      </w:pPr>
      <w:r>
        <w:t xml:space="preserve">Un LCR completamente normal es muy </w:t>
      </w:r>
      <w:proofErr w:type="gramStart"/>
      <w:r>
        <w:t>raro</w:t>
      </w:r>
      <w:proofErr w:type="gramEnd"/>
      <w:r>
        <w:t xml:space="preserve"> pero existe (ESCMID): el 17 % de las neumocócicas tiene &lt;100 células/µL, el 19 % de las meningocócicas &lt;1.000 (sobre todo si hay shock séptico) y </w:t>
      </w:r>
      <w:r>
        <w:rPr>
          <w:b/>
        </w:rPr>
        <w:t xml:space="preserve">en la meningitis por </w:t>
      </w:r>
      <w:r>
        <w:rPr>
          <w:b/>
          <w:i/>
        </w:rPr>
        <w:t>Listeria</w:t>
      </w:r>
      <w:r>
        <w:rPr>
          <w:b/>
        </w:rPr>
        <w:t xml:space="preserve"> el LCR no es típico de MBA en el 26 %</w:t>
      </w:r>
      <w:r>
        <w:t>. La SEMES 2012 cifra en hasta un 5 % las MBA con LCR «normal» en fases precoces.</w:t>
      </w:r>
    </w:p>
    <w:p w14:paraId="6EE890EB" w14:textId="77777777" w:rsidR="00736A71" w:rsidRDefault="00B77AB3">
      <w:pPr>
        <w:pStyle w:val="Prrafodelista"/>
        <w:keepLines/>
        <w:numPr>
          <w:ilvl w:val="0"/>
          <w:numId w:val="19"/>
        </w:numPr>
        <w:spacing w:after="80"/>
      </w:pPr>
      <w:r>
        <w:t>Si el LCR es anormal, hay que considerar también causas víricas, micobacterianas, fúngicas o no infecciosas (NICE 1.4.19).</w:t>
      </w:r>
    </w:p>
    <w:p w14:paraId="6B0C779D" w14:textId="77777777" w:rsidR="00736A71" w:rsidRDefault="00B77AB3">
      <w:pPr>
        <w:pStyle w:val="Ttulo2"/>
      </w:pPr>
      <w:bookmarkStart w:id="11" w:name="_Toc000510011"/>
      <w:r>
        <w:rPr>
          <w:color w:val="1C7C7D"/>
        </w:rPr>
        <w:t xml:space="preserve">5.3. </w:t>
      </w:r>
      <w:r>
        <w:t>Neuroimagen</w:t>
      </w:r>
      <w:bookmarkEnd w:id="11"/>
    </w:p>
    <w:p w14:paraId="58559FC5" w14:textId="77777777" w:rsidR="00736A71" w:rsidRDefault="00B77AB3">
      <w:pPr>
        <w:keepLines/>
      </w:pPr>
      <w:r>
        <w:t xml:space="preserve">La TC o la RM son </w:t>
      </w:r>
      <w:r>
        <w:rPr>
          <w:b/>
        </w:rPr>
        <w:t xml:space="preserve">normales o muestran un realce </w:t>
      </w:r>
      <w:proofErr w:type="spellStart"/>
      <w:r>
        <w:rPr>
          <w:b/>
        </w:rPr>
        <w:t>leptomeníngeo</w:t>
      </w:r>
      <w:proofErr w:type="spellEnd"/>
      <w:r>
        <w:rPr>
          <w:b/>
        </w:rPr>
        <w:t xml:space="preserve"> difuso inespecífico</w:t>
      </w:r>
      <w:r>
        <w:t xml:space="preserve">. Sirven para buscar </w:t>
      </w:r>
      <w:r>
        <w:rPr>
          <w:b/>
        </w:rPr>
        <w:t>complicaciones</w:t>
      </w:r>
      <w:r>
        <w:t xml:space="preserve"> (edema cerebral, hidrocefalia, infartos, trombosis venosa) y </w:t>
      </w:r>
      <w:r>
        <w:rPr>
          <w:b/>
        </w:rPr>
        <w:t>focos</w:t>
      </w:r>
      <w:r>
        <w:t xml:space="preserve"> (otitis, sinusitis, absceso cerebral, empiema subdural). Ante un deterioro durante el ingreso, mejor RM (ESCMID; §8.2).</w:t>
      </w:r>
    </w:p>
    <w:p w14:paraId="67DF2B65" w14:textId="77777777" w:rsidR="00736A71" w:rsidRDefault="00B77AB3">
      <w:pPr>
        <w:pStyle w:val="Ttulo1"/>
      </w:pPr>
      <w:bookmarkStart w:id="12" w:name="_Toc000510012"/>
      <w:r>
        <w:rPr>
          <w:color w:val="1C7C7D"/>
        </w:rPr>
        <w:lastRenderedPageBreak/>
        <w:t xml:space="preserve">6. </w:t>
      </w:r>
      <w:r>
        <w:t>Tratamiento antibiótico empírico</w:t>
      </w:r>
      <w:bookmarkEnd w:id="12"/>
    </w:p>
    <w:p w14:paraId="7790B1EE" w14:textId="77777777" w:rsidR="00736A71" w:rsidRDefault="00B77AB3">
      <w:pPr>
        <w:keepLines/>
      </w:pPr>
      <w:r>
        <w:t xml:space="preserve">Principios: </w:t>
      </w:r>
      <w:r>
        <w:rPr>
          <w:b/>
        </w:rPr>
        <w:t>antibiótico IV en &lt;1 h</w:t>
      </w:r>
      <w:r>
        <w:t xml:space="preserve">, a </w:t>
      </w:r>
      <w:r>
        <w:rPr>
          <w:b/>
        </w:rPr>
        <w:t>dosis meníngeas</w:t>
      </w:r>
      <w:r>
        <w:t xml:space="preserve">, preguntando por </w:t>
      </w:r>
      <w:r>
        <w:rPr>
          <w:b/>
        </w:rPr>
        <w:t>alergias</w:t>
      </w:r>
      <w:r>
        <w:t xml:space="preserve"> y </w:t>
      </w:r>
      <w:r>
        <w:rPr>
          <w:b/>
        </w:rPr>
        <w:t>eligiendo la pauta según la edad, los factores de riesgo y la resistencia local</w:t>
      </w:r>
      <w:r>
        <w:t xml:space="preserve"> (ESCMID, grado A). </w:t>
      </w:r>
      <w:r>
        <w:rPr>
          <w:b/>
        </w:rPr>
        <w:t>Consultar con Infecciosas o Microbiología</w:t>
      </w:r>
      <w:r>
        <w:t xml:space="preserve"> (NICE 1.6.4), sobre todo si hay viaje reciente al extranjero (riesgo de resistencias) o colonización por enterobacterias resistentes a cefalosporinas. </w:t>
      </w:r>
      <w:r>
        <w:rPr>
          <w:i/>
        </w:rPr>
        <w:t xml:space="preserve">Una MBA «decapitada» (antibiótico previo) se trata igual que una MBA (SEMES 2012). La ceftriaxona es incompatible con las soluciones con calcio (alerta de la MHRA citada por la NICE).</w:t>
      </w:r>
    </w:p>
    <w:p w14:paraId="0506FB6A" w14:textId="77777777" w:rsidR="00736A71" w:rsidRDefault="00B77AB3">
      <w:pPr>
        <w:pStyle w:val="Ttulo2"/>
      </w:pPr>
      <w:bookmarkStart w:id="13" w:name="_Toc000510013"/>
      <w:r>
        <w:rPr>
          <w:color w:val="1C7C7D"/>
        </w:rPr>
        <w:t xml:space="preserve">6.1. </w:t>
      </w:r>
      <w:r>
        <w:t>Adulto ≤50 años SIN factores de riesgo (o fractura de base de cráneo)</w:t>
      </w:r>
      <w:bookmarkEnd w:id="13"/>
    </w:p>
    <w:p w14:paraId="77E7C009" w14:textId="77777777" w:rsidR="00736A71" w:rsidRDefault="00B77AB3">
      <w:pPr>
        <w:keepLines/>
      </w:pPr>
      <w:r>
        <w:t xml:space="preserve">Cubrir neumococo y meningococo (+ </w:t>
      </w:r>
      <w:r>
        <w:rPr>
          <w:i/>
        </w:rPr>
        <w:t xml:space="preserve">H. </w:t>
      </w:r>
      <w:proofErr w:type="spellStart"/>
      <w:r>
        <w:rPr>
          <w:i/>
        </w:rPr>
        <w:t>influenzae</w:t>
      </w:r>
      <w:proofErr w:type="spellEnd"/>
      <w:r>
        <w:t xml:space="preserve"> en la fractura de base de cráneo).</w:t>
      </w:r>
    </w:p>
    <w:p w14:paraId="10BF11C2" w14:textId="77777777" w:rsidR="00736A71" w:rsidRDefault="00B77AB3">
      <w:pPr>
        <w:keepNext/>
        <w:keepLines/>
        <w:pBdr>
          <w:top w:val="single" w:sz="4" w:space="5" w:color="E9F4F4"/>
          <w:left w:val="single" w:sz="24" w:space="8" w:color="1C7C7D"/>
          <w:bottom w:val="single" w:sz="4" w:space="5" w:color="E9F4F4"/>
          <w:right w:val="single" w:sz="4" w:space="8" w:color="E9F4F4"/>
        </w:pBdr>
        <w:shd w:val="clear" w:color="auto" w:fill="E9F4F4"/>
        <w:spacing w:before="160" w:after="160"/>
        <w:ind w:left="220" w:right="170"/>
      </w:pPr>
      <w:r>
        <w:rPr>
          <w:rFonts w:ascii="Calibri" w:hAnsi="Calibri" w:cs="Calibri"/>
          <w:b/>
          <w:color w:val="1C7C7D"/>
        </w:rPr>
        <w:t xml:space="preserve">→ </w:t>
      </w:r>
      <w:r>
        <w:rPr>
          <w:b/>
          <w:color w:val="17384D"/>
        </w:rPr>
        <w:t>PRIMERA ELECCIÓN</w:t>
      </w:r>
      <w:r>
        <w:t xml:space="preserve"> (SEN 2025): </w:t>
      </w:r>
      <w:r>
        <w:rPr>
          <w:b/>
          <w:color w:val="C00000"/>
        </w:rPr>
        <w:t>VANCOMICINA + CEFALOSPORINA DE 3.ª GENERACIÓN (C3G)</w:t>
      </w:r>
      <w:r>
        <w:t>.</w:t>
      </w:r>
    </w:p>
    <w:p w14:paraId="0D18F5F4" w14:textId="77777777" w:rsidR="00736A71" w:rsidRDefault="00B77AB3">
      <w:pPr>
        <w:pStyle w:val="Prrafodelista"/>
        <w:keepLines/>
        <w:numPr>
          <w:ilvl w:val="0"/>
          <w:numId w:val="20"/>
        </w:numPr>
        <w:spacing w:after="80"/>
      </w:pPr>
      <w:r>
        <w:rPr>
          <w:b/>
        </w:rPr>
        <w:t>CEFTRIAXONA 2 g IV cada 12 h</w:t>
      </w:r>
      <w:r>
        <w:t xml:space="preserve"> o </w:t>
      </w:r>
      <w:r>
        <w:rPr>
          <w:b/>
        </w:rPr>
        <w:t>CEFOTAXIMA 2 g IV cada 4 h</w:t>
      </w:r>
      <w:r>
        <w:t xml:space="preserve"> (SEN 2025; la ESCMID admite cefotaxima cada 4‑6 h),</w:t>
      </w:r>
    </w:p>
    <w:p w14:paraId="11A04725" w14:textId="77777777" w:rsidR="00736A71" w:rsidRDefault="00B77AB3">
      <w:pPr>
        <w:pStyle w:val="Prrafodelista"/>
        <w:keepLines/>
        <w:numPr>
          <w:ilvl w:val="0"/>
          <w:numId w:val="20"/>
        </w:numPr>
        <w:spacing w:after="80"/>
      </w:pPr>
      <w:r>
        <w:rPr>
          <w:b/>
        </w:rPr>
        <w:t>+ VANCOMICINA IV</w:t>
      </w:r>
      <w:r>
        <w:t xml:space="preserve">, con la referencia de </w:t>
      </w:r>
      <w:r>
        <w:rPr>
          <w:b/>
        </w:rPr>
        <w:t>2‑3 g/</w:t>
      </w:r>
      <w:proofErr w:type="gramStart"/>
      <w:r>
        <w:rPr>
          <w:b/>
        </w:rPr>
        <w:t>día repartidos</w:t>
      </w:r>
      <w:proofErr w:type="gramEnd"/>
      <w:r>
        <w:rPr>
          <w:b/>
        </w:rPr>
        <w:t xml:space="preserve"> cada 6‑12 h</w:t>
      </w:r>
      <w:r>
        <w:t xml:space="preserve"> de la tabla general de dosis (SEN 2025, tabla 4). Ajustar la pauta al paciente y a las concentraciones séricas; la ESCMID fija un </w:t>
      </w:r>
      <w:r>
        <w:rPr>
          <w:b/>
        </w:rPr>
        <w:t>valle de 15‑20 µg/</w:t>
      </w:r>
      <w:proofErr w:type="spellStart"/>
      <w:r>
        <w:rPr>
          <w:b/>
        </w:rPr>
        <w:t>mL</w:t>
      </w:r>
      <w:proofErr w:type="spellEnd"/>
      <w:r>
        <w:t>. La ESCMID 2016, tabla 4.</w:t>
      </w:r>
      <w:r>
        <w:t>1, ofrece una pauta por peso para la MBA comunitaria: 10‑20 mg/kg IV cada 8‑12 h. La SEN 2025 especifica 15 mg/kg cada 8‑12 h en su tabla de meningitis nosocomial y de situaciones como fractura de base de cráneo (tabla 5); son tablas con ámbitos distintos.</w:t>
      </w:r>
    </w:p>
    <w:p w14:paraId="4CD5FE14" w14:textId="77777777" w:rsidR="00736A71" w:rsidRDefault="00B77AB3">
      <w:r>
        <w:t xml:space="preserve">La vancomicina cubre el neumococo con sensibilidad disminuida a la C3G (resistencia en la FJD a ampicilina en neumococo: ≈29 %; a cefotaxima: ≈12 %, ambos con puntos de corte meníngeos; informes internos de 2024, no exclusivos de infec</w:t>
      </w:r>
      <w:r>
        <w:t xml:space="preserve">ciones del SNC). La SEN 2025 la justifica por la frecuencia creciente del neumococo resistente a penicilina (aunque en su tabla por edades, entre los 16 y los 50 años, la condiciona a que sea «zona de resistencias»). La ESCMID la indica (o la rifampicina) </w:t>
      </w:r>
      <w:r>
        <w:rPr>
          <w:b/>
        </w:rPr>
        <w:t>cuando hay riesgo de sensibilidad disminuida del neumococo</w:t>
      </w:r>
      <w:r>
        <w:t xml:space="preserve">, y cita a </w:t>
      </w:r>
      <w:r>
        <w:rPr>
          <w:b/>
        </w:rPr>
        <w:t xml:space="preserve">España (con Francia y Rumanía) entre los países con un 20‑50 % de sensibilidad disminuida a penicilina, frente a &lt;1 % en Países Bajos, Inglaterra, Dinamarca o Alemania</w:t>
      </w:r>
      <w:r>
        <w:t xml:space="preserve"> (datos del ECDC de 2011). La SEMES 2012 ya indicaba añadir vancomicina donde hay muchas resistencias a penicilinas y C3G. </w:t>
      </w:r>
      <w:r>
        <w:rPr>
          <w:b/>
        </w:rPr>
        <w:t>Se retira cuando el antibiograma confirma sensibilidad a la C3G</w:t>
      </w:r>
      <w:r>
        <w:t>. La NICE no incluye vancomicina empírica porque en Reino Unido la resistencia es baja.</w:t>
      </w:r>
    </w:p>
    <w:p w14:paraId="4881227A" w14:textId="77777777" w:rsidR="00736A71" w:rsidRDefault="00B77AB3">
      <w:pPr>
        <w:keepLines/>
      </w:pPr>
      <w:r>
        <w:t xml:space="preserve">Alternativas de la ESCMID (tabla 4.1): ceftriaxona </w:t>
      </w:r>
      <w:r>
        <w:rPr>
          <w:b/>
        </w:rPr>
        <w:t>4 g cada 24 h</w:t>
      </w:r>
      <w:r>
        <w:t xml:space="preserve"> en lugar de 2 g cada 12 h, y </w:t>
      </w:r>
      <w:r>
        <w:rPr>
          <w:b/>
        </w:rPr>
        <w:t>rifampicina 300 mg cada 12 h en lugar de la vancomicina</w:t>
      </w:r>
      <w:r>
        <w:t>.</w:t>
      </w:r>
    </w:p>
    <w:p w14:paraId="1D147AAA" w14:textId="77777777" w:rsidR="00736A71" w:rsidRDefault="00B77AB3">
      <w:pPr>
        <w:keepLines/>
        <w:pBdr>
          <w:top w:val="single" w:sz="4" w:space="5" w:color="E9F4F4"/>
          <w:left w:val="single" w:sz="24" w:space="8" w:color="1C7C7D"/>
          <w:bottom w:val="single" w:sz="4" w:space="5" w:color="E9F4F4"/>
          <w:right w:val="single" w:sz="4" w:space="8" w:color="E9F4F4"/>
        </w:pBdr>
        <w:shd w:val="clear" w:color="auto" w:fill="E9F4F4"/>
        <w:spacing w:before="160" w:after="160"/>
        <w:ind w:left="220" w:right="170"/>
      </w:pPr>
      <w:r>
        <w:rPr>
          <w:rFonts w:ascii="Calibri" w:hAnsi="Calibri" w:cs="Calibri"/>
          <w:b/>
          <w:color w:val="1C7C7D"/>
        </w:rPr>
        <w:t xml:space="preserve">→ </w:t>
      </w:r>
      <w:r>
        <w:rPr>
          <w:b/>
          <w:color w:val="17384D"/>
        </w:rPr>
        <w:t>ALERGIA A BETALACTÁMICOS</w:t>
      </w:r>
      <w:r>
        <w:t xml:space="preserve"> (NICE 1.6.16): preguntar por la reacción y </w:t>
      </w:r>
      <w:r>
        <w:rPr>
          <w:b/>
          <w:color w:val="17384D"/>
        </w:rPr>
        <w:t>consultar con Infecciosas</w:t>
      </w:r>
      <w:r>
        <w:t xml:space="preserve">. Si no fue grave, considerar </w:t>
      </w:r>
      <w:r>
        <w:rPr>
          <w:b/>
          <w:color w:val="17384D"/>
        </w:rPr>
        <w:t>ceftriaxona o cefotaxima</w:t>
      </w:r>
      <w:r>
        <w:t xml:space="preserve">; si fue grave, considerar </w:t>
      </w:r>
      <w:r>
        <w:rPr>
          <w:b/>
          <w:color w:val="17384D"/>
        </w:rPr>
        <w:t>cloranfenicol</w:t>
      </w:r>
      <w:r>
        <w:t xml:space="preserve">. </w:t>
      </w:r>
      <w:r>
        <w:t xml:space="preserve">La NICE considera graves la anafilaxia, la dificultad respiratoria y el angioedema. La dosis de cloranfenicol se pauta con Infecciosas.</w:t>
      </w:r>
    </w:p>
    <w:p w14:paraId="35B28527" w14:textId="77777777" w:rsidR="00736A71" w:rsidRDefault="00B77AB3">
      <w:pPr>
        <w:pStyle w:val="Ttulo2"/>
      </w:pPr>
      <w:bookmarkStart w:id="14" w:name="_Toc000510014"/>
      <w:r>
        <w:rPr>
          <w:color w:val="1C7C7D"/>
        </w:rPr>
        <w:t xml:space="preserve">6.2. </w:t>
      </w:r>
      <w:r>
        <w:t xml:space="preserve">Adulto &gt;50 años o con factores de riesgo de </w:t>
      </w:r>
      <w:r>
        <w:rPr>
          <w:i/>
        </w:rPr>
        <w:t>Listeria</w:t>
      </w:r>
      <w:bookmarkEnd w:id="14"/>
    </w:p>
    <w:p w14:paraId="1CAB0841" w14:textId="77777777" w:rsidR="00736A71" w:rsidRDefault="00B77AB3">
      <w:pPr>
        <w:keepLines/>
        <w:pBdr>
          <w:top w:val="single" w:sz="4" w:space="5" w:color="E9F4F4"/>
          <w:left w:val="single" w:sz="24" w:space="8" w:color="1C7C7D"/>
          <w:bottom w:val="single" w:sz="4" w:space="5" w:color="E9F4F4"/>
          <w:right w:val="single" w:sz="4" w:space="8" w:color="E9F4F4"/>
        </w:pBdr>
        <w:shd w:val="clear" w:color="auto" w:fill="E9F4F4"/>
        <w:spacing w:before="160" w:after="160"/>
        <w:ind w:left="220" w:right="170"/>
      </w:pPr>
      <w:r>
        <w:rPr>
          <w:rFonts w:ascii="Calibri" w:hAnsi="Calibri" w:cs="Calibri"/>
          <w:b/>
          <w:color w:val="1C7C7D"/>
        </w:rPr>
        <w:t xml:space="preserve">→ </w:t>
      </w:r>
      <w:r>
        <w:rPr>
          <w:b/>
          <w:color w:val="17384D"/>
        </w:rPr>
        <w:t>PRIMERA ELECCIÓN</w:t>
      </w:r>
      <w:r>
        <w:t xml:space="preserve"> (SEN 2025; ESCMID, tabla 4.1): </w:t>
      </w:r>
      <w:r>
        <w:rPr>
          <w:b/>
          <w:color w:val="C00000"/>
        </w:rPr>
        <w:t>VANCOMICINA + C3G + AMPICILINA 2 g IV cada 4 h</w:t>
      </w:r>
      <w:r>
        <w:t xml:space="preserve">. </w:t>
      </w:r>
      <w:r>
        <w:rPr>
          <w:i/>
        </w:rPr>
        <w:t>La SEN 2025 la indica en los &gt;50 años, la inmunodepresión y el etilismo.</w:t>
      </w:r>
    </w:p>
    <w:p w14:paraId="68686C58" w14:textId="77777777" w:rsidR="00736A71" w:rsidRDefault="00B77AB3">
      <w:pPr>
        <w:keepLines/>
      </w:pPr>
      <w:r>
        <w:lastRenderedPageBreak/>
        <w:t xml:space="preserve">Factores de riesgo de Listeria: ver la tabla de la sección 3</w:t>
      </w:r>
      <w:r>
        <w:rPr>
          <w:b/>
        </w:rPr>
        <w:t xml:space="preserve"/>
      </w:r>
      <w:r>
        <w:t xml:space="preserve">. </w:t>
      </w:r>
      <w:r>
        <w:rPr>
          <w:b/>
        </w:rPr>
        <w:t>Listeria es intrínsecamente resistente a las cefalosporinas.</w:t>
      </w:r>
      <w:r>
        <w:t xml:space="preserve"> La ESCMID advierte de que en una serie holandesa el 1,5 % de los &lt;50 años sin factores de riesgo tuvo Listeria: si se decide ampliar la cobertura a esa posibilidad, se puede añadir ampicilina a todos los adultos. La NICE no fija un corte de edad (añade amoxicilina IV si hay factores de riesgo, entre ellos la edad muy avanzada).</w:t>
      </w:r>
    </w:p>
    <w:p w14:paraId="091157CB" w14:textId="77777777" w:rsidR="00736A71" w:rsidRDefault="00B77AB3">
      <w:pPr>
        <w:keepLines/>
        <w:pBdr>
          <w:top w:val="single" w:sz="4" w:space="5" w:color="E9F4F4"/>
          <w:left w:val="single" w:sz="24" w:space="8" w:color="1C7C7D"/>
          <w:bottom w:val="single" w:sz="4" w:space="5" w:color="E9F4F4"/>
          <w:right w:val="single" w:sz="4" w:space="8" w:color="E9F4F4"/>
        </w:pBdr>
        <w:shd w:val="clear" w:color="auto" w:fill="E9F4F4"/>
        <w:spacing w:before="160" w:after="160"/>
        <w:ind w:left="220" w:right="170"/>
      </w:pPr>
      <w:r>
        <w:rPr>
          <w:rFonts w:ascii="Calibri" w:hAnsi="Calibri" w:cs="Calibri"/>
          <w:b/>
          <w:color w:val="1C7C7D"/>
        </w:rPr>
        <w:t xml:space="preserve">→ </w:t>
      </w:r>
      <w:r>
        <w:rPr>
          <w:b/>
          <w:color w:val="17384D"/>
        </w:rPr>
        <w:t>ALERGIA A BETALACTÁMICOS CON RIESGO DE LISTERIA</w:t>
      </w:r>
      <w:r>
        <w:t xml:space="preserve"> (NICE 1.6.16): considerar </w:t>
      </w:r>
      <w:r>
        <w:rPr>
          <w:b/>
          <w:color w:val="17384D"/>
        </w:rPr>
        <w:t>COTRIMOXAZOL + C3G</w:t>
      </w:r>
      <w:r>
        <w:t xml:space="preserve"> si la reacción no fue grave, o </w:t>
      </w:r>
      <w:r>
        <w:rPr>
          <w:b/>
          <w:color w:val="17384D"/>
        </w:rPr>
        <w:t>COTRIMOXAZOL + CLORANFENICOL</w:t>
      </w:r>
      <w:r>
        <w:t xml:space="preserve"> si fue grave, con Infecciosas. Dosis meníngea de cotrimoxazol: 15‑20 mg/kg/día de </w:t>
      </w:r>
      <w:proofErr w:type="spellStart"/>
      <w:r>
        <w:t>trimetoprim</w:t>
      </w:r>
      <w:proofErr w:type="spellEnd"/>
      <w:r>
        <w:t>, repartidos cada 8 h; para el tratamiento inicial, vía IV.</w:t>
      </w:r>
    </w:p>
    <w:p w14:paraId="7961C8D4" w14:textId="77777777" w:rsidR="00736A71" w:rsidRDefault="00B77AB3">
      <w:pPr>
        <w:pStyle w:val="Ttulo2"/>
      </w:pPr>
      <w:bookmarkStart w:id="15" w:name="_Toc000510015"/>
      <w:r>
        <w:rPr>
          <w:color w:val="1C7C7D"/>
        </w:rPr>
        <w:t xml:space="preserve">6.3. </w:t>
      </w:r>
      <w:r>
        <w:t>Inmunodeprimido (neutropenia, trasplante, quimioterapia, inmunosupresión intensa)</w:t>
      </w:r>
      <w:bookmarkEnd w:id="15"/>
    </w:p>
    <w:p w14:paraId="37627529" w14:textId="77777777" w:rsidR="00736A71" w:rsidRDefault="00B77AB3">
      <w:pPr>
        <w:keepLines/>
        <w:pBdr>
          <w:top w:val="single" w:sz="4" w:space="5" w:color="E9F4F4"/>
          <w:left w:val="single" w:sz="24" w:space="8" w:color="1C7C7D"/>
          <w:bottom w:val="single" w:sz="4" w:space="5" w:color="E9F4F4"/>
          <w:right w:val="single" w:sz="4" w:space="8" w:color="E9F4F4"/>
        </w:pBdr>
        <w:shd w:val="clear" w:color="auto" w:fill="E9F4F4"/>
        <w:spacing w:before="160" w:after="160"/>
        <w:ind w:left="220" w:right="170"/>
      </w:pPr>
      <w:r>
        <w:rPr>
          <w:rFonts w:ascii="Calibri" w:hAnsi="Calibri" w:cs="Calibri"/>
          <w:b/>
          <w:color w:val="1C7C7D"/>
        </w:rPr>
        <w:t xml:space="preserve">→ </w:t>
      </w:r>
      <w:r>
        <w:rPr>
          <w:b/>
          <w:color w:val="17384D"/>
        </w:rPr>
        <w:t>PAUTA DE REFERENCIA</w:t>
      </w:r>
      <w:r>
        <w:t xml:space="preserve">: </w:t>
      </w:r>
      <w:r>
        <w:rPr>
          <w:b/>
          <w:color w:val="17384D"/>
        </w:rPr>
        <w:t>VANCOMICINA + C3G + AMPICILINA</w:t>
      </w:r>
      <w:r>
        <w:t>, como en el apartado 6.2.</w:t>
      </w:r>
    </w:p>
    <w:p w14:paraId="57358162" w14:textId="77777777" w:rsidR="00736A71" w:rsidRDefault="00B77AB3">
      <w:pPr>
        <w:keepLines/>
      </w:pPr>
      <w:r>
        <w:t xml:space="preserve">La inmunodepresión se agrupa con los mayores de 50 años y el etilismo, sin una pauta independiente para cada grado de inmunosupresión. En enfermedades avanzadas hay que considerar bacilos gramnegativos, incluidos Pseudomonas y </w:t>
      </w:r>
      <w:proofErr w:type="spellStart"/>
      <w:r>
        <w:t>Klebsiella</w:t>
      </w:r>
      <w:proofErr w:type="spellEnd"/>
      <w:r>
        <w:t>. En estos pacientes, individua</w:t>
      </w:r>
      <w:r>
        <w:t>lizar la cobertura con Infecciosas según los factores de riesgo y la resistencia local (ESCMID 2016; SEMES 2012), sin extrapolar automáticamente la pauta nosocomial a la comunitaria. La NICE NG240 excluye de su alcance a las personas con inmunodeficiencia.</w:t>
      </w:r>
    </w:p>
    <w:p w14:paraId="3AB15E20" w14:textId="77777777" w:rsidR="00736A71" w:rsidRDefault="00B77AB3">
      <w:pPr>
        <w:pStyle w:val="Ttulo2"/>
      </w:pPr>
      <w:bookmarkStart w:id="16" w:name="_Toc000510016"/>
      <w:r>
        <w:rPr>
          <w:color w:val="1C7C7D"/>
        </w:rPr>
        <w:t xml:space="preserve">6.4. </w:t>
      </w:r>
      <w:r>
        <w:t>Neurocirugía previa o traumatismo craneal penetrante</w:t>
      </w:r>
      <w:bookmarkEnd w:id="16"/>
    </w:p>
    <w:p w14:paraId="4174BD14" w14:textId="77777777" w:rsidR="00736A71" w:rsidRDefault="00B77AB3">
      <w:pPr>
        <w:keepLines/>
      </w:pPr>
      <w:r>
        <w:rPr>
          <w:i/>
        </w:rPr>
        <w:t>Es meningitis asociada a cuidados sanitarios (ver capítulo 6).</w:t>
      </w:r>
    </w:p>
    <w:p w14:paraId="36867EBC" w14:textId="77777777" w:rsidR="00736A71" w:rsidRDefault="00B77AB3">
      <w:pPr>
        <w:keepNext/>
        <w:keepLines/>
        <w:pBdr>
          <w:top w:val="single" w:sz="4" w:space="5" w:color="E9F4F4"/>
          <w:left w:val="single" w:sz="24" w:space="8" w:color="1C7C7D"/>
          <w:bottom w:val="single" w:sz="4" w:space="5" w:color="E9F4F4"/>
          <w:right w:val="single" w:sz="4" w:space="8" w:color="E9F4F4"/>
        </w:pBdr>
        <w:shd w:val="clear" w:color="auto" w:fill="E9F4F4"/>
        <w:spacing w:before="160" w:after="160"/>
        <w:ind w:left="220" w:right="170"/>
      </w:pPr>
      <w:r>
        <w:rPr>
          <w:rFonts w:ascii="Calibri" w:hAnsi="Calibri" w:cs="Calibri"/>
          <w:b/>
          <w:color w:val="1C7C7D"/>
        </w:rPr>
        <w:t xml:space="preserve">→ </w:t>
      </w:r>
      <w:r>
        <w:rPr>
          <w:b/>
          <w:color w:val="17384D"/>
        </w:rPr>
        <w:t>PRIMERA ELECCIÓN</w:t>
      </w:r>
    </w:p>
    <w:tbl>
      <w:tblPr>
        <w:tblW w:w="0" w:type="auto"/>
        <w:jc w:val="center"/>
        <w:tblBorders>
          <w:top w:val="single" w:sz="8" w:space="0" w:color="17384D"/>
          <w:left w:val="nil"/>
          <w:bottom w:val="single" w:sz="12" w:space="0" w:color="17384D"/>
          <w:right w:val="nil"/>
          <w:insideH w:val="single" w:sz="4" w:space="0" w:color="D3DEE3"/>
          <w:insideV w:val="single" w:sz="6" w:space="0" w:color="FFFFFF"/>
        </w:tblBorders>
        <w:tblLayout w:type="fixed"/>
        <w:tblLook w:val="04A0" w:firstRow="1" w:lastRow="0" w:firstColumn="1" w:lastColumn="0" w:noHBand="0" w:noVBand="1"/>
      </w:tblPr>
      <w:tblGrid>
        <w:gridCol w:w="3000"/>
        <w:gridCol w:w="6410"/>
      </w:tblGrid>
      <w:tr w:rsidR="00736A71" w14:paraId="6849C500" w14:textId="77777777">
        <w:trPr>
          <w:cantSplit/>
          <w:tblHeader/>
          <w:jc w:val="center"/>
        </w:trPr>
        <w:tc>
          <w:tcPr>
            <w:tcW w:w="3000" w:type="dxa"/>
            <w:shd w:val="clear" w:color="auto" w:fill="17384D"/>
            <w:tcMar>
              <w:top w:w="95" w:type="dxa"/>
              <w:left w:w="115" w:type="dxa"/>
              <w:bottom w:w="95" w:type="dxa"/>
              <w:right w:w="115" w:type="dxa"/>
            </w:tcMar>
            <w:vAlign w:val="center"/>
          </w:tcPr>
          <w:p w14:paraId="60B8BD4C" w14:textId="77777777" w:rsidR="00736A71" w:rsidRDefault="00B77AB3">
            <w:pPr>
              <w:keepNext/>
              <w:keepLines/>
              <w:suppressAutoHyphens/>
              <w:spacing w:after="0" w:line="252" w:lineRule="auto"/>
              <w:jc w:val="left"/>
            </w:pPr>
            <w:r>
              <w:rPr>
                <w:rFonts w:ascii="Calibri" w:hAnsi="Calibri"/>
                <w:b/>
                <w:color w:val="FFFFFF"/>
                <w:spacing w:val="4"/>
                <w:sz w:val="20"/>
                <w:szCs w:val="20"/>
              </w:rPr>
              <w:t>Componente</w:t>
            </w:r>
          </w:p>
        </w:tc>
        <w:tc>
          <w:tcPr>
            <w:tcW w:w="6410" w:type="dxa"/>
            <w:shd w:val="clear" w:color="auto" w:fill="17384D"/>
            <w:tcMar>
              <w:top w:w="95" w:type="dxa"/>
              <w:left w:w="115" w:type="dxa"/>
              <w:bottom w:w="95" w:type="dxa"/>
              <w:right w:w="115" w:type="dxa"/>
            </w:tcMar>
            <w:vAlign w:val="center"/>
          </w:tcPr>
          <w:p w14:paraId="2A4305FF" w14:textId="77777777" w:rsidR="00736A71" w:rsidRDefault="00B77AB3">
            <w:pPr>
              <w:keepNext/>
              <w:keepLines/>
              <w:suppressAutoHyphens/>
              <w:spacing w:after="0" w:line="252" w:lineRule="auto"/>
              <w:jc w:val="left"/>
            </w:pPr>
            <w:r>
              <w:rPr>
                <w:rFonts w:ascii="Calibri" w:hAnsi="Calibri"/>
                <w:b/>
                <w:color w:val="FFFFFF"/>
                <w:spacing w:val="4"/>
                <w:sz w:val="20"/>
                <w:szCs w:val="20"/>
              </w:rPr>
              <w:t>Pauta</w:t>
            </w:r>
          </w:p>
        </w:tc>
      </w:tr>
      <w:tr w:rsidR="00736A71" w14:paraId="420CE602" w14:textId="77777777">
        <w:trPr>
          <w:cantSplit/>
          <w:jc w:val="center"/>
        </w:trPr>
        <w:tc>
          <w:tcPr>
            <w:tcW w:w="3000" w:type="dxa"/>
            <w:shd w:val="clear" w:color="auto" w:fill="FFFFFF"/>
            <w:tcMar>
              <w:top w:w="95" w:type="dxa"/>
              <w:left w:w="115" w:type="dxa"/>
              <w:bottom w:w="95" w:type="dxa"/>
              <w:right w:w="115" w:type="dxa"/>
            </w:tcMar>
          </w:tcPr>
          <w:p w14:paraId="71178822" w14:textId="77777777" w:rsidR="00736A71" w:rsidRDefault="00B77AB3">
            <w:pPr>
              <w:keepNext/>
              <w:keepLines/>
              <w:suppressAutoHyphens/>
              <w:spacing w:after="0" w:line="252" w:lineRule="auto"/>
              <w:jc w:val="left"/>
            </w:pPr>
            <w:r>
              <w:rPr>
                <w:rFonts w:ascii="Calibri" w:hAnsi="Calibri"/>
                <w:b/>
                <w:color w:val="17384D"/>
                <w:sz w:val="21"/>
              </w:rPr>
              <w:t>Base</w:t>
            </w:r>
          </w:p>
        </w:tc>
        <w:tc>
          <w:tcPr>
            <w:tcW w:w="6410" w:type="dxa"/>
            <w:shd w:val="clear" w:color="auto" w:fill="FFFFFF"/>
            <w:tcMar>
              <w:top w:w="95" w:type="dxa"/>
              <w:left w:w="115" w:type="dxa"/>
              <w:bottom w:w="95" w:type="dxa"/>
              <w:right w:w="115" w:type="dxa"/>
            </w:tcMar>
          </w:tcPr>
          <w:p w14:paraId="2ECE7936" w14:textId="77777777" w:rsidR="00736A71" w:rsidRDefault="00B77AB3">
            <w:pPr>
              <w:keepNext/>
              <w:keepLines/>
              <w:suppressAutoHyphens/>
              <w:spacing w:after="0" w:line="252" w:lineRule="auto"/>
              <w:jc w:val="left"/>
            </w:pPr>
            <w:r>
              <w:rPr>
                <w:rFonts w:ascii="Calibri" w:hAnsi="Calibri"/>
                <w:b/>
                <w:sz w:val="21"/>
              </w:rPr>
              <w:t>VANCOMICINA 15 mg/kg IV cada 8‑12 h</w:t>
            </w:r>
          </w:p>
        </w:tc>
      </w:tr>
      <w:tr w:rsidR="00736A71" w14:paraId="0F1E42AC" w14:textId="77777777">
        <w:trPr>
          <w:cantSplit/>
          <w:jc w:val="center"/>
        </w:trPr>
        <w:tc>
          <w:tcPr>
            <w:tcW w:w="3000" w:type="dxa"/>
            <w:shd w:val="clear" w:color="auto" w:fill="F2F6F8"/>
            <w:tcMar>
              <w:top w:w="95" w:type="dxa"/>
              <w:left w:w="115" w:type="dxa"/>
              <w:bottom w:w="95" w:type="dxa"/>
              <w:right w:w="115" w:type="dxa"/>
            </w:tcMar>
          </w:tcPr>
          <w:p w14:paraId="03E0A8F5" w14:textId="77777777" w:rsidR="00736A71" w:rsidRDefault="00B77AB3">
            <w:pPr>
              <w:keepNext/>
              <w:keepLines/>
              <w:suppressAutoHyphens/>
              <w:spacing w:after="0" w:line="252" w:lineRule="auto"/>
              <w:jc w:val="left"/>
            </w:pPr>
            <w:r>
              <w:rPr>
                <w:rFonts w:ascii="Calibri" w:hAnsi="Calibri"/>
                <w:b/>
                <w:color w:val="17384D"/>
                <w:sz w:val="21"/>
              </w:rPr>
              <w:t>Añadir UNO</w:t>
            </w:r>
          </w:p>
        </w:tc>
        <w:tc>
          <w:tcPr>
            <w:tcW w:w="6410" w:type="dxa"/>
            <w:shd w:val="clear" w:color="auto" w:fill="F2F6F8"/>
            <w:tcMar>
              <w:top w:w="95" w:type="dxa"/>
              <w:left w:w="115" w:type="dxa"/>
              <w:bottom w:w="95" w:type="dxa"/>
              <w:right w:w="115" w:type="dxa"/>
            </w:tcMar>
          </w:tcPr>
          <w:p w14:paraId="5CBE6464" w14:textId="77777777" w:rsidR="00736A71" w:rsidRDefault="00B77AB3">
            <w:pPr>
              <w:keepNext/>
              <w:keepLines/>
              <w:suppressAutoHyphens/>
              <w:spacing w:after="0" w:line="252" w:lineRule="auto"/>
              <w:jc w:val="left"/>
            </w:pPr>
            <w:r>
              <w:rPr>
                <w:rFonts w:ascii="Calibri" w:hAnsi="Calibri"/>
                <w:b/>
                <w:sz w:val="21"/>
              </w:rPr>
              <w:t>CEFTAZIDIMA 2 g IV cada 8 h</w:t>
            </w:r>
            <w:r>
              <w:rPr>
                <w:rFonts w:ascii="Calibri" w:hAnsi="Calibri"/>
                <w:b/>
                <w:sz w:val="21"/>
              </w:rPr>
              <w:br/>
            </w:r>
            <w:r>
              <w:rPr>
                <w:rFonts w:ascii="Calibri" w:hAnsi="Calibri"/>
                <w:b/>
                <w:sz w:val="21"/>
              </w:rPr>
              <w:t>o CEFEPIMA 2 g IV cada 8 h</w:t>
            </w:r>
            <w:r>
              <w:rPr>
                <w:rFonts w:ascii="Calibri" w:hAnsi="Calibri"/>
                <w:b/>
                <w:sz w:val="21"/>
              </w:rPr>
              <w:br/>
              <w:t>o MEROPENEM 2 g IV cada 8 h</w:t>
            </w:r>
          </w:p>
        </w:tc>
      </w:tr>
      <w:tr w:rsidR="00736A71" w14:paraId="2EA118BF" w14:textId="77777777">
        <w:trPr>
          <w:cantSplit/>
          <w:jc w:val="center"/>
        </w:trPr>
        <w:tc>
          <w:tcPr>
            <w:tcW w:w="3000" w:type="dxa"/>
            <w:shd w:val="clear" w:color="auto" w:fill="FFFFFF"/>
            <w:tcMar>
              <w:top w:w="95" w:type="dxa"/>
              <w:left w:w="115" w:type="dxa"/>
              <w:bottom w:w="95" w:type="dxa"/>
              <w:right w:w="115" w:type="dxa"/>
            </w:tcMar>
          </w:tcPr>
          <w:p w14:paraId="16F07B02" w14:textId="77777777" w:rsidR="00736A71" w:rsidRDefault="00B77AB3">
            <w:pPr>
              <w:keepNext/>
              <w:keepLines/>
              <w:suppressAutoHyphens/>
              <w:spacing w:after="0" w:line="252" w:lineRule="auto"/>
              <w:jc w:val="left"/>
            </w:pPr>
            <w:r>
              <w:rPr>
                <w:rFonts w:ascii="Calibri" w:hAnsi="Calibri"/>
                <w:b/>
                <w:color w:val="17384D"/>
                <w:sz w:val="21"/>
              </w:rPr>
              <w:t>Si hay alergia a betalactámicos</w:t>
            </w:r>
          </w:p>
        </w:tc>
        <w:tc>
          <w:tcPr>
            <w:tcW w:w="6410" w:type="dxa"/>
            <w:shd w:val="clear" w:color="auto" w:fill="FFFFFF"/>
            <w:tcMar>
              <w:top w:w="95" w:type="dxa"/>
              <w:left w:w="115" w:type="dxa"/>
              <w:bottom w:w="95" w:type="dxa"/>
              <w:right w:w="115" w:type="dxa"/>
            </w:tcMar>
          </w:tcPr>
          <w:p w14:paraId="22ABA9E2" w14:textId="77777777" w:rsidR="00736A71" w:rsidRDefault="00B77AB3">
            <w:pPr>
              <w:keepNext/>
              <w:keepLines/>
              <w:suppressAutoHyphens/>
              <w:spacing w:after="0" w:line="252" w:lineRule="auto"/>
              <w:jc w:val="left"/>
            </w:pPr>
            <w:r>
              <w:rPr>
                <w:rFonts w:ascii="Calibri" w:hAnsi="Calibri"/>
                <w:b/>
                <w:sz w:val="21"/>
              </w:rPr>
              <w:t>Sustituir el betalactámico por UNO:</w:t>
            </w:r>
            <w:r>
              <w:rPr>
                <w:rFonts w:ascii="Calibri" w:hAnsi="Calibri"/>
                <w:b/>
                <w:sz w:val="21"/>
              </w:rPr>
              <w:br/>
              <w:t>AZTREONAM 2 g IV cada 6‑8 h</w:t>
            </w:r>
            <w:r>
              <w:rPr>
                <w:rFonts w:ascii="Calibri" w:hAnsi="Calibri"/>
                <w:b/>
                <w:sz w:val="21"/>
              </w:rPr>
              <w:br/>
              <w:t>o CIPROFLOXACINO 400 mg IV cada 8‑12 h</w:t>
            </w:r>
          </w:p>
        </w:tc>
      </w:tr>
    </w:tbl>
    <w:p w14:paraId="753F2276" w14:textId="77777777" w:rsidR="00736A71" w:rsidRDefault="00B77AB3">
      <w:pPr>
        <w:keepLines/>
        <w:pBdr>
          <w:left w:val="single" w:sz="12" w:space="7" w:color="B7CDD0"/>
        </w:pBdr>
        <w:spacing w:before="120" w:after="160"/>
        <w:ind w:left="170"/>
      </w:pPr>
      <w:r>
        <w:rPr>
          <w:i/>
          <w:color w:val="4F5F68"/>
        </w:rPr>
        <w:t xml:space="preserve">La SEMES 2012 coincide (vancomicina + </w:t>
      </w:r>
      <w:proofErr w:type="spellStart"/>
      <w:r>
        <w:rPr>
          <w:i/>
          <w:color w:val="4F5F68"/>
        </w:rPr>
        <w:t>cefepima</w:t>
      </w:r>
      <w:proofErr w:type="spellEnd"/>
      <w:r>
        <w:rPr>
          <w:i/>
          <w:color w:val="4F5F68"/>
        </w:rPr>
        <w:t>; alternativa vancomicina + meropenem). Duración, retirada de dispositivos y alternativas a la vancomicina: capítulo 6.</w:t>
      </w:r>
    </w:p>
    <w:p w14:paraId="121A0939" w14:textId="77777777" w:rsidR="00736A71" w:rsidRDefault="00B77AB3">
      <w:pPr>
        <w:pStyle w:val="Ttulo2"/>
        <w:pageBreakBefore/>
      </w:pPr>
      <w:bookmarkStart w:id="17" w:name="_Toc000510017"/>
      <w:r>
        <w:rPr>
          <w:color w:val="1C7C7D"/>
        </w:rPr>
        <w:lastRenderedPageBreak/>
        <w:t xml:space="preserve">6.5. </w:t>
      </w:r>
      <w:r>
        <w:t>¿Aciclovir empírico?</w:t>
      </w:r>
      <w:bookmarkEnd w:id="17"/>
    </w:p>
    <w:p w14:paraId="0BE08908" w14:textId="77777777" w:rsidR="00736A71" w:rsidRDefault="00B77AB3">
      <w:pPr>
        <w:keepLines/>
        <w:pBdr>
          <w:top w:val="single" w:sz="4" w:space="5" w:color="FDF0EF"/>
          <w:left w:val="single" w:sz="24" w:space="8" w:color="C00000"/>
          <w:bottom w:val="single" w:sz="4" w:space="5" w:color="FDF0EF"/>
          <w:right w:val="single" w:sz="4" w:space="8" w:color="FDF0EF"/>
        </w:pBdr>
        <w:shd w:val="clear" w:color="auto" w:fill="FDF0EF"/>
        <w:spacing w:before="160" w:after="200"/>
        <w:ind w:left="220" w:right="170"/>
      </w:pPr>
      <w:r>
        <w:rPr>
          <w:b/>
          <w:color w:val="C00000"/>
        </w:rPr>
        <w:t>NO DAR ACICLOVIR DE RUTINA</w:t>
      </w:r>
      <w:r>
        <w:rPr>
          <w:b/>
        </w:rPr>
        <w:t xml:space="preserve"> ante toda sospecha de MBA</w:t>
      </w:r>
      <w:r>
        <w:t xml:space="preserve">; la NICE lo reserva para una </w:t>
      </w:r>
      <w:r>
        <w:rPr>
          <w:b/>
        </w:rPr>
        <w:t>sospecha fuerte de encefalitis por VHS</w:t>
      </w:r>
      <w:r>
        <w:t xml:space="preserve"> (1.6.7).</w:t>
      </w:r>
    </w:p>
    <w:p w14:paraId="3FF5A9A9" w14:textId="77777777" w:rsidR="00736A71" w:rsidRDefault="00B77AB3">
      <w:pPr>
        <w:keepLines/>
        <w:pBdr>
          <w:top w:val="single" w:sz="4" w:space="5" w:color="E9F4F4"/>
          <w:left w:val="single" w:sz="24" w:space="8" w:color="1C7C7D"/>
          <w:bottom w:val="single" w:sz="4" w:space="5" w:color="E9F4F4"/>
          <w:right w:val="single" w:sz="4" w:space="8" w:color="E9F4F4"/>
        </w:pBdr>
        <w:shd w:val="clear" w:color="auto" w:fill="E9F4F4"/>
        <w:spacing w:before="160" w:after="160"/>
        <w:ind w:left="220" w:right="170"/>
      </w:pPr>
      <w:r>
        <w:rPr>
          <w:rFonts w:ascii="Calibri" w:hAnsi="Calibri" w:cs="Calibri"/>
          <w:b/>
          <w:color w:val="1C7C7D"/>
        </w:rPr>
        <w:t xml:space="preserve">→ </w:t>
      </w:r>
      <w:r>
        <w:rPr>
          <w:b/>
          <w:color w:val="17384D"/>
        </w:rPr>
        <w:t>SI HAY SOSPECHA DE ENCEFALITIS VÍRICA:</w:t>
      </w:r>
      <w:r>
        <w:t xml:space="preserve"> iniciar </w:t>
      </w:r>
      <w:r>
        <w:rPr>
          <w:b/>
          <w:color w:val="17384D"/>
        </w:rPr>
        <w:t>ACICLOVIR 10 mg/kg IV cada 8 h</w:t>
      </w:r>
      <w:r>
        <w:t xml:space="preserve"> mientras se estudia la etiología. Valorar alteración del estado mental, crisis, </w:t>
      </w:r>
      <w:proofErr w:type="spellStart"/>
      <w:r>
        <w:t>focalidad</w:t>
      </w:r>
      <w:proofErr w:type="spellEnd"/>
      <w:r>
        <w:t xml:space="preserve"> y los hallazgos de LCR o neuroimagen. </w:t>
      </w:r>
      <w:r>
        <w:rPr>
          <w:b/>
          <w:color w:val="17384D"/>
        </w:rPr>
        <w:t>Una PCR inicial negativa no basta para suspenderlo si persiste una sospecha alta</w:t>
      </w:r>
      <w:r>
        <w:t>: ver los criterios de repetición y retirada en el capítulo 3.</w:t>
      </w:r>
    </w:p>
    <w:p w14:paraId="4E7A833F" w14:textId="77777777" w:rsidR="00736A71" w:rsidRDefault="00B77AB3">
      <w:pPr>
        <w:pStyle w:val="Ttulo2"/>
      </w:pPr>
      <w:bookmarkStart w:id="18" w:name="_Toc000510018"/>
      <w:r>
        <w:rPr>
          <w:color w:val="1C7C7D"/>
        </w:rPr>
        <w:t xml:space="preserve">6.6. </w:t>
      </w:r>
      <w:r>
        <w:t>Dosis y penetración en el LCR</w:t>
      </w:r>
      <w:bookmarkEnd w:id="18"/>
    </w:p>
    <w:tbl>
      <w:tblPr>
        <w:tblW w:w="0" w:type="auto"/>
        <w:jc w:val="center"/>
        <w:tblBorders>
          <w:top w:val="single" w:sz="8" w:space="0" w:color="17384D"/>
          <w:left w:val="nil"/>
          <w:bottom w:val="single" w:sz="12" w:space="0" w:color="17384D"/>
          <w:right w:val="nil"/>
          <w:insideH w:val="single" w:sz="4" w:space="0" w:color="D3DEE3"/>
          <w:insideV w:val="single" w:sz="6" w:space="0" w:color="FFFFFF"/>
        </w:tblBorders>
        <w:tblLayout w:type="fixed"/>
        <w:tblLook w:val="04A0" w:firstRow="1" w:lastRow="0" w:firstColumn="1" w:lastColumn="0" w:noHBand="0" w:noVBand="1"/>
      </w:tblPr>
      <w:tblGrid>
        <w:gridCol w:w="1928"/>
        <w:gridCol w:w="5159"/>
        <w:gridCol w:w="2324"/>
      </w:tblGrid>
      <w:tr w:rsidR="00736A71" w14:paraId="5B1393E2" w14:textId="77777777">
        <w:trPr>
          <w:cantSplit/>
          <w:tblHeader/>
          <w:jc w:val="center"/>
        </w:trPr>
        <w:tc>
          <w:tcPr>
            <w:tcW w:w="1928" w:type="dxa"/>
            <w:shd w:val="clear" w:color="auto" w:fill="17384D"/>
            <w:tcMar>
              <w:top w:w="95" w:type="dxa"/>
              <w:left w:w="115" w:type="dxa"/>
              <w:bottom w:w="95" w:type="dxa"/>
              <w:right w:w="115" w:type="dxa"/>
            </w:tcMar>
            <w:vAlign w:val="center"/>
          </w:tcPr>
          <w:p w14:paraId="4D09F355" w14:textId="77777777" w:rsidR="00736A71" w:rsidRDefault="00B77AB3">
            <w:pPr>
              <w:keepNext/>
              <w:keepLines/>
              <w:suppressAutoHyphens/>
              <w:spacing w:after="0" w:line="252" w:lineRule="auto"/>
              <w:jc w:val="left"/>
            </w:pPr>
            <w:r>
              <w:rPr>
                <w:rFonts w:ascii="Calibri" w:hAnsi="Calibri"/>
                <w:b/>
                <w:color w:val="FFFFFF"/>
                <w:spacing w:val="4"/>
                <w:sz w:val="20"/>
                <w:szCs w:val="20"/>
              </w:rPr>
              <w:t>Antibiótico</w:t>
            </w:r>
          </w:p>
        </w:tc>
        <w:tc>
          <w:tcPr>
            <w:tcW w:w="5159" w:type="dxa"/>
            <w:shd w:val="clear" w:color="auto" w:fill="17384D"/>
            <w:tcMar>
              <w:top w:w="95" w:type="dxa"/>
              <w:left w:w="115" w:type="dxa"/>
              <w:bottom w:w="95" w:type="dxa"/>
              <w:right w:w="115" w:type="dxa"/>
            </w:tcMar>
            <w:vAlign w:val="center"/>
          </w:tcPr>
          <w:p w14:paraId="11C8EFDB" w14:textId="77777777" w:rsidR="00736A71" w:rsidRDefault="00B77AB3">
            <w:pPr>
              <w:keepNext/>
              <w:keepLines/>
              <w:suppressAutoHyphens/>
              <w:spacing w:after="0" w:line="252" w:lineRule="auto"/>
              <w:jc w:val="left"/>
            </w:pPr>
            <w:r>
              <w:rPr>
                <w:rFonts w:ascii="Calibri" w:hAnsi="Calibri"/>
                <w:b/>
                <w:color w:val="FFFFFF"/>
                <w:spacing w:val="4"/>
                <w:sz w:val="20"/>
                <w:szCs w:val="20"/>
              </w:rPr>
              <w:t>Dosis diaria del adulto (intervalo)</w:t>
            </w:r>
          </w:p>
        </w:tc>
        <w:tc>
          <w:tcPr>
            <w:tcW w:w="2324" w:type="dxa"/>
            <w:shd w:val="clear" w:color="auto" w:fill="17384D"/>
            <w:tcMar>
              <w:top w:w="95" w:type="dxa"/>
              <w:left w:w="115" w:type="dxa"/>
              <w:bottom w:w="95" w:type="dxa"/>
              <w:right w:w="115" w:type="dxa"/>
            </w:tcMar>
            <w:vAlign w:val="center"/>
          </w:tcPr>
          <w:p w14:paraId="64A64E38" w14:textId="77777777" w:rsidR="00736A71" w:rsidRDefault="00B77AB3">
            <w:pPr>
              <w:keepNext/>
              <w:keepLines/>
              <w:suppressAutoHyphens/>
              <w:spacing w:after="0" w:line="252" w:lineRule="auto"/>
              <w:jc w:val="center"/>
            </w:pPr>
            <w:r>
              <w:rPr>
                <w:rFonts w:ascii="Calibri" w:hAnsi="Calibri"/>
                <w:b/>
                <w:color w:val="FFFFFF"/>
                <w:spacing w:val="4"/>
                <w:sz w:val="20"/>
                <w:szCs w:val="20"/>
              </w:rPr>
              <w:t>Penetración en el LCR (</w:t>
            </w:r>
            <w:proofErr w:type="gramStart"/>
            <w:r>
              <w:rPr>
                <w:rFonts w:ascii="Calibri" w:hAnsi="Calibri"/>
                <w:b/>
                <w:color w:val="FFFFFF"/>
                <w:spacing w:val="4"/>
                <w:sz w:val="20"/>
                <w:szCs w:val="20"/>
              </w:rPr>
              <w:t>%)*</w:t>
            </w:r>
            <w:proofErr w:type="gramEnd"/>
          </w:p>
        </w:tc>
      </w:tr>
      <w:tr w:rsidR="00736A71" w14:paraId="46CBD498" w14:textId="77777777">
        <w:trPr>
          <w:cantSplit/>
          <w:jc w:val="center"/>
        </w:trPr>
        <w:tc>
          <w:tcPr>
            <w:tcW w:w="1928" w:type="dxa"/>
            <w:shd w:val="clear" w:color="auto" w:fill="FFFFFF"/>
            <w:tcMar>
              <w:top w:w="95" w:type="dxa"/>
              <w:left w:w="115" w:type="dxa"/>
              <w:bottom w:w="95" w:type="dxa"/>
              <w:right w:w="115" w:type="dxa"/>
            </w:tcMar>
          </w:tcPr>
          <w:p w14:paraId="191D2144" w14:textId="77777777" w:rsidR="00736A71" w:rsidRDefault="00B77AB3">
            <w:pPr>
              <w:keepNext/>
              <w:keepLines/>
              <w:suppressAutoHyphens/>
              <w:spacing w:after="0" w:line="252" w:lineRule="auto"/>
              <w:jc w:val="left"/>
            </w:pPr>
            <w:r>
              <w:rPr>
                <w:rFonts w:ascii="Calibri" w:hAnsi="Calibri"/>
                <w:color w:val="17384D"/>
                <w:sz w:val="21"/>
              </w:rPr>
              <w:t>Ampicilina</w:t>
            </w:r>
          </w:p>
        </w:tc>
        <w:tc>
          <w:tcPr>
            <w:tcW w:w="5159" w:type="dxa"/>
            <w:shd w:val="clear" w:color="auto" w:fill="FFFFFF"/>
            <w:tcMar>
              <w:top w:w="95" w:type="dxa"/>
              <w:left w:w="115" w:type="dxa"/>
              <w:bottom w:w="95" w:type="dxa"/>
              <w:right w:w="115" w:type="dxa"/>
            </w:tcMar>
          </w:tcPr>
          <w:p w14:paraId="0D91F138" w14:textId="77777777" w:rsidR="00736A71" w:rsidRDefault="00B77AB3">
            <w:pPr>
              <w:keepNext/>
              <w:keepLines/>
              <w:suppressAutoHyphens/>
              <w:spacing w:after="0" w:line="252" w:lineRule="auto"/>
              <w:jc w:val="left"/>
            </w:pPr>
            <w:r>
              <w:rPr>
                <w:rFonts w:ascii="Calibri" w:hAnsi="Calibri"/>
                <w:sz w:val="21"/>
              </w:rPr>
              <w:t>12‑15 g/día (cada 4‑6 h)</w:t>
            </w:r>
          </w:p>
        </w:tc>
        <w:tc>
          <w:tcPr>
            <w:tcW w:w="2324" w:type="dxa"/>
            <w:shd w:val="clear" w:color="auto" w:fill="FFFFFF"/>
            <w:tcMar>
              <w:top w:w="95" w:type="dxa"/>
              <w:left w:w="115" w:type="dxa"/>
              <w:bottom w:w="95" w:type="dxa"/>
              <w:right w:w="115" w:type="dxa"/>
            </w:tcMar>
          </w:tcPr>
          <w:p w14:paraId="32DF97B5" w14:textId="77777777" w:rsidR="00736A71" w:rsidRDefault="00B77AB3">
            <w:pPr>
              <w:keepNext/>
              <w:keepLines/>
              <w:suppressAutoHyphens/>
              <w:spacing w:after="0" w:line="252" w:lineRule="auto"/>
              <w:jc w:val="center"/>
            </w:pPr>
            <w:r>
              <w:rPr>
                <w:rFonts w:ascii="Calibri" w:hAnsi="Calibri"/>
                <w:sz w:val="21"/>
              </w:rPr>
              <w:t>5‑10 %</w:t>
            </w:r>
          </w:p>
        </w:tc>
      </w:tr>
      <w:tr w:rsidR="00736A71" w14:paraId="0E4606CC" w14:textId="77777777">
        <w:trPr>
          <w:cantSplit/>
          <w:jc w:val="center"/>
        </w:trPr>
        <w:tc>
          <w:tcPr>
            <w:tcW w:w="1928" w:type="dxa"/>
            <w:shd w:val="clear" w:color="auto" w:fill="F2F6F8"/>
            <w:tcMar>
              <w:top w:w="95" w:type="dxa"/>
              <w:left w:w="115" w:type="dxa"/>
              <w:bottom w:w="95" w:type="dxa"/>
              <w:right w:w="115" w:type="dxa"/>
            </w:tcMar>
          </w:tcPr>
          <w:p w14:paraId="14A79CE5" w14:textId="77777777" w:rsidR="00736A71" w:rsidRDefault="00B77AB3">
            <w:pPr>
              <w:keepNext/>
              <w:keepLines/>
              <w:suppressAutoHyphens/>
              <w:spacing w:after="0" w:line="252" w:lineRule="auto"/>
              <w:jc w:val="left"/>
            </w:pPr>
            <w:r>
              <w:rPr>
                <w:rFonts w:ascii="Calibri" w:hAnsi="Calibri"/>
                <w:color w:val="17384D"/>
                <w:sz w:val="21"/>
              </w:rPr>
              <w:t>Ceftriaxona</w:t>
            </w:r>
          </w:p>
        </w:tc>
        <w:tc>
          <w:tcPr>
            <w:tcW w:w="5159" w:type="dxa"/>
            <w:shd w:val="clear" w:color="auto" w:fill="F2F6F8"/>
            <w:tcMar>
              <w:top w:w="95" w:type="dxa"/>
              <w:left w:w="115" w:type="dxa"/>
              <w:bottom w:w="95" w:type="dxa"/>
              <w:right w:w="115" w:type="dxa"/>
            </w:tcMar>
          </w:tcPr>
          <w:p w14:paraId="7D3AB037" w14:textId="77777777" w:rsidR="00736A71" w:rsidRDefault="00B77AB3">
            <w:pPr>
              <w:keepNext/>
              <w:keepLines/>
              <w:suppressAutoHyphens/>
              <w:spacing w:after="0" w:line="252" w:lineRule="auto"/>
              <w:jc w:val="left"/>
            </w:pPr>
            <w:r>
              <w:rPr>
                <w:rFonts w:ascii="Calibri" w:hAnsi="Calibri"/>
                <w:sz w:val="21"/>
              </w:rPr>
              <w:t>4 g/día (cada 12 h)</w:t>
            </w:r>
          </w:p>
        </w:tc>
        <w:tc>
          <w:tcPr>
            <w:tcW w:w="2324" w:type="dxa"/>
            <w:shd w:val="clear" w:color="auto" w:fill="F2F6F8"/>
            <w:tcMar>
              <w:top w:w="95" w:type="dxa"/>
              <w:left w:w="115" w:type="dxa"/>
              <w:bottom w:w="95" w:type="dxa"/>
              <w:right w:w="115" w:type="dxa"/>
            </w:tcMar>
          </w:tcPr>
          <w:p w14:paraId="4F872291" w14:textId="77777777" w:rsidR="00736A71" w:rsidRDefault="00B77AB3">
            <w:pPr>
              <w:keepNext/>
              <w:keepLines/>
              <w:suppressAutoHyphens/>
              <w:spacing w:after="0" w:line="252" w:lineRule="auto"/>
              <w:jc w:val="center"/>
            </w:pPr>
            <w:r>
              <w:rPr>
                <w:rFonts w:ascii="Calibri" w:hAnsi="Calibri"/>
                <w:sz w:val="21"/>
              </w:rPr>
              <w:t>11‑19 %</w:t>
            </w:r>
          </w:p>
        </w:tc>
      </w:tr>
      <w:tr w:rsidR="00736A71" w14:paraId="4073B805" w14:textId="77777777">
        <w:trPr>
          <w:cantSplit/>
          <w:jc w:val="center"/>
        </w:trPr>
        <w:tc>
          <w:tcPr>
            <w:tcW w:w="1928" w:type="dxa"/>
            <w:shd w:val="clear" w:color="auto" w:fill="FFFFFF"/>
            <w:tcMar>
              <w:top w:w="95" w:type="dxa"/>
              <w:left w:w="115" w:type="dxa"/>
              <w:bottom w:w="95" w:type="dxa"/>
              <w:right w:w="115" w:type="dxa"/>
            </w:tcMar>
          </w:tcPr>
          <w:p w14:paraId="2F7F65BA" w14:textId="77777777" w:rsidR="00736A71" w:rsidRDefault="00B77AB3">
            <w:pPr>
              <w:keepNext/>
              <w:keepLines/>
              <w:suppressAutoHyphens/>
              <w:spacing w:after="0" w:line="252" w:lineRule="auto"/>
              <w:jc w:val="left"/>
            </w:pPr>
            <w:r>
              <w:rPr>
                <w:rFonts w:ascii="Calibri" w:hAnsi="Calibri"/>
                <w:color w:val="17384D"/>
                <w:sz w:val="21"/>
              </w:rPr>
              <w:t>Cefotaxima</w:t>
            </w:r>
          </w:p>
        </w:tc>
        <w:tc>
          <w:tcPr>
            <w:tcW w:w="5159" w:type="dxa"/>
            <w:shd w:val="clear" w:color="auto" w:fill="FFFFFF"/>
            <w:tcMar>
              <w:top w:w="95" w:type="dxa"/>
              <w:left w:w="115" w:type="dxa"/>
              <w:bottom w:w="95" w:type="dxa"/>
              <w:right w:w="115" w:type="dxa"/>
            </w:tcMar>
          </w:tcPr>
          <w:p w14:paraId="456E4B17" w14:textId="77777777" w:rsidR="00736A71" w:rsidRDefault="00B77AB3">
            <w:pPr>
              <w:keepNext/>
              <w:keepLines/>
              <w:suppressAutoHyphens/>
              <w:spacing w:after="0" w:line="252" w:lineRule="auto"/>
              <w:jc w:val="left"/>
            </w:pPr>
            <w:r>
              <w:rPr>
                <w:rFonts w:ascii="Calibri" w:hAnsi="Calibri"/>
                <w:sz w:val="21"/>
              </w:rPr>
              <w:t>12 g/día (cada 4 h)</w:t>
            </w:r>
          </w:p>
        </w:tc>
        <w:tc>
          <w:tcPr>
            <w:tcW w:w="2324" w:type="dxa"/>
            <w:shd w:val="clear" w:color="auto" w:fill="FFFFFF"/>
            <w:tcMar>
              <w:top w:w="95" w:type="dxa"/>
              <w:left w:w="115" w:type="dxa"/>
              <w:bottom w:w="95" w:type="dxa"/>
              <w:right w:w="115" w:type="dxa"/>
            </w:tcMar>
          </w:tcPr>
          <w:p w14:paraId="334385E0" w14:textId="77777777" w:rsidR="00736A71" w:rsidRDefault="00B77AB3">
            <w:pPr>
              <w:keepNext/>
              <w:keepLines/>
              <w:suppressAutoHyphens/>
              <w:spacing w:after="0" w:line="252" w:lineRule="auto"/>
              <w:jc w:val="center"/>
            </w:pPr>
            <w:r>
              <w:rPr>
                <w:rFonts w:ascii="Calibri" w:hAnsi="Calibri"/>
                <w:sz w:val="21"/>
              </w:rPr>
              <w:t>11‑19 %</w:t>
            </w:r>
          </w:p>
        </w:tc>
      </w:tr>
      <w:tr w:rsidR="00736A71" w14:paraId="26BBFBF0" w14:textId="77777777">
        <w:trPr>
          <w:cantSplit/>
          <w:jc w:val="center"/>
        </w:trPr>
        <w:tc>
          <w:tcPr>
            <w:tcW w:w="1928" w:type="dxa"/>
            <w:shd w:val="clear" w:color="auto" w:fill="F2F6F8"/>
            <w:tcMar>
              <w:top w:w="95" w:type="dxa"/>
              <w:left w:w="115" w:type="dxa"/>
              <w:bottom w:w="95" w:type="dxa"/>
              <w:right w:w="115" w:type="dxa"/>
            </w:tcMar>
          </w:tcPr>
          <w:p w14:paraId="326762E5" w14:textId="77777777" w:rsidR="00736A71" w:rsidRDefault="00B77AB3">
            <w:pPr>
              <w:keepNext/>
              <w:keepLines/>
              <w:suppressAutoHyphens/>
              <w:spacing w:after="0" w:line="252" w:lineRule="auto"/>
              <w:jc w:val="left"/>
            </w:pPr>
            <w:r>
              <w:rPr>
                <w:rFonts w:ascii="Calibri" w:hAnsi="Calibri"/>
                <w:color w:val="17384D"/>
                <w:sz w:val="21"/>
              </w:rPr>
              <w:t>Ceftazidima</w:t>
            </w:r>
          </w:p>
        </w:tc>
        <w:tc>
          <w:tcPr>
            <w:tcW w:w="5159" w:type="dxa"/>
            <w:shd w:val="clear" w:color="auto" w:fill="F2F6F8"/>
            <w:tcMar>
              <w:top w:w="95" w:type="dxa"/>
              <w:left w:w="115" w:type="dxa"/>
              <w:bottom w:w="95" w:type="dxa"/>
              <w:right w:w="115" w:type="dxa"/>
            </w:tcMar>
          </w:tcPr>
          <w:p w14:paraId="4349C52E" w14:textId="77777777" w:rsidR="00736A71" w:rsidRDefault="00B77AB3">
            <w:pPr>
              <w:keepNext/>
              <w:keepLines/>
              <w:suppressAutoHyphens/>
              <w:spacing w:after="0" w:line="252" w:lineRule="auto"/>
              <w:jc w:val="left"/>
            </w:pPr>
            <w:r>
              <w:rPr>
                <w:rFonts w:ascii="Calibri" w:hAnsi="Calibri"/>
                <w:sz w:val="21"/>
              </w:rPr>
              <w:t>6 g/día (cada 8 h)</w:t>
            </w:r>
          </w:p>
        </w:tc>
        <w:tc>
          <w:tcPr>
            <w:tcW w:w="2324" w:type="dxa"/>
            <w:shd w:val="clear" w:color="auto" w:fill="F2F6F8"/>
            <w:tcMar>
              <w:top w:w="95" w:type="dxa"/>
              <w:left w:w="115" w:type="dxa"/>
              <w:bottom w:w="95" w:type="dxa"/>
              <w:right w:w="115" w:type="dxa"/>
            </w:tcMar>
          </w:tcPr>
          <w:p w14:paraId="001E5553" w14:textId="77777777" w:rsidR="00736A71" w:rsidRDefault="00B77AB3">
            <w:pPr>
              <w:keepNext/>
              <w:keepLines/>
              <w:suppressAutoHyphens/>
              <w:spacing w:after="0" w:line="252" w:lineRule="auto"/>
              <w:jc w:val="center"/>
            </w:pPr>
            <w:r>
              <w:rPr>
                <w:rFonts w:ascii="Calibri" w:hAnsi="Calibri"/>
                <w:sz w:val="21"/>
              </w:rPr>
              <w:t>11‑19 %</w:t>
            </w:r>
          </w:p>
        </w:tc>
      </w:tr>
      <w:tr w:rsidR="00736A71" w14:paraId="163EB159" w14:textId="77777777">
        <w:trPr>
          <w:cantSplit/>
          <w:jc w:val="center"/>
        </w:trPr>
        <w:tc>
          <w:tcPr>
            <w:tcW w:w="1928" w:type="dxa"/>
            <w:shd w:val="clear" w:color="auto" w:fill="FFFFFF"/>
            <w:tcMar>
              <w:top w:w="95" w:type="dxa"/>
              <w:left w:w="115" w:type="dxa"/>
              <w:bottom w:w="95" w:type="dxa"/>
              <w:right w:w="115" w:type="dxa"/>
            </w:tcMar>
          </w:tcPr>
          <w:p w14:paraId="14BCF52B" w14:textId="77777777" w:rsidR="00736A71" w:rsidRDefault="00B77AB3">
            <w:pPr>
              <w:keepNext/>
              <w:keepLines/>
              <w:suppressAutoHyphens/>
              <w:spacing w:after="0" w:line="252" w:lineRule="auto"/>
              <w:jc w:val="left"/>
            </w:pPr>
            <w:r>
              <w:rPr>
                <w:rFonts w:ascii="Calibri" w:hAnsi="Calibri"/>
                <w:color w:val="17384D"/>
                <w:sz w:val="21"/>
              </w:rPr>
              <w:t>Cefepima</w:t>
            </w:r>
          </w:p>
        </w:tc>
        <w:tc>
          <w:tcPr>
            <w:tcW w:w="5159" w:type="dxa"/>
            <w:shd w:val="clear" w:color="auto" w:fill="FFFFFF"/>
            <w:tcMar>
              <w:top w:w="95" w:type="dxa"/>
              <w:left w:w="115" w:type="dxa"/>
              <w:bottom w:w="95" w:type="dxa"/>
              <w:right w:w="115" w:type="dxa"/>
            </w:tcMar>
          </w:tcPr>
          <w:p w14:paraId="30161F5B" w14:textId="77777777" w:rsidR="00736A71" w:rsidRDefault="00B77AB3">
            <w:pPr>
              <w:keepNext/>
              <w:keepLines/>
              <w:suppressAutoHyphens/>
              <w:spacing w:after="0" w:line="252" w:lineRule="auto"/>
              <w:jc w:val="left"/>
            </w:pPr>
            <w:r>
              <w:rPr>
                <w:rFonts w:ascii="Calibri" w:hAnsi="Calibri"/>
                <w:sz w:val="21"/>
              </w:rPr>
              <w:t>4‑6 g/día (cada 8‑12 h)</w:t>
            </w:r>
          </w:p>
        </w:tc>
        <w:tc>
          <w:tcPr>
            <w:tcW w:w="2324" w:type="dxa"/>
            <w:shd w:val="clear" w:color="auto" w:fill="FFFFFF"/>
            <w:tcMar>
              <w:top w:w="95" w:type="dxa"/>
              <w:left w:w="115" w:type="dxa"/>
              <w:bottom w:w="95" w:type="dxa"/>
              <w:right w:w="115" w:type="dxa"/>
            </w:tcMar>
          </w:tcPr>
          <w:p w14:paraId="5BBDAA64" w14:textId="77777777" w:rsidR="00736A71" w:rsidRDefault="00B77AB3">
            <w:pPr>
              <w:keepNext/>
              <w:keepLines/>
              <w:suppressAutoHyphens/>
              <w:spacing w:after="0" w:line="252" w:lineRule="auto"/>
              <w:jc w:val="center"/>
            </w:pPr>
            <w:r>
              <w:rPr>
                <w:rFonts w:ascii="Calibri" w:hAnsi="Calibri"/>
                <w:sz w:val="21"/>
              </w:rPr>
              <w:t>11‑19 %</w:t>
            </w:r>
          </w:p>
        </w:tc>
      </w:tr>
      <w:tr w:rsidR="00736A71" w14:paraId="4EA562A8" w14:textId="77777777">
        <w:trPr>
          <w:cantSplit/>
          <w:jc w:val="center"/>
        </w:trPr>
        <w:tc>
          <w:tcPr>
            <w:tcW w:w="1928" w:type="dxa"/>
            <w:shd w:val="clear" w:color="auto" w:fill="F2F6F8"/>
            <w:tcMar>
              <w:top w:w="95" w:type="dxa"/>
              <w:left w:w="115" w:type="dxa"/>
              <w:bottom w:w="95" w:type="dxa"/>
              <w:right w:w="115" w:type="dxa"/>
            </w:tcMar>
          </w:tcPr>
          <w:p w14:paraId="7E264FD6" w14:textId="77777777" w:rsidR="00736A71" w:rsidRDefault="00B77AB3">
            <w:pPr>
              <w:keepNext/>
              <w:keepLines/>
              <w:suppressAutoHyphens/>
              <w:spacing w:after="0" w:line="252" w:lineRule="auto"/>
              <w:jc w:val="left"/>
            </w:pPr>
            <w:r>
              <w:rPr>
                <w:rFonts w:ascii="Calibri" w:hAnsi="Calibri"/>
                <w:color w:val="17384D"/>
                <w:sz w:val="21"/>
              </w:rPr>
              <w:t>Cloxacilina</w:t>
            </w:r>
          </w:p>
        </w:tc>
        <w:tc>
          <w:tcPr>
            <w:tcW w:w="5159" w:type="dxa"/>
            <w:shd w:val="clear" w:color="auto" w:fill="F2F6F8"/>
            <w:tcMar>
              <w:top w:w="95" w:type="dxa"/>
              <w:left w:w="115" w:type="dxa"/>
              <w:bottom w:w="95" w:type="dxa"/>
              <w:right w:w="115" w:type="dxa"/>
            </w:tcMar>
          </w:tcPr>
          <w:p w14:paraId="1ED1C0E7" w14:textId="77777777" w:rsidR="00736A71" w:rsidRDefault="00B77AB3">
            <w:pPr>
              <w:keepNext/>
              <w:keepLines/>
              <w:suppressAutoHyphens/>
              <w:spacing w:after="0" w:line="252" w:lineRule="auto"/>
              <w:jc w:val="left"/>
            </w:pPr>
            <w:r>
              <w:rPr>
                <w:rFonts w:ascii="Calibri" w:hAnsi="Calibri"/>
                <w:sz w:val="21"/>
              </w:rPr>
              <w:t xml:space="preserve">4‑6 g/día (cada 4‑6 h)</w:t>
            </w:r>
            <w:r>
              <w:rPr>
                <w:rFonts w:ascii="DejaVu Sans" w:hAnsi="DejaVu Sans"/>
                <w:sz w:val="21"/>
              </w:rPr>
              <w:t xml:space="preserve"/>
            </w:r>
            <w:r>
              <w:rPr>
                <w:rFonts w:ascii="DejaVu Sans" w:hAnsi="DejaVu Sans"/>
                <w:sz w:val="21"/>
              </w:rPr>
              <w:t xml:space="preserve"/>
            </w:r>
          </w:p>
        </w:tc>
        <w:tc>
          <w:tcPr>
            <w:tcW w:w="2324" w:type="dxa"/>
            <w:shd w:val="clear" w:color="auto" w:fill="F2F6F8"/>
            <w:tcMar>
              <w:top w:w="95" w:type="dxa"/>
              <w:left w:w="115" w:type="dxa"/>
              <w:bottom w:w="95" w:type="dxa"/>
              <w:right w:w="115" w:type="dxa"/>
            </w:tcMar>
          </w:tcPr>
          <w:p w14:paraId="6FE210A4" w14:textId="77777777" w:rsidR="00736A71" w:rsidRDefault="00B77AB3">
            <w:pPr>
              <w:keepNext/>
              <w:keepLines/>
              <w:suppressAutoHyphens/>
              <w:spacing w:after="0" w:line="252" w:lineRule="auto"/>
              <w:jc w:val="center"/>
            </w:pPr>
            <w:r>
              <w:rPr>
                <w:rFonts w:ascii="Calibri" w:hAnsi="Calibri"/>
                <w:sz w:val="21"/>
              </w:rPr>
              <w:t>11‑19 %</w:t>
            </w:r>
          </w:p>
        </w:tc>
      </w:tr>
      <w:tr w:rsidR="00736A71" w14:paraId="1A139E72" w14:textId="77777777">
        <w:trPr>
          <w:cantSplit/>
          <w:jc w:val="center"/>
        </w:trPr>
        <w:tc>
          <w:tcPr>
            <w:tcW w:w="1928" w:type="dxa"/>
            <w:shd w:val="clear" w:color="auto" w:fill="FFFFFF"/>
            <w:tcMar>
              <w:top w:w="95" w:type="dxa"/>
              <w:left w:w="115" w:type="dxa"/>
              <w:bottom w:w="95" w:type="dxa"/>
              <w:right w:w="115" w:type="dxa"/>
            </w:tcMar>
          </w:tcPr>
          <w:p w14:paraId="39C6A345" w14:textId="77777777" w:rsidR="00736A71" w:rsidRDefault="00B77AB3">
            <w:pPr>
              <w:keepNext/>
              <w:keepLines/>
              <w:suppressAutoHyphens/>
              <w:spacing w:after="0" w:line="252" w:lineRule="auto"/>
              <w:jc w:val="left"/>
            </w:pPr>
            <w:r>
              <w:rPr>
                <w:rFonts w:ascii="Calibri" w:hAnsi="Calibri"/>
                <w:color w:val="17384D"/>
                <w:sz w:val="21"/>
              </w:rPr>
              <w:t>Gentamicina</w:t>
            </w:r>
          </w:p>
        </w:tc>
        <w:tc>
          <w:tcPr>
            <w:tcW w:w="5159" w:type="dxa"/>
            <w:shd w:val="clear" w:color="auto" w:fill="FFFFFF"/>
            <w:tcMar>
              <w:top w:w="95" w:type="dxa"/>
              <w:left w:w="115" w:type="dxa"/>
              <w:bottom w:w="95" w:type="dxa"/>
              <w:right w:w="115" w:type="dxa"/>
            </w:tcMar>
          </w:tcPr>
          <w:p w14:paraId="1472588C" w14:textId="77777777" w:rsidR="00736A71" w:rsidRDefault="00B77AB3">
            <w:pPr>
              <w:keepNext/>
              <w:keepLines/>
              <w:suppressAutoHyphens/>
              <w:spacing w:after="0" w:line="252" w:lineRule="auto"/>
              <w:jc w:val="left"/>
            </w:pPr>
            <w:r>
              <w:rPr>
                <w:rFonts w:ascii="Calibri" w:hAnsi="Calibri"/>
                <w:sz w:val="21"/>
              </w:rPr>
              <w:t>6 mg/kg/día (cada 8 h)</w:t>
            </w:r>
          </w:p>
        </w:tc>
        <w:tc>
          <w:tcPr>
            <w:tcW w:w="2324" w:type="dxa"/>
            <w:shd w:val="clear" w:color="auto" w:fill="FFFFFF"/>
            <w:tcMar>
              <w:top w:w="95" w:type="dxa"/>
              <w:left w:w="115" w:type="dxa"/>
              <w:bottom w:w="95" w:type="dxa"/>
              <w:right w:w="115" w:type="dxa"/>
            </w:tcMar>
          </w:tcPr>
          <w:p w14:paraId="01BBBB78" w14:textId="77777777" w:rsidR="00736A71" w:rsidRDefault="00B77AB3">
            <w:pPr>
              <w:keepNext/>
              <w:keepLines/>
              <w:suppressAutoHyphens/>
              <w:spacing w:after="0" w:line="252" w:lineRule="auto"/>
              <w:jc w:val="center"/>
            </w:pPr>
            <w:r>
              <w:rPr>
                <w:rFonts w:ascii="Calibri" w:hAnsi="Calibri"/>
                <w:sz w:val="21"/>
              </w:rPr>
              <w:t>&lt;5 %</w:t>
            </w:r>
          </w:p>
        </w:tc>
      </w:tr>
      <w:tr w:rsidR="00736A71" w14:paraId="29C9AA8B" w14:textId="77777777">
        <w:trPr>
          <w:cantSplit/>
          <w:jc w:val="center"/>
        </w:trPr>
        <w:tc>
          <w:tcPr>
            <w:tcW w:w="1928" w:type="dxa"/>
            <w:shd w:val="clear" w:color="auto" w:fill="F2F6F8"/>
            <w:tcMar>
              <w:top w:w="95" w:type="dxa"/>
              <w:left w:w="115" w:type="dxa"/>
              <w:bottom w:w="95" w:type="dxa"/>
              <w:right w:w="115" w:type="dxa"/>
            </w:tcMar>
          </w:tcPr>
          <w:p w14:paraId="7DB24990" w14:textId="77777777" w:rsidR="00736A71" w:rsidRDefault="00B77AB3">
            <w:pPr>
              <w:keepNext/>
              <w:keepLines/>
              <w:suppressAutoHyphens/>
              <w:spacing w:after="0" w:line="252" w:lineRule="auto"/>
              <w:jc w:val="left"/>
            </w:pPr>
            <w:proofErr w:type="spellStart"/>
            <w:r>
              <w:rPr>
                <w:rFonts w:ascii="Calibri" w:hAnsi="Calibri"/>
                <w:color w:val="17384D"/>
                <w:sz w:val="21"/>
              </w:rPr>
              <w:t>Linezolid</w:t>
            </w:r>
            <w:proofErr w:type="spellEnd"/>
          </w:p>
        </w:tc>
        <w:tc>
          <w:tcPr>
            <w:tcW w:w="5159" w:type="dxa"/>
            <w:shd w:val="clear" w:color="auto" w:fill="F2F6F8"/>
            <w:tcMar>
              <w:top w:w="95" w:type="dxa"/>
              <w:left w:w="115" w:type="dxa"/>
              <w:bottom w:w="95" w:type="dxa"/>
              <w:right w:w="115" w:type="dxa"/>
            </w:tcMar>
          </w:tcPr>
          <w:p w14:paraId="3BBD1B77" w14:textId="77777777" w:rsidR="00736A71" w:rsidRDefault="00B77AB3">
            <w:pPr>
              <w:keepNext/>
              <w:keepLines/>
              <w:suppressAutoHyphens/>
              <w:spacing w:after="0" w:line="252" w:lineRule="auto"/>
              <w:jc w:val="left"/>
            </w:pPr>
            <w:r>
              <w:rPr>
                <w:rFonts w:ascii="Calibri" w:hAnsi="Calibri"/>
                <w:sz w:val="21"/>
              </w:rPr>
              <w:t>1.200 mg/día (cada 12 h)</w:t>
            </w:r>
          </w:p>
        </w:tc>
        <w:tc>
          <w:tcPr>
            <w:tcW w:w="2324" w:type="dxa"/>
            <w:shd w:val="clear" w:color="auto" w:fill="F2F6F8"/>
            <w:tcMar>
              <w:top w:w="95" w:type="dxa"/>
              <w:left w:w="115" w:type="dxa"/>
              <w:bottom w:w="95" w:type="dxa"/>
              <w:right w:w="115" w:type="dxa"/>
            </w:tcMar>
          </w:tcPr>
          <w:p w14:paraId="60D36B56" w14:textId="77777777" w:rsidR="00736A71" w:rsidRDefault="00B77AB3">
            <w:pPr>
              <w:keepNext/>
              <w:keepLines/>
              <w:suppressAutoHyphens/>
              <w:spacing w:after="0" w:line="252" w:lineRule="auto"/>
              <w:jc w:val="center"/>
            </w:pPr>
            <w:r>
              <w:rPr>
                <w:rFonts w:ascii="Calibri" w:hAnsi="Calibri"/>
                <w:sz w:val="21"/>
              </w:rPr>
              <w:t>≥20 %</w:t>
            </w:r>
          </w:p>
        </w:tc>
      </w:tr>
      <w:tr w:rsidR="00736A71" w14:paraId="601B8D22" w14:textId="77777777">
        <w:trPr>
          <w:cantSplit/>
          <w:jc w:val="center"/>
        </w:trPr>
        <w:tc>
          <w:tcPr>
            <w:tcW w:w="1928" w:type="dxa"/>
            <w:shd w:val="clear" w:color="auto" w:fill="FFFFFF"/>
            <w:tcMar>
              <w:top w:w="95" w:type="dxa"/>
              <w:left w:w="115" w:type="dxa"/>
              <w:bottom w:w="95" w:type="dxa"/>
              <w:right w:w="115" w:type="dxa"/>
            </w:tcMar>
          </w:tcPr>
          <w:p w14:paraId="38A06A57" w14:textId="77777777" w:rsidR="00736A71" w:rsidRDefault="00B77AB3">
            <w:pPr>
              <w:keepNext/>
              <w:keepLines/>
              <w:suppressAutoHyphens/>
              <w:spacing w:after="0" w:line="252" w:lineRule="auto"/>
              <w:jc w:val="left"/>
            </w:pPr>
            <w:r>
              <w:rPr>
                <w:rFonts w:ascii="Calibri" w:hAnsi="Calibri"/>
                <w:color w:val="17384D"/>
                <w:sz w:val="21"/>
              </w:rPr>
              <w:t>Meropenem</w:t>
            </w:r>
          </w:p>
        </w:tc>
        <w:tc>
          <w:tcPr>
            <w:tcW w:w="5159" w:type="dxa"/>
            <w:shd w:val="clear" w:color="auto" w:fill="FFFFFF"/>
            <w:tcMar>
              <w:top w:w="95" w:type="dxa"/>
              <w:left w:w="115" w:type="dxa"/>
              <w:bottom w:w="95" w:type="dxa"/>
              <w:right w:w="115" w:type="dxa"/>
            </w:tcMar>
          </w:tcPr>
          <w:p w14:paraId="7D1C6F42" w14:textId="77777777" w:rsidR="00736A71" w:rsidRDefault="00B77AB3">
            <w:pPr>
              <w:keepNext/>
              <w:keepLines/>
              <w:suppressAutoHyphens/>
              <w:spacing w:after="0" w:line="252" w:lineRule="auto"/>
              <w:jc w:val="left"/>
            </w:pPr>
            <w:r>
              <w:rPr>
                <w:rFonts w:ascii="Calibri" w:hAnsi="Calibri"/>
                <w:sz w:val="21"/>
              </w:rPr>
              <w:t>6 g/día (cada 8 h)</w:t>
            </w:r>
          </w:p>
        </w:tc>
        <w:tc>
          <w:tcPr>
            <w:tcW w:w="2324" w:type="dxa"/>
            <w:shd w:val="clear" w:color="auto" w:fill="FFFFFF"/>
            <w:tcMar>
              <w:top w:w="95" w:type="dxa"/>
              <w:left w:w="115" w:type="dxa"/>
              <w:bottom w:w="95" w:type="dxa"/>
              <w:right w:w="115" w:type="dxa"/>
            </w:tcMar>
          </w:tcPr>
          <w:p w14:paraId="46E52725" w14:textId="77777777" w:rsidR="00736A71" w:rsidRDefault="00B77AB3">
            <w:pPr>
              <w:keepNext/>
              <w:keepLines/>
              <w:suppressAutoHyphens/>
              <w:spacing w:after="0" w:line="252" w:lineRule="auto"/>
              <w:jc w:val="center"/>
            </w:pPr>
            <w:r>
              <w:rPr>
                <w:rFonts w:ascii="Calibri" w:hAnsi="Calibri"/>
                <w:sz w:val="21"/>
              </w:rPr>
              <w:t xml:space="preserve">5‑19 %</w:t>
            </w:r>
          </w:p>
        </w:tc>
      </w:tr>
      <w:tr w:rsidR="00736A71" w14:paraId="047EBBFC" w14:textId="77777777">
        <w:trPr>
          <w:cantSplit/>
          <w:jc w:val="center"/>
        </w:trPr>
        <w:tc>
          <w:tcPr>
            <w:tcW w:w="1928" w:type="dxa"/>
            <w:shd w:val="clear" w:color="auto" w:fill="F2F6F8"/>
            <w:tcMar>
              <w:top w:w="95" w:type="dxa"/>
              <w:left w:w="115" w:type="dxa"/>
              <w:bottom w:w="95" w:type="dxa"/>
              <w:right w:w="115" w:type="dxa"/>
            </w:tcMar>
          </w:tcPr>
          <w:p w14:paraId="1C023143" w14:textId="77777777" w:rsidR="00736A71" w:rsidRDefault="00B77AB3">
            <w:pPr>
              <w:keepNext/>
              <w:keepLines/>
              <w:suppressAutoHyphens/>
              <w:spacing w:after="0" w:line="252" w:lineRule="auto"/>
              <w:jc w:val="left"/>
            </w:pPr>
            <w:r>
              <w:rPr>
                <w:rFonts w:ascii="Calibri" w:hAnsi="Calibri"/>
                <w:color w:val="17384D"/>
                <w:sz w:val="21"/>
              </w:rPr>
              <w:t>Metronidazol</w:t>
            </w:r>
          </w:p>
        </w:tc>
        <w:tc>
          <w:tcPr>
            <w:tcW w:w="5159" w:type="dxa"/>
            <w:shd w:val="clear" w:color="auto" w:fill="F2F6F8"/>
            <w:tcMar>
              <w:top w:w="95" w:type="dxa"/>
              <w:left w:w="115" w:type="dxa"/>
              <w:bottom w:w="95" w:type="dxa"/>
              <w:right w:w="115" w:type="dxa"/>
            </w:tcMar>
          </w:tcPr>
          <w:p w14:paraId="1B289E00" w14:textId="77777777" w:rsidR="00736A71" w:rsidRDefault="00B77AB3">
            <w:pPr>
              <w:keepNext/>
              <w:keepLines/>
              <w:suppressAutoHyphens/>
              <w:spacing w:after="0" w:line="252" w:lineRule="auto"/>
              <w:jc w:val="left"/>
            </w:pPr>
            <w:r>
              <w:rPr>
                <w:rFonts w:ascii="Calibri" w:hAnsi="Calibri"/>
                <w:sz w:val="21"/>
              </w:rPr>
              <w:t>1.500‑2.000 mg/día (cada 8 h)</w:t>
            </w:r>
          </w:p>
        </w:tc>
        <w:tc>
          <w:tcPr>
            <w:tcW w:w="2324" w:type="dxa"/>
            <w:shd w:val="clear" w:color="auto" w:fill="F2F6F8"/>
            <w:tcMar>
              <w:top w:w="95" w:type="dxa"/>
              <w:left w:w="115" w:type="dxa"/>
              <w:bottom w:w="95" w:type="dxa"/>
              <w:right w:w="115" w:type="dxa"/>
            </w:tcMar>
          </w:tcPr>
          <w:p w14:paraId="0042247F" w14:textId="77777777" w:rsidR="00736A71" w:rsidRDefault="00B77AB3">
            <w:pPr>
              <w:keepNext/>
              <w:keepLines/>
              <w:suppressAutoHyphens/>
              <w:spacing w:after="0" w:line="252" w:lineRule="auto"/>
              <w:jc w:val="center"/>
            </w:pPr>
            <w:r>
              <w:rPr>
                <w:rFonts w:ascii="Calibri" w:hAnsi="Calibri"/>
                <w:sz w:val="21"/>
              </w:rPr>
              <w:t>≥20 %</w:t>
            </w:r>
          </w:p>
        </w:tc>
      </w:tr>
      <w:tr w:rsidR="00736A71" w14:paraId="2309975C" w14:textId="77777777">
        <w:trPr>
          <w:cantSplit/>
          <w:jc w:val="center"/>
        </w:trPr>
        <w:tc>
          <w:tcPr>
            <w:tcW w:w="1928" w:type="dxa"/>
            <w:shd w:val="clear" w:color="auto" w:fill="FFFFFF"/>
            <w:tcMar>
              <w:top w:w="95" w:type="dxa"/>
              <w:left w:w="115" w:type="dxa"/>
              <w:bottom w:w="95" w:type="dxa"/>
              <w:right w:w="115" w:type="dxa"/>
            </w:tcMar>
          </w:tcPr>
          <w:p w14:paraId="0CFE6D98" w14:textId="77777777" w:rsidR="00736A71" w:rsidRDefault="00B77AB3">
            <w:pPr>
              <w:keepNext/>
              <w:keepLines/>
              <w:suppressAutoHyphens/>
              <w:spacing w:after="0" w:line="252" w:lineRule="auto"/>
              <w:jc w:val="left"/>
            </w:pPr>
            <w:r>
              <w:rPr>
                <w:rFonts w:ascii="Calibri" w:hAnsi="Calibri"/>
                <w:color w:val="17384D"/>
                <w:sz w:val="21"/>
              </w:rPr>
              <w:t>Cotrimoxazol</w:t>
            </w:r>
          </w:p>
        </w:tc>
        <w:tc>
          <w:tcPr>
            <w:tcW w:w="5159" w:type="dxa"/>
            <w:shd w:val="clear" w:color="auto" w:fill="FFFFFF"/>
            <w:tcMar>
              <w:top w:w="95" w:type="dxa"/>
              <w:left w:w="115" w:type="dxa"/>
              <w:bottom w:w="95" w:type="dxa"/>
              <w:right w:w="115" w:type="dxa"/>
            </w:tcMar>
          </w:tcPr>
          <w:p w14:paraId="17BF272A" w14:textId="77777777" w:rsidR="00736A71" w:rsidRDefault="00B77AB3">
            <w:pPr>
              <w:keepNext/>
              <w:keepLines/>
              <w:suppressAutoHyphens/>
              <w:spacing w:after="0" w:line="252" w:lineRule="auto"/>
              <w:jc w:val="left"/>
            </w:pPr>
            <w:r>
              <w:rPr>
                <w:rFonts w:ascii="Calibri" w:hAnsi="Calibri"/>
                <w:sz w:val="21"/>
              </w:rPr>
              <w:t xml:space="preserve">15‑20 mg/kg/día de </w:t>
            </w:r>
            <w:proofErr w:type="spellStart"/>
            <w:r>
              <w:rPr>
                <w:rFonts w:ascii="Calibri" w:hAnsi="Calibri"/>
                <w:sz w:val="21"/>
              </w:rPr>
              <w:t>trimetoprim</w:t>
            </w:r>
            <w:proofErr w:type="spellEnd"/>
            <w:r>
              <w:rPr>
                <w:rFonts w:ascii="Calibri" w:hAnsi="Calibri"/>
                <w:sz w:val="21"/>
              </w:rPr>
              <w:t xml:space="preserve"> (cada 8 h)</w:t>
            </w:r>
          </w:p>
        </w:tc>
        <w:tc>
          <w:tcPr>
            <w:tcW w:w="2324" w:type="dxa"/>
            <w:shd w:val="clear" w:color="auto" w:fill="FFFFFF"/>
            <w:tcMar>
              <w:top w:w="95" w:type="dxa"/>
              <w:left w:w="115" w:type="dxa"/>
              <w:bottom w:w="95" w:type="dxa"/>
              <w:right w:w="115" w:type="dxa"/>
            </w:tcMar>
          </w:tcPr>
          <w:p w14:paraId="1B4E39BC" w14:textId="77777777" w:rsidR="00736A71" w:rsidRDefault="00B77AB3">
            <w:pPr>
              <w:keepNext/>
              <w:keepLines/>
              <w:suppressAutoHyphens/>
              <w:spacing w:after="0" w:line="252" w:lineRule="auto"/>
              <w:jc w:val="center"/>
            </w:pPr>
            <w:r>
              <w:rPr>
                <w:rFonts w:ascii="Calibri" w:hAnsi="Calibri"/>
                <w:sz w:val="21"/>
              </w:rPr>
              <w:t>≥20 %</w:t>
            </w:r>
          </w:p>
        </w:tc>
      </w:tr>
      <w:tr w:rsidR="00736A71" w14:paraId="066E04A5" w14:textId="77777777">
        <w:trPr>
          <w:cantSplit/>
          <w:jc w:val="center"/>
        </w:trPr>
        <w:tc>
          <w:tcPr>
            <w:tcW w:w="1928" w:type="dxa"/>
            <w:shd w:val="clear" w:color="auto" w:fill="F2F6F8"/>
            <w:tcMar>
              <w:top w:w="95" w:type="dxa"/>
              <w:left w:w="115" w:type="dxa"/>
              <w:bottom w:w="95" w:type="dxa"/>
              <w:right w:w="115" w:type="dxa"/>
            </w:tcMar>
          </w:tcPr>
          <w:p w14:paraId="42006D24" w14:textId="77777777" w:rsidR="00736A71" w:rsidRDefault="00B77AB3">
            <w:pPr>
              <w:keepLines/>
              <w:suppressAutoHyphens/>
              <w:spacing w:after="0" w:line="252" w:lineRule="auto"/>
              <w:jc w:val="left"/>
            </w:pPr>
            <w:r>
              <w:rPr>
                <w:rFonts w:ascii="Calibri" w:hAnsi="Calibri"/>
                <w:color w:val="17384D"/>
                <w:sz w:val="21"/>
              </w:rPr>
              <w:t>Vancomicina</w:t>
            </w:r>
          </w:p>
        </w:tc>
        <w:tc>
          <w:tcPr>
            <w:tcW w:w="5159" w:type="dxa"/>
            <w:shd w:val="clear" w:color="auto" w:fill="F2F6F8"/>
            <w:tcMar>
              <w:top w:w="95" w:type="dxa"/>
              <w:left w:w="115" w:type="dxa"/>
              <w:bottom w:w="95" w:type="dxa"/>
              <w:right w:w="115" w:type="dxa"/>
            </w:tcMar>
          </w:tcPr>
          <w:p w14:paraId="2567CF91" w14:textId="77777777" w:rsidR="00736A71" w:rsidRDefault="00B77AB3">
            <w:pPr>
              <w:keepLines/>
              <w:suppressAutoHyphens/>
              <w:spacing w:after="0" w:line="252" w:lineRule="auto"/>
              <w:jc w:val="left"/>
            </w:pPr>
            <w:r>
              <w:rPr>
                <w:rFonts w:ascii="Calibri" w:hAnsi="Calibri"/>
                <w:sz w:val="21"/>
              </w:rPr>
              <w:t>2‑3 g/día (cada 6‑12 h)</w:t>
            </w:r>
          </w:p>
        </w:tc>
        <w:tc>
          <w:tcPr>
            <w:tcW w:w="2324" w:type="dxa"/>
            <w:shd w:val="clear" w:color="auto" w:fill="F2F6F8"/>
            <w:tcMar>
              <w:top w:w="95" w:type="dxa"/>
              <w:left w:w="115" w:type="dxa"/>
              <w:bottom w:w="95" w:type="dxa"/>
              <w:right w:w="115" w:type="dxa"/>
            </w:tcMar>
          </w:tcPr>
          <w:p w14:paraId="1A92A26E" w14:textId="77777777" w:rsidR="00736A71" w:rsidRDefault="00B77AB3">
            <w:pPr>
              <w:keepLines/>
              <w:suppressAutoHyphens/>
              <w:spacing w:after="0" w:line="252" w:lineRule="auto"/>
              <w:jc w:val="center"/>
            </w:pPr>
            <w:r>
              <w:rPr>
                <w:rFonts w:ascii="Calibri" w:hAnsi="Calibri"/>
                <w:sz w:val="21"/>
              </w:rPr>
              <w:t>11‑19 %</w:t>
            </w:r>
          </w:p>
        </w:tc>
      </w:tr>
    </w:tbl>
    <w:p w14:paraId="45B4E7A3" w14:textId="77777777" w:rsidR="00736A71" w:rsidRDefault="00736A71">
      <w:pPr>
        <w:widowControl w:val="0"/>
        <w:spacing w:after="0" w:line="140" w:lineRule="exact"/>
      </w:pPr>
    </w:p>
    <w:p w14:paraId="48272CCF" w14:textId="77777777" w:rsidR="00736A71" w:rsidRDefault="00B77AB3">
      <w:pPr>
        <w:keepLines/>
        <w:spacing w:before="60" w:after="200"/>
      </w:pPr>
      <w:r>
        <w:rPr>
          <w:color w:val="4F5F68"/>
          <w:sz w:val="19"/>
          <w:szCs w:val="19"/>
        </w:rPr>
        <w:t>*Porcentaje del nivel plasmático que se alcanza en el LCR con las meninges inflamadas. La inflamación meníngea aumenta la permeabilidad de la barrera hematoencefálica y deja pasar fármacos que en condiciones normales apenas penetran, como los betalactámicos.</w:t>
      </w:r>
    </w:p>
    <w:p w14:paraId="21EEDDD0" w14:textId="77777777" w:rsidR="00736A71" w:rsidRDefault="00B77AB3">
      <w:pPr>
        <w:pStyle w:val="Ttulo1"/>
        <w:pageBreakBefore/>
      </w:pPr>
      <w:bookmarkStart w:id="19" w:name="_Toc000510019"/>
      <w:r>
        <w:rPr>
          <w:color w:val="1C7C7D"/>
        </w:rPr>
        <w:lastRenderedPageBreak/>
        <w:t xml:space="preserve">7. </w:t>
      </w:r>
      <w:r>
        <w:t>Tratamiento dirigido y duración</w:t>
      </w:r>
      <w:bookmarkEnd w:id="19"/>
    </w:p>
    <w:p w14:paraId="63C03B85" w14:textId="77777777" w:rsidR="00736A71" w:rsidRDefault="00B77AB3">
      <w:pPr>
        <w:keepLines/>
      </w:pPr>
      <w:r>
        <w:t xml:space="preserve">Ajustar según el </w:t>
      </w:r>
      <w:r>
        <w:rPr>
          <w:b/>
        </w:rPr>
        <w:t>Gram, la PCR múltiple, el cultivo y el antibiograma</w:t>
      </w:r>
      <w:r>
        <w:t xml:space="preserve"> (ESCMID, grado A). Si el germen es sensible, </w:t>
      </w:r>
      <w:r>
        <w:rPr>
          <w:b/>
        </w:rPr>
        <w:t>retirar la vancomicina</w:t>
      </w:r>
      <w:r>
        <w:t xml:space="preserve"> (y la ampicilina si no es </w:t>
      </w:r>
      <w:r>
        <w:rPr>
          <w:i/>
        </w:rPr>
        <w:t>Listeria</w:t>
      </w:r>
      <w:r>
        <w:t>).</w:t>
      </w:r>
    </w:p>
    <w:tbl>
      <w:tblPr>
        <w:tblW w:w="0" w:type="auto"/>
        <w:jc w:val="center"/>
        <w:tblBorders>
          <w:top w:val="single" w:sz="8" w:space="0" w:color="17384D"/>
          <w:left w:val="nil"/>
          <w:bottom w:val="single" w:sz="12" w:space="0" w:color="17384D"/>
          <w:right w:val="nil"/>
          <w:insideH w:val="single" w:sz="4" w:space="0" w:color="D3DEE3"/>
          <w:insideV w:val="single" w:sz="6" w:space="0" w:color="FFFFFF"/>
        </w:tblBorders>
        <w:tblLayout w:type="fixed"/>
        <w:tblLook w:val="04A0" w:firstRow="1" w:lastRow="0" w:firstColumn="1" w:lastColumn="0" w:noHBand="0" w:noVBand="1"/>
      </w:tblPr>
      <w:tblGrid>
        <w:gridCol w:w="1757"/>
        <w:gridCol w:w="5102"/>
        <w:gridCol w:w="2551"/>
      </w:tblGrid>
      <w:tr w:rsidR="00736A71" w14:paraId="11EBC0CE" w14:textId="77777777">
        <w:trPr>
          <w:cantSplit/>
          <w:tblHeader/>
          <w:jc w:val="center"/>
        </w:trPr>
        <w:tc>
          <w:tcPr>
            <w:tcW w:w="1757" w:type="dxa"/>
            <w:shd w:val="clear" w:color="auto" w:fill="17384D"/>
            <w:tcMar>
              <w:top w:w="95" w:type="dxa"/>
              <w:left w:w="115" w:type="dxa"/>
              <w:bottom w:w="95" w:type="dxa"/>
              <w:right w:w="115" w:type="dxa"/>
            </w:tcMar>
            <w:vAlign w:val="center"/>
          </w:tcPr>
          <w:p w14:paraId="60B837AE" w14:textId="77777777" w:rsidR="00736A71" w:rsidRDefault="00B77AB3">
            <w:pPr>
              <w:keepNext/>
              <w:keepLines/>
              <w:suppressAutoHyphens/>
              <w:spacing w:after="0" w:line="252" w:lineRule="auto"/>
              <w:jc w:val="left"/>
            </w:pPr>
            <w:r>
              <w:rPr>
                <w:rFonts w:ascii="Calibri" w:hAnsi="Calibri"/>
                <w:b/>
                <w:color w:val="FFFFFF"/>
                <w:spacing w:val="4"/>
                <w:sz w:val="20"/>
                <w:szCs w:val="20"/>
              </w:rPr>
              <w:t>Germen</w:t>
            </w:r>
          </w:p>
        </w:tc>
        <w:tc>
          <w:tcPr>
            <w:tcW w:w="5102" w:type="dxa"/>
            <w:shd w:val="clear" w:color="auto" w:fill="17384D"/>
            <w:tcMar>
              <w:top w:w="95" w:type="dxa"/>
              <w:left w:w="115" w:type="dxa"/>
              <w:bottom w:w="95" w:type="dxa"/>
              <w:right w:w="115" w:type="dxa"/>
            </w:tcMar>
            <w:vAlign w:val="center"/>
          </w:tcPr>
          <w:p w14:paraId="163CEA4D" w14:textId="77777777" w:rsidR="00736A71" w:rsidRDefault="00B77AB3">
            <w:pPr>
              <w:keepNext/>
              <w:keepLines/>
              <w:suppressAutoHyphens/>
              <w:spacing w:after="0" w:line="252" w:lineRule="auto"/>
              <w:jc w:val="left"/>
            </w:pPr>
            <w:r>
              <w:rPr>
                <w:rFonts w:ascii="Calibri" w:hAnsi="Calibri"/>
                <w:b/>
                <w:color w:val="FFFFFF"/>
                <w:spacing w:val="4"/>
                <w:sz w:val="20"/>
                <w:szCs w:val="20"/>
              </w:rPr>
              <w:t>Tratamiento dirigido</w:t>
            </w:r>
          </w:p>
        </w:tc>
        <w:tc>
          <w:tcPr>
            <w:tcW w:w="2551" w:type="dxa"/>
            <w:shd w:val="clear" w:color="auto" w:fill="17384D"/>
            <w:tcMar>
              <w:top w:w="95" w:type="dxa"/>
              <w:left w:w="115" w:type="dxa"/>
              <w:bottom w:w="95" w:type="dxa"/>
              <w:right w:w="115" w:type="dxa"/>
            </w:tcMar>
            <w:vAlign w:val="center"/>
          </w:tcPr>
          <w:p w14:paraId="39F54884" w14:textId="77777777" w:rsidR="00736A71" w:rsidRDefault="00B77AB3">
            <w:pPr>
              <w:keepNext/>
              <w:keepLines/>
              <w:suppressAutoHyphens/>
              <w:spacing w:after="0" w:line="252" w:lineRule="auto"/>
              <w:jc w:val="center"/>
            </w:pPr>
            <w:r>
              <w:rPr>
                <w:rFonts w:ascii="Calibri" w:hAnsi="Calibri"/>
                <w:b/>
                <w:color w:val="FFFFFF"/>
                <w:spacing w:val="4"/>
                <w:sz w:val="20"/>
                <w:szCs w:val="20"/>
              </w:rPr>
              <w:t>Duración (según la jerarquía de fuentes)</w:t>
            </w:r>
          </w:p>
        </w:tc>
      </w:tr>
      <w:tr w:rsidR="00736A71" w14:paraId="2B7FC626" w14:textId="77777777">
        <w:trPr>
          <w:cantSplit/>
          <w:jc w:val="center"/>
        </w:trPr>
        <w:tc>
          <w:tcPr>
            <w:tcW w:w="1757" w:type="dxa"/>
            <w:shd w:val="clear" w:color="auto" w:fill="FFFFFF"/>
            <w:tcMar>
              <w:top w:w="95" w:type="dxa"/>
              <w:left w:w="115" w:type="dxa"/>
              <w:bottom w:w="95" w:type="dxa"/>
              <w:right w:w="115" w:type="dxa"/>
            </w:tcMar>
          </w:tcPr>
          <w:p w14:paraId="1C5051F1" w14:textId="77777777" w:rsidR="00736A71" w:rsidRDefault="00B77AB3">
            <w:pPr>
              <w:keepNext/>
              <w:keepLines/>
              <w:suppressAutoHyphens/>
              <w:spacing w:after="0" w:line="252" w:lineRule="auto"/>
              <w:jc w:val="left"/>
            </w:pPr>
            <w:r>
              <w:rPr>
                <w:rFonts w:ascii="Calibri" w:hAnsi="Calibri"/>
                <w:b/>
                <w:color w:val="17384D"/>
                <w:sz w:val="21"/>
              </w:rPr>
              <w:t>Neumococo</w:t>
            </w:r>
          </w:p>
        </w:tc>
        <w:tc>
          <w:tcPr>
            <w:tcW w:w="5102" w:type="dxa"/>
            <w:shd w:val="clear" w:color="auto" w:fill="FFFFFF"/>
            <w:tcMar>
              <w:top w:w="95" w:type="dxa"/>
              <w:left w:w="115" w:type="dxa"/>
              <w:bottom w:w="95" w:type="dxa"/>
              <w:right w:w="115" w:type="dxa"/>
            </w:tcMar>
          </w:tcPr>
          <w:p w14:paraId="50643961" w14:textId="77777777" w:rsidR="00736A71" w:rsidRDefault="00B77AB3">
            <w:pPr>
              <w:keepNext/>
              <w:keepLines/>
              <w:suppressAutoHyphens/>
              <w:spacing w:after="0" w:line="252" w:lineRule="auto"/>
              <w:jc w:val="left"/>
            </w:pPr>
            <w:r>
              <w:rPr>
                <w:rFonts w:ascii="Calibri" w:hAnsi="Calibri"/>
                <w:sz w:val="21"/>
              </w:rPr>
              <w:t>Vancomicina + C3G, retirando la vancomicina si es sensible; ajustar a la CMI cuando llegue (ESCMID)</w:t>
            </w:r>
          </w:p>
        </w:tc>
        <w:tc>
          <w:tcPr>
            <w:tcW w:w="2551" w:type="dxa"/>
            <w:shd w:val="clear" w:color="auto" w:fill="FFFFFF"/>
            <w:tcMar>
              <w:top w:w="95" w:type="dxa"/>
              <w:left w:w="115" w:type="dxa"/>
              <w:bottom w:w="95" w:type="dxa"/>
              <w:right w:w="115" w:type="dxa"/>
            </w:tcMar>
            <w:vAlign w:val="center"/>
          </w:tcPr>
          <w:p w14:paraId="2FFA2C3C" w14:textId="77777777" w:rsidR="00736A71" w:rsidRDefault="00B77AB3">
            <w:pPr>
              <w:keepNext/>
              <w:keepLines/>
              <w:suppressAutoHyphens/>
              <w:spacing w:after="0" w:line="252" w:lineRule="auto"/>
              <w:jc w:val="center"/>
            </w:pPr>
            <w:r>
              <w:rPr>
                <w:rFonts w:ascii="Calibri" w:hAnsi="Calibri"/>
                <w:b/>
                <w:sz w:val="21"/>
              </w:rPr>
              <w:t>14 días</w:t>
            </w:r>
            <w:r>
              <w:rPr>
                <w:rFonts w:ascii="Calibri" w:hAnsi="Calibri"/>
                <w:sz w:val="21"/>
              </w:rPr>
              <w:t xml:space="preserve"> (SEN 2025)</w:t>
            </w:r>
          </w:p>
        </w:tc>
      </w:tr>
      <w:tr w:rsidR="00736A71" w14:paraId="769F3D5A" w14:textId="77777777">
        <w:trPr>
          <w:cantSplit/>
          <w:jc w:val="center"/>
        </w:trPr>
        <w:tc>
          <w:tcPr>
            <w:tcW w:w="1757" w:type="dxa"/>
            <w:shd w:val="clear" w:color="auto" w:fill="F2F6F8"/>
            <w:tcMar>
              <w:top w:w="95" w:type="dxa"/>
              <w:left w:w="115" w:type="dxa"/>
              <w:bottom w:w="95" w:type="dxa"/>
              <w:right w:w="115" w:type="dxa"/>
            </w:tcMar>
          </w:tcPr>
          <w:p w14:paraId="5FE17D2A" w14:textId="77777777" w:rsidR="00736A71" w:rsidRDefault="00B77AB3">
            <w:pPr>
              <w:keepNext/>
              <w:keepLines/>
              <w:suppressAutoHyphens/>
              <w:spacing w:after="0" w:line="252" w:lineRule="auto"/>
              <w:jc w:val="left"/>
            </w:pPr>
            <w:r>
              <w:rPr>
                <w:rFonts w:ascii="Calibri" w:hAnsi="Calibri"/>
                <w:b/>
                <w:color w:val="17384D"/>
                <w:sz w:val="21"/>
              </w:rPr>
              <w:t>Meningococo</w:t>
            </w:r>
          </w:p>
        </w:tc>
        <w:tc>
          <w:tcPr>
            <w:tcW w:w="5102" w:type="dxa"/>
            <w:shd w:val="clear" w:color="auto" w:fill="F2F6F8"/>
            <w:tcMar>
              <w:top w:w="95" w:type="dxa"/>
              <w:left w:w="115" w:type="dxa"/>
              <w:bottom w:w="95" w:type="dxa"/>
              <w:right w:w="115" w:type="dxa"/>
            </w:tcMar>
          </w:tcPr>
          <w:p w14:paraId="688B9A88" w14:textId="77777777" w:rsidR="00736A71" w:rsidRDefault="00B77AB3">
            <w:pPr>
              <w:keepNext/>
              <w:keepLines/>
              <w:suppressAutoHyphens/>
              <w:spacing w:after="0" w:line="252" w:lineRule="auto"/>
              <w:jc w:val="left"/>
            </w:pPr>
            <w:r>
              <w:rPr>
                <w:rFonts w:ascii="Calibri" w:hAnsi="Calibri"/>
                <w:sz w:val="21"/>
              </w:rPr>
              <w:t xml:space="preserve">Penicilina G, ampicilina o C3G; </w:t>
            </w:r>
            <w:r>
              <w:rPr>
                <w:rFonts w:ascii="Calibri" w:hAnsi="Calibri"/>
                <w:b/>
                <w:sz w:val="21"/>
              </w:rPr>
              <w:t xml:space="preserve">C3G o </w:t>
            </w:r>
            <w:proofErr w:type="spellStart"/>
            <w:r>
              <w:rPr>
                <w:rFonts w:ascii="Calibri" w:hAnsi="Calibri"/>
                <w:b/>
                <w:sz w:val="21"/>
              </w:rPr>
              <w:t>cefepima</w:t>
            </w:r>
            <w:proofErr w:type="spellEnd"/>
            <w:r>
              <w:rPr>
                <w:rFonts w:ascii="Calibri" w:hAnsi="Calibri"/>
                <w:b/>
                <w:sz w:val="21"/>
              </w:rPr>
              <w:t xml:space="preserve"> si se sospecha resistencia a penicilina</w:t>
            </w:r>
          </w:p>
        </w:tc>
        <w:tc>
          <w:tcPr>
            <w:tcW w:w="2551" w:type="dxa"/>
            <w:shd w:val="clear" w:color="auto" w:fill="F2F6F8"/>
            <w:tcMar>
              <w:top w:w="95" w:type="dxa"/>
              <w:left w:w="115" w:type="dxa"/>
              <w:bottom w:w="95" w:type="dxa"/>
              <w:right w:w="115" w:type="dxa"/>
            </w:tcMar>
            <w:vAlign w:val="center"/>
          </w:tcPr>
          <w:p w14:paraId="4EB45149" w14:textId="77777777" w:rsidR="00736A71" w:rsidRDefault="00B77AB3">
            <w:pPr>
              <w:keepNext/>
              <w:keepLines/>
              <w:suppressAutoHyphens/>
              <w:spacing w:after="0" w:line="252" w:lineRule="auto"/>
              <w:jc w:val="center"/>
            </w:pPr>
            <w:r>
              <w:rPr>
                <w:rFonts w:ascii="Calibri" w:hAnsi="Calibri"/>
                <w:b/>
                <w:sz w:val="21"/>
              </w:rPr>
              <w:t>7 días</w:t>
            </w:r>
            <w:r>
              <w:rPr>
                <w:rFonts w:ascii="Calibri" w:hAnsi="Calibri"/>
                <w:sz w:val="21"/>
              </w:rPr>
              <w:t xml:space="preserve"> (SEN 2025)</w:t>
            </w:r>
          </w:p>
        </w:tc>
      </w:tr>
      <w:tr w:rsidR="00736A71" w14:paraId="2FE6A61C" w14:textId="77777777">
        <w:trPr>
          <w:cantSplit/>
          <w:jc w:val="center"/>
        </w:trPr>
        <w:tc>
          <w:tcPr>
            <w:tcW w:w="1757" w:type="dxa"/>
            <w:shd w:val="clear" w:color="auto" w:fill="FFFFFF"/>
            <w:tcMar>
              <w:top w:w="95" w:type="dxa"/>
              <w:left w:w="115" w:type="dxa"/>
              <w:bottom w:w="95" w:type="dxa"/>
              <w:right w:w="115" w:type="dxa"/>
            </w:tcMar>
          </w:tcPr>
          <w:p w14:paraId="56018BBF" w14:textId="77777777" w:rsidR="00736A71" w:rsidRDefault="00B77AB3">
            <w:pPr>
              <w:keepNext/>
              <w:keepLines/>
              <w:suppressAutoHyphens/>
              <w:spacing w:after="0" w:line="252" w:lineRule="auto"/>
              <w:jc w:val="left"/>
            </w:pPr>
            <w:r>
              <w:rPr>
                <w:rFonts w:ascii="Calibri" w:hAnsi="Calibri"/>
                <w:b/>
                <w:i/>
                <w:color w:val="17384D"/>
                <w:sz w:val="21"/>
              </w:rPr>
              <w:t xml:space="preserve">H. </w:t>
            </w:r>
            <w:proofErr w:type="spellStart"/>
            <w:r>
              <w:rPr>
                <w:rFonts w:ascii="Calibri" w:hAnsi="Calibri"/>
                <w:b/>
                <w:i/>
                <w:color w:val="17384D"/>
                <w:sz w:val="21"/>
              </w:rPr>
              <w:t>influenzae</w:t>
            </w:r>
            <w:proofErr w:type="spellEnd"/>
          </w:p>
        </w:tc>
        <w:tc>
          <w:tcPr>
            <w:tcW w:w="5102" w:type="dxa"/>
            <w:shd w:val="clear" w:color="auto" w:fill="FFFFFF"/>
            <w:tcMar>
              <w:top w:w="95" w:type="dxa"/>
              <w:left w:w="115" w:type="dxa"/>
              <w:bottom w:w="95" w:type="dxa"/>
              <w:right w:w="115" w:type="dxa"/>
            </w:tcMar>
          </w:tcPr>
          <w:p w14:paraId="145B0784" w14:textId="77777777" w:rsidR="00736A71" w:rsidRDefault="00B77AB3">
            <w:pPr>
              <w:keepNext/>
              <w:keepLines/>
              <w:suppressAutoHyphens/>
              <w:spacing w:after="0" w:line="252" w:lineRule="auto"/>
              <w:jc w:val="left"/>
            </w:pPr>
            <w:r>
              <w:rPr>
                <w:rFonts w:ascii="Calibri" w:hAnsi="Calibri"/>
                <w:sz w:val="21"/>
              </w:rPr>
              <w:t xml:space="preserve">Ampicilina (SEN 2025); comprobar sensibilidad. </w:t>
            </w:r>
            <w:r>
              <w:rPr>
                <w:rFonts w:ascii="Calibri" w:hAnsi="Calibri"/>
                <w:b/>
                <w:sz w:val="21"/>
              </w:rPr>
              <w:t>C3G si produce betalactamasa</w:t>
            </w:r>
            <w:r>
              <w:rPr>
                <w:rFonts w:ascii="Calibri" w:hAnsi="Calibri"/>
                <w:sz w:val="21"/>
              </w:rPr>
              <w:t xml:space="preserve"> (ESCMID 2016, tabla 4.2)</w:t>
            </w:r>
          </w:p>
        </w:tc>
        <w:tc>
          <w:tcPr>
            <w:tcW w:w="2551" w:type="dxa"/>
            <w:shd w:val="clear" w:color="auto" w:fill="FFFFFF"/>
            <w:tcMar>
              <w:top w:w="95" w:type="dxa"/>
              <w:left w:w="115" w:type="dxa"/>
              <w:bottom w:w="95" w:type="dxa"/>
              <w:right w:w="115" w:type="dxa"/>
            </w:tcMar>
            <w:vAlign w:val="center"/>
          </w:tcPr>
          <w:p w14:paraId="033C005D" w14:textId="77777777" w:rsidR="00736A71" w:rsidRDefault="00B77AB3">
            <w:pPr>
              <w:keepNext/>
              <w:keepLines/>
              <w:suppressAutoHyphens/>
              <w:spacing w:after="0" w:line="252" w:lineRule="auto"/>
              <w:jc w:val="center"/>
            </w:pPr>
            <w:r>
              <w:rPr>
                <w:rFonts w:ascii="Calibri" w:hAnsi="Calibri"/>
                <w:b/>
                <w:sz w:val="21"/>
              </w:rPr>
              <w:t>7‑10 días</w:t>
            </w:r>
            <w:r>
              <w:rPr>
                <w:rFonts w:ascii="Calibri" w:hAnsi="Calibri"/>
                <w:sz w:val="21"/>
              </w:rPr>
              <w:t xml:space="preserve"> (ESCMID 2016, tabla 4.2)</w:t>
            </w:r>
          </w:p>
        </w:tc>
      </w:tr>
      <w:tr w:rsidR="00736A71" w14:paraId="138081DB" w14:textId="77777777">
        <w:trPr>
          <w:cantSplit/>
          <w:jc w:val="center"/>
        </w:trPr>
        <w:tc>
          <w:tcPr>
            <w:tcW w:w="1757" w:type="dxa"/>
            <w:shd w:val="clear" w:color="auto" w:fill="F2F6F8"/>
            <w:tcMar>
              <w:top w:w="95" w:type="dxa"/>
              <w:left w:w="115" w:type="dxa"/>
              <w:bottom w:w="95" w:type="dxa"/>
              <w:right w:w="115" w:type="dxa"/>
            </w:tcMar>
          </w:tcPr>
          <w:p w14:paraId="3E7F4E1A" w14:textId="77777777" w:rsidR="00736A71" w:rsidRDefault="00B77AB3">
            <w:pPr>
              <w:keepNext/>
              <w:keepLines/>
              <w:suppressAutoHyphens/>
              <w:spacing w:after="0" w:line="252" w:lineRule="auto"/>
              <w:jc w:val="left"/>
            </w:pPr>
            <w:r>
              <w:rPr>
                <w:rFonts w:ascii="Calibri" w:hAnsi="Calibri"/>
                <w:b/>
                <w:i/>
                <w:color w:val="17384D"/>
                <w:sz w:val="21"/>
              </w:rPr>
              <w:t>Listeria</w:t>
            </w:r>
          </w:p>
        </w:tc>
        <w:tc>
          <w:tcPr>
            <w:tcW w:w="5102" w:type="dxa"/>
            <w:shd w:val="clear" w:color="auto" w:fill="F2F6F8"/>
            <w:tcMar>
              <w:top w:w="95" w:type="dxa"/>
              <w:left w:w="115" w:type="dxa"/>
              <w:bottom w:w="95" w:type="dxa"/>
              <w:right w:w="115" w:type="dxa"/>
            </w:tcMar>
          </w:tcPr>
          <w:p w14:paraId="34E40254" w14:textId="77777777" w:rsidR="00736A71" w:rsidRDefault="00B77AB3">
            <w:pPr>
              <w:keepNext/>
              <w:keepLines/>
              <w:suppressAutoHyphens/>
              <w:spacing w:after="0" w:line="252" w:lineRule="auto"/>
              <w:jc w:val="left"/>
            </w:pPr>
            <w:r>
              <w:rPr>
                <w:rFonts w:ascii="Calibri" w:hAnsi="Calibri"/>
                <w:b/>
                <w:sz w:val="21"/>
              </w:rPr>
              <w:t>Ampicilina</w:t>
            </w:r>
            <w:r>
              <w:rPr>
                <w:rFonts w:ascii="Calibri" w:hAnsi="Calibri"/>
                <w:sz w:val="21"/>
              </w:rPr>
              <w:t xml:space="preserve"> (o penicilina G) </w:t>
            </w:r>
            <w:r>
              <w:rPr>
                <w:rFonts w:ascii="Calibri" w:hAnsi="Calibri"/>
                <w:b/>
                <w:sz w:val="21"/>
              </w:rPr>
              <w:t>+ gentamicina o cotrimoxazol</w:t>
            </w:r>
            <w:r>
              <w:rPr>
                <w:rFonts w:ascii="Calibri" w:hAnsi="Calibri"/>
                <w:sz w:val="21"/>
              </w:rPr>
              <w:t>; alternativa a la ampicilina: meropenem</w:t>
            </w:r>
          </w:p>
        </w:tc>
        <w:tc>
          <w:tcPr>
            <w:tcW w:w="2551" w:type="dxa"/>
            <w:shd w:val="clear" w:color="auto" w:fill="F2F6F8"/>
            <w:tcMar>
              <w:top w:w="95" w:type="dxa"/>
              <w:left w:w="115" w:type="dxa"/>
              <w:bottom w:w="95" w:type="dxa"/>
              <w:right w:w="115" w:type="dxa"/>
            </w:tcMar>
            <w:vAlign w:val="center"/>
          </w:tcPr>
          <w:p w14:paraId="2A3A23EA" w14:textId="77777777" w:rsidR="00736A71" w:rsidRDefault="00B77AB3">
            <w:pPr>
              <w:keepNext/>
              <w:keepLines/>
              <w:suppressAutoHyphens/>
              <w:spacing w:after="0" w:line="252" w:lineRule="auto"/>
              <w:jc w:val="center"/>
            </w:pPr>
            <w:r>
              <w:rPr>
                <w:rFonts w:ascii="Calibri" w:hAnsi="Calibri"/>
                <w:b/>
                <w:sz w:val="21"/>
              </w:rPr>
              <w:t>≥21 días</w:t>
            </w:r>
            <w:r>
              <w:rPr>
                <w:rFonts w:ascii="Calibri" w:hAnsi="Calibri"/>
                <w:sz w:val="21"/>
              </w:rPr>
              <w:t xml:space="preserve"> (SEN 2025; ESCMID)</w:t>
            </w:r>
          </w:p>
        </w:tc>
      </w:tr>
      <w:tr w:rsidR="00736A71" w14:paraId="3ECF854C" w14:textId="77777777">
        <w:trPr>
          <w:cantSplit/>
          <w:jc w:val="center"/>
        </w:trPr>
        <w:tc>
          <w:tcPr>
            <w:tcW w:w="1757" w:type="dxa"/>
            <w:shd w:val="clear" w:color="auto" w:fill="FFFFFF"/>
            <w:tcMar>
              <w:top w:w="95" w:type="dxa"/>
              <w:left w:w="115" w:type="dxa"/>
              <w:bottom w:w="95" w:type="dxa"/>
              <w:right w:w="115" w:type="dxa"/>
            </w:tcMar>
          </w:tcPr>
          <w:p w14:paraId="44026ABA" w14:textId="77777777" w:rsidR="00736A71" w:rsidRDefault="00B77AB3">
            <w:pPr>
              <w:keepNext/>
              <w:keepLines/>
              <w:suppressAutoHyphens/>
              <w:spacing w:after="0" w:line="252" w:lineRule="auto"/>
              <w:jc w:val="left"/>
            </w:pPr>
            <w:r>
              <w:rPr>
                <w:rFonts w:ascii="Calibri" w:hAnsi="Calibri"/>
                <w:b/>
                <w:i/>
                <w:color w:val="17384D"/>
                <w:sz w:val="21"/>
              </w:rPr>
              <w:t xml:space="preserve">S. </w:t>
            </w:r>
            <w:proofErr w:type="spellStart"/>
            <w:r>
              <w:rPr>
                <w:rFonts w:ascii="Calibri" w:hAnsi="Calibri"/>
                <w:b/>
                <w:i/>
                <w:color w:val="17384D"/>
                <w:sz w:val="21"/>
              </w:rPr>
              <w:t>aureus</w:t>
            </w:r>
            <w:proofErr w:type="spellEnd"/>
            <w:r>
              <w:rPr>
                <w:rFonts w:ascii="Calibri" w:hAnsi="Calibri"/>
                <w:color w:val="17384D"/>
                <w:sz w:val="21"/>
              </w:rPr>
              <w:t xml:space="preserve"> (y </w:t>
            </w:r>
            <w:r>
              <w:rPr>
                <w:rFonts w:ascii="Calibri" w:hAnsi="Calibri"/>
                <w:i/>
                <w:color w:val="17384D"/>
                <w:sz w:val="21"/>
              </w:rPr>
              <w:t xml:space="preserve">S. </w:t>
            </w:r>
            <w:proofErr w:type="spellStart"/>
            <w:r>
              <w:rPr>
                <w:rFonts w:ascii="Calibri" w:hAnsi="Calibri"/>
                <w:i/>
                <w:color w:val="17384D"/>
                <w:sz w:val="21"/>
              </w:rPr>
              <w:t>epidermidis</w:t>
            </w:r>
            <w:proofErr w:type="spellEnd"/>
            <w:r>
              <w:rPr>
                <w:rFonts w:ascii="Calibri" w:hAnsi="Calibri"/>
                <w:color w:val="17384D"/>
                <w:sz w:val="21"/>
              </w:rPr>
              <w:t>)</w:t>
            </w:r>
          </w:p>
        </w:tc>
        <w:tc>
          <w:tcPr>
            <w:tcW w:w="5102" w:type="dxa"/>
            <w:shd w:val="clear" w:color="auto" w:fill="FFFFFF"/>
            <w:tcMar>
              <w:top w:w="95" w:type="dxa"/>
              <w:left w:w="115" w:type="dxa"/>
              <w:bottom w:w="95" w:type="dxa"/>
              <w:right w:w="115" w:type="dxa"/>
            </w:tcMar>
          </w:tcPr>
          <w:p w14:paraId="2BC535F1" w14:textId="77777777" w:rsidR="00736A71" w:rsidRDefault="00B77AB3">
            <w:pPr>
              <w:keepNext/>
              <w:keepLines/>
              <w:suppressAutoHyphens/>
              <w:spacing w:after="0" w:line="252" w:lineRule="auto"/>
              <w:jc w:val="left"/>
            </w:pPr>
            <w:r>
              <w:rPr>
                <w:rFonts w:ascii="Calibri" w:hAnsi="Calibri"/>
                <w:b/>
                <w:sz w:val="21"/>
              </w:rPr>
              <w:t>Vancomicina ± rifampicina</w:t>
            </w:r>
            <w:r>
              <w:rPr>
                <w:rFonts w:ascii="Calibri" w:hAnsi="Calibri"/>
                <w:sz w:val="21"/>
              </w:rPr>
              <w:t xml:space="preserve">; alternativas según sensibilidad: cloxacilina, </w:t>
            </w:r>
            <w:proofErr w:type="spellStart"/>
            <w:r>
              <w:rPr>
                <w:rFonts w:ascii="Calibri" w:hAnsi="Calibri"/>
                <w:sz w:val="21"/>
              </w:rPr>
              <w:t>linezolid</w:t>
            </w:r>
            <w:proofErr w:type="spellEnd"/>
            <w:r>
              <w:rPr>
                <w:rFonts w:ascii="Calibri" w:hAnsi="Calibri"/>
                <w:sz w:val="21"/>
              </w:rPr>
              <w:t>, meropenem, cotrimoxazol, clindamicina o daptomicina (SEN 2025). Retirar el dispositivo si lo hay (capítulo 6)</w:t>
            </w:r>
          </w:p>
        </w:tc>
        <w:tc>
          <w:tcPr>
            <w:tcW w:w="2551" w:type="dxa"/>
            <w:shd w:val="clear" w:color="auto" w:fill="FFFFFF"/>
            <w:tcMar>
              <w:top w:w="95" w:type="dxa"/>
              <w:left w:w="115" w:type="dxa"/>
              <w:bottom w:w="95" w:type="dxa"/>
              <w:right w:w="115" w:type="dxa"/>
            </w:tcMar>
            <w:vAlign w:val="center"/>
          </w:tcPr>
          <w:p w14:paraId="47B32642" w14:textId="77777777" w:rsidR="00736A71" w:rsidRDefault="00B77AB3">
            <w:pPr>
              <w:keepNext/>
              <w:keepLines/>
              <w:suppressAutoHyphens/>
              <w:spacing w:after="0" w:line="252" w:lineRule="auto"/>
              <w:jc w:val="center"/>
            </w:pPr>
            <w:r>
              <w:rPr>
                <w:rFonts w:ascii="Calibri" w:hAnsi="Calibri"/>
                <w:b/>
                <w:i/>
                <w:sz w:val="21"/>
              </w:rPr>
              <w:t xml:space="preserve">S. </w:t>
            </w:r>
            <w:proofErr w:type="spellStart"/>
            <w:r>
              <w:rPr>
                <w:rFonts w:ascii="Calibri" w:hAnsi="Calibri"/>
                <w:b/>
                <w:i/>
                <w:sz w:val="21"/>
              </w:rPr>
              <w:t>aureus</w:t>
            </w:r>
            <w:proofErr w:type="spellEnd"/>
            <w:r>
              <w:rPr>
                <w:rFonts w:ascii="Calibri" w:hAnsi="Calibri"/>
                <w:b/>
                <w:sz w:val="21"/>
              </w:rPr>
              <w:t>: ≥14 días</w:t>
            </w:r>
            <w:r>
              <w:rPr>
                <w:rFonts w:ascii="Calibri" w:hAnsi="Calibri"/>
                <w:sz w:val="21"/>
              </w:rPr>
              <w:t xml:space="preserve"> (ESCMID); para infección nosocomial o dispositivos, ver capítulo 6</w:t>
            </w:r>
          </w:p>
        </w:tc>
      </w:tr>
      <w:tr w:rsidR="00736A71" w14:paraId="22FD5A3A" w14:textId="77777777">
        <w:trPr>
          <w:cantSplit/>
          <w:jc w:val="center"/>
        </w:trPr>
        <w:tc>
          <w:tcPr>
            <w:tcW w:w="1757" w:type="dxa"/>
            <w:shd w:val="clear" w:color="auto" w:fill="F2F6F8"/>
            <w:tcMar>
              <w:top w:w="95" w:type="dxa"/>
              <w:left w:w="115" w:type="dxa"/>
              <w:bottom w:w="95" w:type="dxa"/>
              <w:right w:w="115" w:type="dxa"/>
            </w:tcMar>
          </w:tcPr>
          <w:p w14:paraId="3A398DDA" w14:textId="77777777" w:rsidR="00736A71" w:rsidRDefault="00B77AB3">
            <w:pPr>
              <w:keepNext/>
              <w:keepLines/>
              <w:suppressAutoHyphens/>
              <w:spacing w:after="0" w:line="252" w:lineRule="auto"/>
              <w:jc w:val="left"/>
            </w:pPr>
            <w:r>
              <w:rPr>
                <w:rFonts w:ascii="Calibri" w:hAnsi="Calibri"/>
                <w:color w:val="17384D"/>
                <w:sz w:val="21"/>
              </w:rPr>
              <w:t>Enterobacterias y otros bacilos gramnegativos</w:t>
            </w:r>
          </w:p>
        </w:tc>
        <w:tc>
          <w:tcPr>
            <w:tcW w:w="5102" w:type="dxa"/>
            <w:shd w:val="clear" w:color="auto" w:fill="F2F6F8"/>
            <w:tcMar>
              <w:top w:w="95" w:type="dxa"/>
              <w:left w:w="115" w:type="dxa"/>
              <w:bottom w:w="95" w:type="dxa"/>
              <w:right w:w="115" w:type="dxa"/>
            </w:tcMar>
          </w:tcPr>
          <w:p w14:paraId="4D03A47C" w14:textId="77777777" w:rsidR="00736A71" w:rsidRDefault="00B77AB3">
            <w:pPr>
              <w:keepNext/>
              <w:keepLines/>
              <w:suppressAutoHyphens/>
              <w:spacing w:after="0" w:line="252" w:lineRule="auto"/>
              <w:jc w:val="left"/>
            </w:pPr>
            <w:r>
              <w:rPr>
                <w:rFonts w:ascii="Calibri" w:hAnsi="Calibri"/>
                <w:sz w:val="21"/>
              </w:rPr>
              <w:t>C3G; valorar meropenem con Infecciosas mientras llega el antibiograma (NICE). Alergia: aztreonam 2 g cada 6‑8 h o ciprofloxacino 400 mg cada 8‑12 h</w:t>
            </w:r>
          </w:p>
        </w:tc>
        <w:tc>
          <w:tcPr>
            <w:tcW w:w="2551" w:type="dxa"/>
            <w:shd w:val="clear" w:color="auto" w:fill="F2F6F8"/>
            <w:tcMar>
              <w:top w:w="95" w:type="dxa"/>
              <w:left w:w="115" w:type="dxa"/>
              <w:bottom w:w="95" w:type="dxa"/>
              <w:right w:w="115" w:type="dxa"/>
            </w:tcMar>
            <w:vAlign w:val="center"/>
          </w:tcPr>
          <w:p w14:paraId="1FC9FD0B" w14:textId="77777777" w:rsidR="00736A71" w:rsidRDefault="00B77AB3">
            <w:pPr>
              <w:keepNext/>
              <w:keepLines/>
              <w:suppressAutoHyphens/>
              <w:spacing w:after="0" w:line="252" w:lineRule="auto"/>
              <w:jc w:val="center"/>
            </w:pPr>
            <w:r>
              <w:rPr>
                <w:rFonts w:ascii="Calibri" w:hAnsi="Calibri"/>
                <w:b/>
                <w:sz w:val="21"/>
              </w:rPr>
              <w:t>≥21 días</w:t>
            </w:r>
            <w:r>
              <w:rPr>
                <w:rFonts w:ascii="Calibri" w:hAnsi="Calibri"/>
                <w:sz w:val="21"/>
              </w:rPr>
              <w:t xml:space="preserve"> (SEN 2025; NICE)</w:t>
            </w:r>
          </w:p>
        </w:tc>
      </w:tr>
      <w:tr w:rsidR="00736A71" w14:paraId="2FA6B233" w14:textId="77777777">
        <w:trPr>
          <w:cantSplit/>
          <w:jc w:val="center"/>
        </w:trPr>
        <w:tc>
          <w:tcPr>
            <w:tcW w:w="1757" w:type="dxa"/>
            <w:shd w:val="clear" w:color="auto" w:fill="FFFFFF"/>
            <w:tcMar>
              <w:top w:w="95" w:type="dxa"/>
              <w:left w:w="115" w:type="dxa"/>
              <w:bottom w:w="95" w:type="dxa"/>
              <w:right w:w="115" w:type="dxa"/>
            </w:tcMar>
          </w:tcPr>
          <w:p w14:paraId="6C7B24A1" w14:textId="77777777" w:rsidR="00736A71" w:rsidRDefault="00B77AB3">
            <w:pPr>
              <w:keepNext/>
              <w:keepLines/>
              <w:suppressAutoHyphens/>
              <w:spacing w:after="0" w:line="252" w:lineRule="auto"/>
              <w:jc w:val="left"/>
            </w:pPr>
            <w:r>
              <w:rPr>
                <w:rFonts w:ascii="Calibri" w:hAnsi="Calibri"/>
                <w:color w:val="17384D"/>
                <w:sz w:val="21"/>
              </w:rPr>
              <w:t>Estreptococo del grupo B (</w:t>
            </w:r>
            <w:r>
              <w:rPr>
                <w:rFonts w:ascii="Calibri" w:hAnsi="Calibri"/>
                <w:i/>
                <w:color w:val="17384D"/>
                <w:sz w:val="21"/>
              </w:rPr>
              <w:t xml:space="preserve">S. </w:t>
            </w:r>
            <w:proofErr w:type="spellStart"/>
            <w:r>
              <w:rPr>
                <w:rFonts w:ascii="Calibri" w:hAnsi="Calibri"/>
                <w:i/>
                <w:color w:val="17384D"/>
                <w:sz w:val="21"/>
              </w:rPr>
              <w:t>agalactiae</w:t>
            </w:r>
            <w:proofErr w:type="spellEnd"/>
            <w:r>
              <w:rPr>
                <w:rFonts w:ascii="Calibri" w:hAnsi="Calibri"/>
                <w:color w:val="17384D"/>
                <w:sz w:val="21"/>
              </w:rPr>
              <w:t>)</w:t>
            </w:r>
          </w:p>
        </w:tc>
        <w:tc>
          <w:tcPr>
            <w:tcW w:w="5102" w:type="dxa"/>
            <w:shd w:val="clear" w:color="auto" w:fill="FFFFFF"/>
            <w:tcMar>
              <w:top w:w="95" w:type="dxa"/>
              <w:left w:w="115" w:type="dxa"/>
              <w:bottom w:w="95" w:type="dxa"/>
              <w:right w:w="115" w:type="dxa"/>
            </w:tcMar>
          </w:tcPr>
          <w:p w14:paraId="4B393238" w14:textId="77777777" w:rsidR="00736A71" w:rsidRDefault="00B77AB3">
            <w:pPr>
              <w:keepNext/>
              <w:keepLines/>
              <w:suppressAutoHyphens/>
              <w:spacing w:after="0" w:line="252" w:lineRule="auto"/>
              <w:jc w:val="left"/>
            </w:pPr>
            <w:r>
              <w:rPr>
                <w:rFonts w:ascii="Calibri" w:hAnsi="Calibri"/>
                <w:b/>
                <w:sz w:val="21"/>
              </w:rPr>
              <w:t>Ampicilina</w:t>
            </w:r>
            <w:r>
              <w:rPr>
                <w:rFonts w:ascii="Calibri" w:hAnsi="Calibri"/>
                <w:sz w:val="21"/>
              </w:rPr>
              <w:t xml:space="preserve"> (o penicilina G) </w:t>
            </w:r>
            <w:r>
              <w:rPr>
                <w:rFonts w:ascii="Calibri" w:hAnsi="Calibri"/>
                <w:b/>
                <w:sz w:val="21"/>
              </w:rPr>
              <w:t>+ gentamicina</w:t>
            </w:r>
            <w:r>
              <w:rPr>
                <w:rFonts w:ascii="Calibri" w:hAnsi="Calibri"/>
                <w:sz w:val="21"/>
              </w:rPr>
              <w:t xml:space="preserve"> (SEN 2025)</w:t>
            </w:r>
          </w:p>
        </w:tc>
        <w:tc>
          <w:tcPr>
            <w:tcW w:w="2551" w:type="dxa"/>
            <w:shd w:val="clear" w:color="auto" w:fill="FFFFFF"/>
            <w:tcMar>
              <w:top w:w="95" w:type="dxa"/>
              <w:left w:w="115" w:type="dxa"/>
              <w:bottom w:w="95" w:type="dxa"/>
              <w:right w:w="115" w:type="dxa"/>
            </w:tcMar>
            <w:vAlign w:val="center"/>
          </w:tcPr>
          <w:p w14:paraId="6C486063" w14:textId="77777777" w:rsidR="00736A71" w:rsidRDefault="00B77AB3">
            <w:pPr>
              <w:keepNext/>
              <w:keepLines/>
              <w:suppressAutoHyphens/>
              <w:spacing w:after="0" w:line="252" w:lineRule="auto"/>
              <w:jc w:val="center"/>
            </w:pPr>
            <w:r>
              <w:rPr>
                <w:rFonts w:ascii="Calibri" w:hAnsi="Calibri"/>
                <w:b/>
                <w:sz w:val="21"/>
              </w:rPr>
              <w:t>14 días</w:t>
            </w:r>
            <w:r>
              <w:rPr>
                <w:rFonts w:ascii="Calibri" w:hAnsi="Calibri"/>
                <w:sz w:val="21"/>
              </w:rPr>
              <w:t xml:space="preserve"> (NICE)</w:t>
            </w:r>
          </w:p>
        </w:tc>
      </w:tr>
      <w:tr w:rsidR="00736A71" w14:paraId="24E65EA7" w14:textId="77777777">
        <w:trPr>
          <w:cantSplit/>
          <w:jc w:val="center"/>
        </w:trPr>
        <w:tc>
          <w:tcPr>
            <w:tcW w:w="1757" w:type="dxa"/>
            <w:shd w:val="clear" w:color="auto" w:fill="F2F6F8"/>
            <w:tcMar>
              <w:top w:w="95" w:type="dxa"/>
              <w:left w:w="115" w:type="dxa"/>
              <w:bottom w:w="95" w:type="dxa"/>
              <w:right w:w="115" w:type="dxa"/>
            </w:tcMar>
          </w:tcPr>
          <w:p w14:paraId="290F084C" w14:textId="77777777" w:rsidR="00736A71" w:rsidRDefault="00B77AB3">
            <w:pPr>
              <w:keepLines/>
              <w:suppressAutoHyphens/>
              <w:spacing w:after="0" w:line="252" w:lineRule="auto"/>
              <w:jc w:val="left"/>
            </w:pPr>
            <w:r>
              <w:rPr>
                <w:rFonts w:ascii="Calibri" w:hAnsi="Calibri"/>
                <w:b/>
                <w:color w:val="17384D"/>
                <w:sz w:val="21"/>
              </w:rPr>
              <w:t>Sin germen identificado</w:t>
            </w:r>
            <w:r>
              <w:rPr>
                <w:rFonts w:ascii="Calibri" w:hAnsi="Calibri"/>
                <w:color w:val="17384D"/>
                <w:sz w:val="21"/>
              </w:rPr>
              <w:t xml:space="preserve"> (LCR de MBA, cultivos y PCR negativos)</w:t>
            </w:r>
          </w:p>
        </w:tc>
        <w:tc>
          <w:tcPr>
            <w:tcW w:w="5102" w:type="dxa"/>
            <w:shd w:val="clear" w:color="auto" w:fill="F2F6F8"/>
            <w:tcMar>
              <w:top w:w="95" w:type="dxa"/>
              <w:left w:w="115" w:type="dxa"/>
              <w:bottom w:w="95" w:type="dxa"/>
              <w:right w:w="115" w:type="dxa"/>
            </w:tcMar>
          </w:tcPr>
          <w:p w14:paraId="40BE272C" w14:textId="77777777" w:rsidR="00736A71" w:rsidRDefault="00B77AB3">
            <w:pPr>
              <w:keepLines/>
              <w:suppressAutoHyphens/>
              <w:spacing w:after="0" w:line="252" w:lineRule="auto"/>
              <w:jc w:val="left"/>
            </w:pPr>
            <w:r>
              <w:rPr>
                <w:rFonts w:ascii="Calibri" w:hAnsi="Calibri"/>
                <w:sz w:val="21"/>
              </w:rPr>
              <w:t>Mantener la pauta empírica (ESCMID)</w:t>
            </w:r>
          </w:p>
        </w:tc>
        <w:tc>
          <w:tcPr>
            <w:tcW w:w="2551" w:type="dxa"/>
            <w:shd w:val="clear" w:color="auto" w:fill="F2F6F8"/>
            <w:tcMar>
              <w:top w:w="95" w:type="dxa"/>
              <w:left w:w="115" w:type="dxa"/>
              <w:bottom w:w="95" w:type="dxa"/>
              <w:right w:w="115" w:type="dxa"/>
            </w:tcMar>
            <w:vAlign w:val="center"/>
          </w:tcPr>
          <w:p w14:paraId="59F19B79" w14:textId="77777777" w:rsidR="00736A71" w:rsidRDefault="00B77AB3">
            <w:pPr>
              <w:keepLines/>
              <w:suppressAutoHyphens/>
              <w:spacing w:after="0" w:line="252" w:lineRule="auto"/>
              <w:jc w:val="center"/>
            </w:pPr>
            <w:r>
              <w:rPr>
                <w:rFonts w:ascii="Calibri" w:hAnsi="Calibri"/>
                <w:b/>
                <w:sz w:val="21"/>
              </w:rPr>
              <w:t>≥14 días</w:t>
            </w:r>
            <w:r>
              <w:rPr>
                <w:rFonts w:ascii="Calibri" w:hAnsi="Calibri"/>
                <w:sz w:val="21"/>
              </w:rPr>
              <w:t xml:space="preserve"> (ESCMID, grado A)</w:t>
            </w:r>
          </w:p>
        </w:tc>
      </w:tr>
    </w:tbl>
    <w:p w14:paraId="34CA0383" w14:textId="77777777" w:rsidR="00736A71" w:rsidRDefault="00736A71">
      <w:pPr>
        <w:widowControl w:val="0"/>
        <w:spacing w:after="0" w:line="140" w:lineRule="exact"/>
      </w:pPr>
    </w:p>
    <w:p w14:paraId="44F58012" w14:textId="77777777" w:rsidR="00736A71" w:rsidRDefault="00B77AB3">
      <w:pPr>
        <w:keepNext/>
        <w:keepLines/>
        <w:pageBreakBefore/>
        <w:spacing w:before="200" w:after="100"/>
        <w:jc w:val="left"/>
      </w:pPr>
      <w:r>
        <w:rPr>
          <w:rFonts w:ascii="Calibri" w:hAnsi="Calibri" w:cs="Calibri"/>
          <w:b/>
          <w:color w:val="17384D"/>
        </w:rPr>
        <w:lastRenderedPageBreak/>
        <w:t>Comparación de duraciones entre guías</w:t>
      </w:r>
    </w:p>
    <w:tbl>
      <w:tblPr>
        <w:tblW w:w="0" w:type="auto"/>
        <w:jc w:val="center"/>
        <w:tblBorders>
          <w:top w:val="single" w:sz="8" w:space="0" w:color="17384D"/>
          <w:left w:val="nil"/>
          <w:bottom w:val="single" w:sz="12" w:space="0" w:color="17384D"/>
          <w:right w:val="nil"/>
          <w:insideH w:val="single" w:sz="4" w:space="0" w:color="D3DEE3"/>
          <w:insideV w:val="single" w:sz="6" w:space="0" w:color="FFFFFF"/>
        </w:tblBorders>
        <w:tblLayout w:type="fixed"/>
        <w:tblLook w:val="04A0" w:firstRow="1" w:lastRow="0" w:firstColumn="1" w:lastColumn="0" w:noHBand="0" w:noVBand="1"/>
      </w:tblPr>
      <w:tblGrid>
        <w:gridCol w:w="2608"/>
        <w:gridCol w:w="3402"/>
        <w:gridCol w:w="3402"/>
      </w:tblGrid>
      <w:tr w:rsidR="00736A71" w14:paraId="378CFF19" w14:textId="77777777">
        <w:trPr>
          <w:cantSplit/>
          <w:tblHeader/>
          <w:jc w:val="center"/>
        </w:trPr>
        <w:tc>
          <w:tcPr>
            <w:tcW w:w="2608" w:type="dxa"/>
            <w:shd w:val="clear" w:color="auto" w:fill="17384D"/>
            <w:tcMar>
              <w:top w:w="95" w:type="dxa"/>
              <w:left w:w="115" w:type="dxa"/>
              <w:bottom w:w="95" w:type="dxa"/>
              <w:right w:w="115" w:type="dxa"/>
            </w:tcMar>
            <w:vAlign w:val="center"/>
          </w:tcPr>
          <w:p w14:paraId="193F1752" w14:textId="77777777" w:rsidR="00736A71" w:rsidRDefault="00B77AB3">
            <w:pPr>
              <w:keepNext/>
              <w:keepLines/>
              <w:suppressAutoHyphens/>
              <w:spacing w:after="0" w:line="252" w:lineRule="auto"/>
              <w:jc w:val="left"/>
            </w:pPr>
            <w:r>
              <w:rPr>
                <w:rFonts w:ascii="Calibri" w:hAnsi="Calibri"/>
                <w:b/>
                <w:color w:val="FFFFFF"/>
                <w:spacing w:val="4"/>
                <w:sz w:val="20"/>
                <w:szCs w:val="20"/>
              </w:rPr>
              <w:t>Germen</w:t>
            </w:r>
          </w:p>
        </w:tc>
        <w:tc>
          <w:tcPr>
            <w:tcW w:w="3402" w:type="dxa"/>
            <w:shd w:val="clear" w:color="auto" w:fill="17384D"/>
            <w:tcMar>
              <w:top w:w="95" w:type="dxa"/>
              <w:left w:w="115" w:type="dxa"/>
              <w:bottom w:w="95" w:type="dxa"/>
              <w:right w:w="115" w:type="dxa"/>
            </w:tcMar>
            <w:vAlign w:val="center"/>
          </w:tcPr>
          <w:p w14:paraId="246E6408" w14:textId="77777777" w:rsidR="00736A71" w:rsidRDefault="00B77AB3">
            <w:pPr>
              <w:keepNext/>
              <w:keepLines/>
              <w:suppressAutoHyphens/>
              <w:spacing w:after="0" w:line="252" w:lineRule="auto"/>
              <w:jc w:val="center"/>
            </w:pPr>
            <w:r>
              <w:rPr>
                <w:rFonts w:ascii="Calibri" w:hAnsi="Calibri"/>
                <w:b/>
                <w:color w:val="FFFFFF"/>
                <w:spacing w:val="4"/>
                <w:sz w:val="20"/>
                <w:szCs w:val="20"/>
              </w:rPr>
              <w:t>ESCMID 2016</w:t>
            </w:r>
          </w:p>
        </w:tc>
        <w:tc>
          <w:tcPr>
            <w:tcW w:w="3402" w:type="dxa"/>
            <w:shd w:val="clear" w:color="auto" w:fill="17384D"/>
            <w:tcMar>
              <w:top w:w="95" w:type="dxa"/>
              <w:left w:w="115" w:type="dxa"/>
              <w:bottom w:w="95" w:type="dxa"/>
              <w:right w:w="115" w:type="dxa"/>
            </w:tcMar>
            <w:vAlign w:val="center"/>
          </w:tcPr>
          <w:p w14:paraId="3A004612" w14:textId="77777777" w:rsidR="00736A71" w:rsidRDefault="00B77AB3">
            <w:pPr>
              <w:keepNext/>
              <w:keepLines/>
              <w:suppressAutoHyphens/>
              <w:spacing w:after="0" w:line="252" w:lineRule="auto"/>
              <w:jc w:val="center"/>
            </w:pPr>
            <w:r>
              <w:rPr>
                <w:rFonts w:ascii="Calibri" w:hAnsi="Calibri"/>
                <w:b/>
                <w:color w:val="FFFFFF"/>
                <w:spacing w:val="4"/>
                <w:sz w:val="20"/>
                <w:szCs w:val="20"/>
              </w:rPr>
              <w:t>NICE 2024 (si hay recuperación)</w:t>
            </w:r>
          </w:p>
        </w:tc>
      </w:tr>
      <w:tr w:rsidR="00736A71" w14:paraId="695EBF22" w14:textId="77777777">
        <w:trPr>
          <w:cantSplit/>
          <w:jc w:val="center"/>
        </w:trPr>
        <w:tc>
          <w:tcPr>
            <w:tcW w:w="2608" w:type="dxa"/>
            <w:shd w:val="clear" w:color="auto" w:fill="FFFFFF"/>
            <w:tcMar>
              <w:top w:w="95" w:type="dxa"/>
              <w:left w:w="115" w:type="dxa"/>
              <w:bottom w:w="95" w:type="dxa"/>
              <w:right w:w="115" w:type="dxa"/>
            </w:tcMar>
          </w:tcPr>
          <w:p w14:paraId="372344C3" w14:textId="77777777" w:rsidR="00736A71" w:rsidRDefault="00B77AB3">
            <w:pPr>
              <w:keepNext/>
              <w:keepLines/>
              <w:suppressAutoHyphens/>
              <w:spacing w:after="0" w:line="252" w:lineRule="auto"/>
              <w:jc w:val="left"/>
            </w:pPr>
            <w:r>
              <w:rPr>
                <w:rFonts w:ascii="Calibri" w:hAnsi="Calibri"/>
                <w:b/>
                <w:color w:val="17384D"/>
                <w:sz w:val="21"/>
              </w:rPr>
              <w:t>Neumococo</w:t>
            </w:r>
          </w:p>
        </w:tc>
        <w:tc>
          <w:tcPr>
            <w:tcW w:w="3402" w:type="dxa"/>
            <w:shd w:val="clear" w:color="auto" w:fill="FFFFFF"/>
            <w:tcMar>
              <w:top w:w="95" w:type="dxa"/>
              <w:left w:w="115" w:type="dxa"/>
              <w:bottom w:w="95" w:type="dxa"/>
              <w:right w:w="115" w:type="dxa"/>
            </w:tcMar>
            <w:vAlign w:val="center"/>
          </w:tcPr>
          <w:p w14:paraId="5F11CF25" w14:textId="77777777" w:rsidR="00736A71" w:rsidRDefault="00B77AB3">
            <w:pPr>
              <w:keepNext/>
              <w:keepLines/>
              <w:suppressAutoHyphens/>
              <w:spacing w:after="0" w:line="252" w:lineRule="auto"/>
              <w:jc w:val="center"/>
            </w:pPr>
            <w:r>
              <w:rPr>
                <w:rFonts w:ascii="Calibri" w:hAnsi="Calibri"/>
                <w:sz w:val="21"/>
              </w:rPr>
              <w:t>10‑14 días</w:t>
            </w:r>
          </w:p>
        </w:tc>
        <w:tc>
          <w:tcPr>
            <w:tcW w:w="3402" w:type="dxa"/>
            <w:shd w:val="clear" w:color="auto" w:fill="FFFFFF"/>
            <w:tcMar>
              <w:top w:w="95" w:type="dxa"/>
              <w:left w:w="115" w:type="dxa"/>
              <w:bottom w:w="95" w:type="dxa"/>
              <w:right w:w="115" w:type="dxa"/>
            </w:tcMar>
            <w:vAlign w:val="center"/>
          </w:tcPr>
          <w:p w14:paraId="4944A445" w14:textId="77777777" w:rsidR="00736A71" w:rsidRDefault="00B77AB3">
            <w:pPr>
              <w:keepNext/>
              <w:keepLines/>
              <w:suppressAutoHyphens/>
              <w:spacing w:after="0" w:line="252" w:lineRule="auto"/>
              <w:jc w:val="center"/>
            </w:pPr>
            <w:r>
              <w:rPr>
                <w:rFonts w:ascii="Calibri" w:hAnsi="Calibri"/>
                <w:sz w:val="21"/>
              </w:rPr>
              <w:t>10 días</w:t>
            </w:r>
          </w:p>
        </w:tc>
      </w:tr>
      <w:tr w:rsidR="00736A71" w14:paraId="1A8BA0B2" w14:textId="77777777">
        <w:trPr>
          <w:cantSplit/>
          <w:jc w:val="center"/>
        </w:trPr>
        <w:tc>
          <w:tcPr>
            <w:tcW w:w="2608" w:type="dxa"/>
            <w:shd w:val="clear" w:color="auto" w:fill="F2F6F8"/>
            <w:tcMar>
              <w:top w:w="95" w:type="dxa"/>
              <w:left w:w="115" w:type="dxa"/>
              <w:bottom w:w="95" w:type="dxa"/>
              <w:right w:w="115" w:type="dxa"/>
            </w:tcMar>
          </w:tcPr>
          <w:p w14:paraId="72D773E9" w14:textId="77777777" w:rsidR="00736A71" w:rsidRDefault="00B77AB3">
            <w:pPr>
              <w:keepNext/>
              <w:keepLines/>
              <w:suppressAutoHyphens/>
              <w:spacing w:after="0" w:line="252" w:lineRule="auto"/>
              <w:jc w:val="left"/>
            </w:pPr>
            <w:r>
              <w:rPr>
                <w:rFonts w:ascii="Calibri" w:hAnsi="Calibri"/>
                <w:b/>
                <w:color w:val="17384D"/>
                <w:sz w:val="21"/>
              </w:rPr>
              <w:t>Meningococo</w:t>
            </w:r>
          </w:p>
        </w:tc>
        <w:tc>
          <w:tcPr>
            <w:tcW w:w="3402" w:type="dxa"/>
            <w:shd w:val="clear" w:color="auto" w:fill="F2F6F8"/>
            <w:tcMar>
              <w:top w:w="95" w:type="dxa"/>
              <w:left w:w="115" w:type="dxa"/>
              <w:bottom w:w="95" w:type="dxa"/>
              <w:right w:w="115" w:type="dxa"/>
            </w:tcMar>
            <w:vAlign w:val="center"/>
          </w:tcPr>
          <w:p w14:paraId="4E869573" w14:textId="77777777" w:rsidR="00736A71" w:rsidRDefault="00B77AB3">
            <w:pPr>
              <w:keepNext/>
              <w:keepLines/>
              <w:suppressAutoHyphens/>
              <w:spacing w:after="0" w:line="252" w:lineRule="auto"/>
              <w:jc w:val="center"/>
            </w:pPr>
            <w:r>
              <w:rPr>
                <w:rFonts w:ascii="Calibri" w:hAnsi="Calibri"/>
                <w:sz w:val="21"/>
              </w:rPr>
              <w:t>7 días</w:t>
            </w:r>
          </w:p>
        </w:tc>
        <w:tc>
          <w:tcPr>
            <w:tcW w:w="3402" w:type="dxa"/>
            <w:shd w:val="clear" w:color="auto" w:fill="F2F6F8"/>
            <w:tcMar>
              <w:top w:w="95" w:type="dxa"/>
              <w:left w:w="115" w:type="dxa"/>
              <w:bottom w:w="95" w:type="dxa"/>
              <w:right w:w="115" w:type="dxa"/>
            </w:tcMar>
            <w:vAlign w:val="center"/>
          </w:tcPr>
          <w:p w14:paraId="1C203485" w14:textId="77777777" w:rsidR="00736A71" w:rsidRDefault="00B77AB3">
            <w:pPr>
              <w:keepNext/>
              <w:keepLines/>
              <w:suppressAutoHyphens/>
              <w:spacing w:after="0" w:line="252" w:lineRule="auto"/>
              <w:jc w:val="center"/>
            </w:pPr>
            <w:r>
              <w:rPr>
                <w:rFonts w:ascii="Calibri" w:hAnsi="Calibri"/>
                <w:sz w:val="21"/>
              </w:rPr>
              <w:t>5 días</w:t>
            </w:r>
          </w:p>
        </w:tc>
      </w:tr>
      <w:tr w:rsidR="00736A71" w14:paraId="617F3BE5" w14:textId="77777777">
        <w:trPr>
          <w:cantSplit/>
          <w:jc w:val="center"/>
        </w:trPr>
        <w:tc>
          <w:tcPr>
            <w:tcW w:w="2608" w:type="dxa"/>
            <w:shd w:val="clear" w:color="auto" w:fill="FFFFFF"/>
            <w:tcMar>
              <w:top w:w="95" w:type="dxa"/>
              <w:left w:w="115" w:type="dxa"/>
              <w:bottom w:w="95" w:type="dxa"/>
              <w:right w:w="115" w:type="dxa"/>
            </w:tcMar>
          </w:tcPr>
          <w:p w14:paraId="79A07FFD" w14:textId="77777777" w:rsidR="00736A71" w:rsidRDefault="00B77AB3">
            <w:pPr>
              <w:keepNext/>
              <w:keepLines/>
              <w:suppressAutoHyphens/>
              <w:spacing w:after="0" w:line="252" w:lineRule="auto"/>
              <w:jc w:val="left"/>
            </w:pPr>
            <w:r>
              <w:rPr>
                <w:rFonts w:ascii="Calibri" w:hAnsi="Calibri"/>
                <w:b/>
                <w:i/>
                <w:color w:val="17384D"/>
                <w:sz w:val="21"/>
              </w:rPr>
              <w:t xml:space="preserve">H. </w:t>
            </w:r>
            <w:proofErr w:type="spellStart"/>
            <w:r>
              <w:rPr>
                <w:rFonts w:ascii="Calibri" w:hAnsi="Calibri"/>
                <w:b/>
                <w:i/>
                <w:color w:val="17384D"/>
                <w:sz w:val="21"/>
              </w:rPr>
              <w:t>influenzae</w:t>
            </w:r>
            <w:proofErr w:type="spellEnd"/>
          </w:p>
        </w:tc>
        <w:tc>
          <w:tcPr>
            <w:tcW w:w="3402" w:type="dxa"/>
            <w:shd w:val="clear" w:color="auto" w:fill="FFFFFF"/>
            <w:tcMar>
              <w:top w:w="95" w:type="dxa"/>
              <w:left w:w="115" w:type="dxa"/>
              <w:bottom w:w="95" w:type="dxa"/>
              <w:right w:w="115" w:type="dxa"/>
            </w:tcMar>
            <w:vAlign w:val="center"/>
          </w:tcPr>
          <w:p w14:paraId="1D5AF703" w14:textId="77777777" w:rsidR="00736A71" w:rsidRDefault="00B77AB3">
            <w:pPr>
              <w:keepNext/>
              <w:keepLines/>
              <w:suppressAutoHyphens/>
              <w:spacing w:after="0" w:line="252" w:lineRule="auto"/>
              <w:jc w:val="center"/>
            </w:pPr>
            <w:r>
              <w:rPr>
                <w:rFonts w:ascii="Calibri" w:hAnsi="Calibri"/>
                <w:sz w:val="21"/>
              </w:rPr>
              <w:t>7‑10 días</w:t>
            </w:r>
          </w:p>
        </w:tc>
        <w:tc>
          <w:tcPr>
            <w:tcW w:w="3402" w:type="dxa"/>
            <w:shd w:val="clear" w:color="auto" w:fill="FFFFFF"/>
            <w:tcMar>
              <w:top w:w="95" w:type="dxa"/>
              <w:left w:w="115" w:type="dxa"/>
              <w:bottom w:w="95" w:type="dxa"/>
              <w:right w:w="115" w:type="dxa"/>
            </w:tcMar>
            <w:vAlign w:val="center"/>
          </w:tcPr>
          <w:p w14:paraId="45C2E95C" w14:textId="77777777" w:rsidR="00736A71" w:rsidRDefault="00B77AB3">
            <w:pPr>
              <w:keepNext/>
              <w:keepLines/>
              <w:suppressAutoHyphens/>
              <w:spacing w:after="0" w:line="252" w:lineRule="auto"/>
              <w:jc w:val="center"/>
            </w:pPr>
            <w:r>
              <w:rPr>
                <w:rFonts w:ascii="Calibri" w:hAnsi="Calibri"/>
                <w:sz w:val="21"/>
              </w:rPr>
              <w:t>7 días (hasta 10)</w:t>
            </w:r>
          </w:p>
        </w:tc>
      </w:tr>
      <w:tr w:rsidR="00736A71" w14:paraId="1B867284" w14:textId="77777777">
        <w:trPr>
          <w:cantSplit/>
          <w:jc w:val="center"/>
        </w:trPr>
        <w:tc>
          <w:tcPr>
            <w:tcW w:w="2608" w:type="dxa"/>
            <w:shd w:val="clear" w:color="auto" w:fill="F2F6F8"/>
            <w:tcMar>
              <w:top w:w="95" w:type="dxa"/>
              <w:left w:w="115" w:type="dxa"/>
              <w:bottom w:w="95" w:type="dxa"/>
              <w:right w:w="115" w:type="dxa"/>
            </w:tcMar>
          </w:tcPr>
          <w:p w14:paraId="6929B959" w14:textId="77777777" w:rsidR="00736A71" w:rsidRDefault="00B77AB3">
            <w:pPr>
              <w:keepNext/>
              <w:keepLines/>
              <w:suppressAutoHyphens/>
              <w:spacing w:after="0" w:line="252" w:lineRule="auto"/>
              <w:jc w:val="left"/>
            </w:pPr>
            <w:r>
              <w:rPr>
                <w:rFonts w:ascii="Calibri" w:hAnsi="Calibri"/>
                <w:b/>
                <w:i/>
                <w:color w:val="17384D"/>
                <w:sz w:val="21"/>
              </w:rPr>
              <w:t>Listeria</w:t>
            </w:r>
          </w:p>
        </w:tc>
        <w:tc>
          <w:tcPr>
            <w:tcW w:w="3402" w:type="dxa"/>
            <w:shd w:val="clear" w:color="auto" w:fill="F2F6F8"/>
            <w:tcMar>
              <w:top w:w="95" w:type="dxa"/>
              <w:left w:w="115" w:type="dxa"/>
              <w:bottom w:w="95" w:type="dxa"/>
              <w:right w:w="115" w:type="dxa"/>
            </w:tcMar>
            <w:vAlign w:val="center"/>
          </w:tcPr>
          <w:p w14:paraId="00B88086" w14:textId="77777777" w:rsidR="00736A71" w:rsidRDefault="00B77AB3">
            <w:pPr>
              <w:keepNext/>
              <w:keepLines/>
              <w:suppressAutoHyphens/>
              <w:spacing w:after="0" w:line="252" w:lineRule="auto"/>
              <w:jc w:val="center"/>
            </w:pPr>
            <w:r>
              <w:rPr>
                <w:rFonts w:ascii="Calibri" w:hAnsi="Calibri"/>
                <w:sz w:val="21"/>
              </w:rPr>
              <w:t>≥21 días</w:t>
            </w:r>
          </w:p>
        </w:tc>
        <w:tc>
          <w:tcPr>
            <w:tcW w:w="3402" w:type="dxa"/>
            <w:shd w:val="clear" w:color="auto" w:fill="F2F6F8"/>
            <w:tcMar>
              <w:top w:w="95" w:type="dxa"/>
              <w:left w:w="115" w:type="dxa"/>
              <w:bottom w:w="95" w:type="dxa"/>
              <w:right w:w="115" w:type="dxa"/>
            </w:tcMar>
            <w:vAlign w:val="center"/>
          </w:tcPr>
          <w:p w14:paraId="41274B74" w14:textId="77777777" w:rsidR="00736A71" w:rsidRDefault="00B77AB3">
            <w:pPr>
              <w:keepNext/>
              <w:keepLines/>
              <w:suppressAutoHyphens/>
              <w:spacing w:after="0" w:line="252" w:lineRule="auto"/>
              <w:jc w:val="center"/>
            </w:pPr>
            <w:r>
              <w:rPr>
                <w:rFonts w:ascii="Calibri" w:hAnsi="Calibri"/>
                <w:sz w:val="21"/>
              </w:rPr>
              <w:t>21 días</w:t>
            </w:r>
          </w:p>
        </w:tc>
      </w:tr>
      <w:tr w:rsidR="00736A71" w14:paraId="251690F2" w14:textId="77777777">
        <w:trPr>
          <w:cantSplit/>
          <w:jc w:val="center"/>
        </w:trPr>
        <w:tc>
          <w:tcPr>
            <w:tcW w:w="2608" w:type="dxa"/>
            <w:shd w:val="clear" w:color="auto" w:fill="FFFFFF"/>
            <w:tcMar>
              <w:top w:w="95" w:type="dxa"/>
              <w:left w:w="115" w:type="dxa"/>
              <w:bottom w:w="95" w:type="dxa"/>
              <w:right w:w="115" w:type="dxa"/>
            </w:tcMar>
          </w:tcPr>
          <w:p w14:paraId="0FE3FAF0" w14:textId="77777777" w:rsidR="00736A71" w:rsidRDefault="00B77AB3">
            <w:pPr>
              <w:keepNext/>
              <w:keepLines/>
              <w:suppressAutoHyphens/>
              <w:spacing w:after="0" w:line="252" w:lineRule="auto"/>
              <w:jc w:val="left"/>
            </w:pPr>
            <w:r>
              <w:rPr>
                <w:rFonts w:ascii="Calibri" w:hAnsi="Calibri"/>
                <w:b/>
                <w:i/>
                <w:color w:val="17384D"/>
                <w:sz w:val="21"/>
              </w:rPr>
              <w:t xml:space="preserve">S. </w:t>
            </w:r>
            <w:proofErr w:type="spellStart"/>
            <w:r>
              <w:rPr>
                <w:rFonts w:ascii="Calibri" w:hAnsi="Calibri"/>
                <w:b/>
                <w:i/>
                <w:color w:val="17384D"/>
                <w:sz w:val="21"/>
              </w:rPr>
              <w:t>aureus</w:t>
            </w:r>
            <w:proofErr w:type="spellEnd"/>
            <w:r>
              <w:rPr>
                <w:rFonts w:ascii="Calibri" w:hAnsi="Calibri"/>
                <w:color w:val="17384D"/>
                <w:sz w:val="21"/>
              </w:rPr>
              <w:t xml:space="preserve"> (y </w:t>
            </w:r>
            <w:r>
              <w:rPr>
                <w:rFonts w:ascii="Calibri" w:hAnsi="Calibri"/>
                <w:i/>
                <w:color w:val="17384D"/>
                <w:sz w:val="21"/>
              </w:rPr>
              <w:t xml:space="preserve">S. </w:t>
            </w:r>
            <w:proofErr w:type="spellStart"/>
            <w:r>
              <w:rPr>
                <w:rFonts w:ascii="Calibri" w:hAnsi="Calibri"/>
                <w:i/>
                <w:color w:val="17384D"/>
                <w:sz w:val="21"/>
              </w:rPr>
              <w:t>epidermidis</w:t>
            </w:r>
            <w:proofErr w:type="spellEnd"/>
            <w:r>
              <w:rPr>
                <w:rFonts w:ascii="Calibri" w:hAnsi="Calibri"/>
                <w:color w:val="17384D"/>
                <w:sz w:val="21"/>
              </w:rPr>
              <w:t>)</w:t>
            </w:r>
          </w:p>
        </w:tc>
        <w:tc>
          <w:tcPr>
            <w:tcW w:w="3402" w:type="dxa"/>
            <w:shd w:val="clear" w:color="auto" w:fill="FFFFFF"/>
            <w:tcMar>
              <w:top w:w="95" w:type="dxa"/>
              <w:left w:w="115" w:type="dxa"/>
              <w:bottom w:w="95" w:type="dxa"/>
              <w:right w:w="115" w:type="dxa"/>
            </w:tcMar>
            <w:vAlign w:val="center"/>
          </w:tcPr>
          <w:p w14:paraId="381E7984" w14:textId="77777777" w:rsidR="00736A71" w:rsidRDefault="00B77AB3">
            <w:pPr>
              <w:keepNext/>
              <w:keepLines/>
              <w:suppressAutoHyphens/>
              <w:spacing w:after="0" w:line="252" w:lineRule="auto"/>
              <w:jc w:val="center"/>
            </w:pPr>
            <w:r>
              <w:rPr>
                <w:rFonts w:ascii="Calibri" w:hAnsi="Calibri"/>
                <w:sz w:val="21"/>
              </w:rPr>
              <w:t xml:space="preserve">≥14 días para </w:t>
            </w:r>
            <w:r>
              <w:rPr>
                <w:rFonts w:ascii="Calibri" w:hAnsi="Calibri"/>
                <w:i/>
                <w:sz w:val="21"/>
              </w:rPr>
              <w:t xml:space="preserve">S. </w:t>
            </w:r>
            <w:proofErr w:type="spellStart"/>
            <w:r>
              <w:rPr>
                <w:rFonts w:ascii="Calibri" w:hAnsi="Calibri"/>
                <w:i/>
                <w:sz w:val="21"/>
              </w:rPr>
              <w:t>aureus</w:t>
            </w:r>
            <w:proofErr w:type="spellEnd"/>
          </w:p>
        </w:tc>
        <w:tc>
          <w:tcPr>
            <w:tcW w:w="3402" w:type="dxa"/>
            <w:shd w:val="clear" w:color="auto" w:fill="FFFFFF"/>
            <w:tcMar>
              <w:top w:w="95" w:type="dxa"/>
              <w:left w:w="115" w:type="dxa"/>
              <w:bottom w:w="95" w:type="dxa"/>
              <w:right w:w="115" w:type="dxa"/>
            </w:tcMar>
            <w:vAlign w:val="center"/>
          </w:tcPr>
          <w:p w14:paraId="04289CDE" w14:textId="77777777" w:rsidR="00736A71" w:rsidRDefault="00B77AB3">
            <w:pPr>
              <w:keepNext/>
              <w:keepLines/>
              <w:suppressAutoHyphens/>
              <w:spacing w:after="0" w:line="252" w:lineRule="auto"/>
              <w:jc w:val="center"/>
            </w:pPr>
            <w:r>
              <w:rPr>
                <w:rFonts w:ascii="Calibri" w:hAnsi="Calibri"/>
                <w:sz w:val="21"/>
              </w:rPr>
              <w:t>—</w:t>
            </w:r>
          </w:p>
        </w:tc>
      </w:tr>
      <w:tr w:rsidR="00736A71" w14:paraId="7704AE4D" w14:textId="77777777">
        <w:trPr>
          <w:cantSplit/>
          <w:jc w:val="center"/>
        </w:trPr>
        <w:tc>
          <w:tcPr>
            <w:tcW w:w="2608" w:type="dxa"/>
            <w:shd w:val="clear" w:color="auto" w:fill="F2F6F8"/>
            <w:tcMar>
              <w:top w:w="95" w:type="dxa"/>
              <w:left w:w="115" w:type="dxa"/>
              <w:bottom w:w="95" w:type="dxa"/>
              <w:right w:w="115" w:type="dxa"/>
            </w:tcMar>
          </w:tcPr>
          <w:p w14:paraId="6DC35267" w14:textId="77777777" w:rsidR="00736A71" w:rsidRDefault="00B77AB3">
            <w:pPr>
              <w:keepNext/>
              <w:keepLines/>
              <w:suppressAutoHyphens/>
              <w:spacing w:after="0" w:line="252" w:lineRule="auto"/>
              <w:jc w:val="left"/>
            </w:pPr>
            <w:r>
              <w:rPr>
                <w:rFonts w:ascii="Calibri" w:hAnsi="Calibri"/>
                <w:color w:val="17384D"/>
                <w:sz w:val="21"/>
              </w:rPr>
              <w:t>Enterobacterias y otros bacilos gramnegativos</w:t>
            </w:r>
          </w:p>
        </w:tc>
        <w:tc>
          <w:tcPr>
            <w:tcW w:w="3402" w:type="dxa"/>
            <w:shd w:val="clear" w:color="auto" w:fill="F2F6F8"/>
            <w:tcMar>
              <w:top w:w="95" w:type="dxa"/>
              <w:left w:w="115" w:type="dxa"/>
              <w:bottom w:w="95" w:type="dxa"/>
              <w:right w:w="115" w:type="dxa"/>
            </w:tcMar>
            <w:vAlign w:val="center"/>
          </w:tcPr>
          <w:p w14:paraId="793D25FC" w14:textId="77777777" w:rsidR="00736A71" w:rsidRDefault="00B77AB3">
            <w:pPr>
              <w:keepNext/>
              <w:keepLines/>
              <w:suppressAutoHyphens/>
              <w:spacing w:after="0" w:line="252" w:lineRule="auto"/>
              <w:jc w:val="center"/>
            </w:pPr>
            <w:r>
              <w:rPr>
                <w:rFonts w:ascii="Calibri" w:hAnsi="Calibri"/>
                <w:sz w:val="21"/>
              </w:rPr>
              <w:t>—</w:t>
            </w:r>
          </w:p>
        </w:tc>
        <w:tc>
          <w:tcPr>
            <w:tcW w:w="3402" w:type="dxa"/>
            <w:shd w:val="clear" w:color="auto" w:fill="F2F6F8"/>
            <w:tcMar>
              <w:top w:w="95" w:type="dxa"/>
              <w:left w:w="115" w:type="dxa"/>
              <w:bottom w:w="95" w:type="dxa"/>
              <w:right w:w="115" w:type="dxa"/>
            </w:tcMar>
            <w:vAlign w:val="center"/>
          </w:tcPr>
          <w:p w14:paraId="39E73C64" w14:textId="77777777" w:rsidR="00736A71" w:rsidRDefault="00B77AB3">
            <w:pPr>
              <w:keepNext/>
              <w:keepLines/>
              <w:suppressAutoHyphens/>
              <w:spacing w:after="0" w:line="252" w:lineRule="auto"/>
              <w:jc w:val="center"/>
            </w:pPr>
            <w:r>
              <w:rPr>
                <w:rFonts w:ascii="Calibri" w:hAnsi="Calibri"/>
                <w:sz w:val="21"/>
              </w:rPr>
              <w:t>21 días</w:t>
            </w:r>
          </w:p>
        </w:tc>
      </w:tr>
      <w:tr w:rsidR="00736A71" w14:paraId="3D044A95" w14:textId="77777777">
        <w:trPr>
          <w:cantSplit/>
          <w:jc w:val="center"/>
        </w:trPr>
        <w:tc>
          <w:tcPr>
            <w:tcW w:w="2608" w:type="dxa"/>
            <w:shd w:val="clear" w:color="auto" w:fill="FFFFFF"/>
            <w:tcMar>
              <w:top w:w="95" w:type="dxa"/>
              <w:left w:w="115" w:type="dxa"/>
              <w:bottom w:w="95" w:type="dxa"/>
              <w:right w:w="115" w:type="dxa"/>
            </w:tcMar>
          </w:tcPr>
          <w:p w14:paraId="099FC859" w14:textId="77777777" w:rsidR="00736A71" w:rsidRDefault="00B77AB3">
            <w:pPr>
              <w:keepNext/>
              <w:keepLines/>
              <w:suppressAutoHyphens/>
              <w:spacing w:after="0" w:line="252" w:lineRule="auto"/>
              <w:jc w:val="left"/>
            </w:pPr>
            <w:r>
              <w:rPr>
                <w:rFonts w:ascii="Calibri" w:hAnsi="Calibri"/>
                <w:color w:val="17384D"/>
                <w:sz w:val="21"/>
              </w:rPr>
              <w:t>Estreptococo del grupo B (</w:t>
            </w:r>
            <w:r>
              <w:rPr>
                <w:rFonts w:ascii="Calibri" w:hAnsi="Calibri"/>
                <w:i/>
                <w:color w:val="17384D"/>
                <w:sz w:val="21"/>
              </w:rPr>
              <w:t xml:space="preserve">S. </w:t>
            </w:r>
            <w:proofErr w:type="spellStart"/>
            <w:r>
              <w:rPr>
                <w:rFonts w:ascii="Calibri" w:hAnsi="Calibri"/>
                <w:i/>
                <w:color w:val="17384D"/>
                <w:sz w:val="21"/>
              </w:rPr>
              <w:t>agalactiae</w:t>
            </w:r>
            <w:proofErr w:type="spellEnd"/>
            <w:r>
              <w:rPr>
                <w:rFonts w:ascii="Calibri" w:hAnsi="Calibri"/>
                <w:color w:val="17384D"/>
                <w:sz w:val="21"/>
              </w:rPr>
              <w:t>)</w:t>
            </w:r>
          </w:p>
        </w:tc>
        <w:tc>
          <w:tcPr>
            <w:tcW w:w="3402" w:type="dxa"/>
            <w:shd w:val="clear" w:color="auto" w:fill="FFFFFF"/>
            <w:tcMar>
              <w:top w:w="95" w:type="dxa"/>
              <w:left w:w="115" w:type="dxa"/>
              <w:bottom w:w="95" w:type="dxa"/>
              <w:right w:w="115" w:type="dxa"/>
            </w:tcMar>
            <w:vAlign w:val="center"/>
          </w:tcPr>
          <w:p w14:paraId="51D5A1EC" w14:textId="77777777" w:rsidR="00736A71" w:rsidRDefault="00B77AB3">
            <w:pPr>
              <w:keepNext/>
              <w:keepLines/>
              <w:suppressAutoHyphens/>
              <w:spacing w:after="0" w:line="252" w:lineRule="auto"/>
              <w:jc w:val="center"/>
            </w:pPr>
            <w:r>
              <w:rPr>
                <w:rFonts w:ascii="Calibri" w:hAnsi="Calibri"/>
                <w:sz w:val="21"/>
              </w:rPr>
              <w:t>—</w:t>
            </w:r>
          </w:p>
        </w:tc>
        <w:tc>
          <w:tcPr>
            <w:tcW w:w="3402" w:type="dxa"/>
            <w:shd w:val="clear" w:color="auto" w:fill="FFFFFF"/>
            <w:tcMar>
              <w:top w:w="95" w:type="dxa"/>
              <w:left w:w="115" w:type="dxa"/>
              <w:bottom w:w="95" w:type="dxa"/>
              <w:right w:w="115" w:type="dxa"/>
            </w:tcMar>
            <w:vAlign w:val="center"/>
          </w:tcPr>
          <w:p w14:paraId="0BB1BF4B" w14:textId="77777777" w:rsidR="00736A71" w:rsidRDefault="00B77AB3">
            <w:pPr>
              <w:keepNext/>
              <w:keepLines/>
              <w:suppressAutoHyphens/>
              <w:spacing w:after="0" w:line="252" w:lineRule="auto"/>
              <w:jc w:val="center"/>
            </w:pPr>
            <w:r>
              <w:rPr>
                <w:rFonts w:ascii="Calibri" w:hAnsi="Calibri"/>
                <w:sz w:val="21"/>
              </w:rPr>
              <w:t>14 días</w:t>
            </w:r>
          </w:p>
        </w:tc>
      </w:tr>
      <w:tr w:rsidR="00736A71" w14:paraId="318574DE" w14:textId="77777777">
        <w:trPr>
          <w:cantSplit/>
          <w:jc w:val="center"/>
        </w:trPr>
        <w:tc>
          <w:tcPr>
            <w:tcW w:w="2608" w:type="dxa"/>
            <w:shd w:val="clear" w:color="auto" w:fill="F2F6F8"/>
            <w:tcMar>
              <w:top w:w="95" w:type="dxa"/>
              <w:left w:w="115" w:type="dxa"/>
              <w:bottom w:w="95" w:type="dxa"/>
              <w:right w:w="115" w:type="dxa"/>
            </w:tcMar>
          </w:tcPr>
          <w:p w14:paraId="68AE01A8" w14:textId="77777777" w:rsidR="00736A71" w:rsidRDefault="00B77AB3">
            <w:pPr>
              <w:keepLines/>
              <w:suppressAutoHyphens/>
              <w:spacing w:after="0" w:line="252" w:lineRule="auto"/>
              <w:jc w:val="left"/>
            </w:pPr>
            <w:r>
              <w:rPr>
                <w:rFonts w:ascii="Calibri" w:hAnsi="Calibri"/>
                <w:b/>
                <w:color w:val="17384D"/>
                <w:sz w:val="21"/>
              </w:rPr>
              <w:t>Sin germen identificado</w:t>
            </w:r>
            <w:r>
              <w:rPr>
                <w:rFonts w:ascii="Calibri" w:hAnsi="Calibri"/>
                <w:color w:val="17384D"/>
                <w:sz w:val="21"/>
              </w:rPr>
              <w:t xml:space="preserve"> (LCR de MBA, cultivos y PCR negativos)</w:t>
            </w:r>
          </w:p>
        </w:tc>
        <w:tc>
          <w:tcPr>
            <w:tcW w:w="3402" w:type="dxa"/>
            <w:shd w:val="clear" w:color="auto" w:fill="F2F6F8"/>
            <w:tcMar>
              <w:top w:w="95" w:type="dxa"/>
              <w:left w:w="115" w:type="dxa"/>
              <w:bottom w:w="95" w:type="dxa"/>
              <w:right w:w="115" w:type="dxa"/>
            </w:tcMar>
            <w:vAlign w:val="center"/>
          </w:tcPr>
          <w:p w14:paraId="76826777" w14:textId="77777777" w:rsidR="00736A71" w:rsidRDefault="00B77AB3">
            <w:pPr>
              <w:keepLines/>
              <w:suppressAutoHyphens/>
              <w:spacing w:after="0" w:line="252" w:lineRule="auto"/>
              <w:jc w:val="center"/>
            </w:pPr>
            <w:r>
              <w:rPr>
                <w:rFonts w:ascii="Calibri" w:hAnsi="Calibri"/>
                <w:sz w:val="21"/>
              </w:rPr>
              <w:t>≥2 semanas</w:t>
            </w:r>
          </w:p>
        </w:tc>
        <w:tc>
          <w:tcPr>
            <w:tcW w:w="3402" w:type="dxa"/>
            <w:shd w:val="clear" w:color="auto" w:fill="F2F6F8"/>
            <w:tcMar>
              <w:top w:w="95" w:type="dxa"/>
              <w:left w:w="115" w:type="dxa"/>
              <w:bottom w:w="95" w:type="dxa"/>
              <w:right w:w="115" w:type="dxa"/>
            </w:tcMar>
            <w:vAlign w:val="center"/>
          </w:tcPr>
          <w:p w14:paraId="03C82D7B" w14:textId="77777777" w:rsidR="00736A71" w:rsidRDefault="00B77AB3">
            <w:pPr>
              <w:keepLines/>
              <w:suppressAutoHyphens/>
              <w:spacing w:after="0" w:line="252" w:lineRule="auto"/>
              <w:jc w:val="center"/>
            </w:pPr>
            <w:r>
              <w:rPr>
                <w:rFonts w:ascii="Calibri" w:hAnsi="Calibri"/>
                <w:sz w:val="21"/>
              </w:rPr>
              <w:t>10 días</w:t>
            </w:r>
          </w:p>
        </w:tc>
      </w:tr>
    </w:tbl>
    <w:p w14:paraId="67E1306D" w14:textId="77777777" w:rsidR="00736A71" w:rsidRDefault="00736A71">
      <w:pPr>
        <w:widowControl w:val="0"/>
        <w:spacing w:after="0" w:line="140" w:lineRule="exact"/>
      </w:pPr>
    </w:p>
    <w:p w14:paraId="450BC640" w14:textId="77777777" w:rsidR="00736A71" w:rsidRDefault="00B77AB3">
      <w:pPr>
        <w:pStyle w:val="Prrafodelista"/>
        <w:keepLines/>
        <w:numPr>
          <w:ilvl w:val="0"/>
          <w:numId w:val="22"/>
        </w:numPr>
        <w:spacing w:after="80"/>
      </w:pPr>
      <w:r>
        <w:rPr>
          <w:b/>
        </w:rPr>
        <w:t>No se recomiendan pautas cortas</w:t>
      </w:r>
      <w:r>
        <w:t xml:space="preserve"> en el adulto europeo (ESCMID, grado D). </w:t>
      </w:r>
      <w:r>
        <w:t>El ensayo de 5 frente a 10 días se hizo en niños de Malawi y Pakistán y no es extrapolable (ESCMID). La NICE, en cambio, cita evidencia sin diferencias entre 5 y 10 días de ceftriaxona para Hib y meningococo, y recomienda 5 días para el meningococo.</w:t>
      </w:r>
    </w:p>
    <w:p w14:paraId="6FC15A5E" w14:textId="77777777" w:rsidR="00736A71" w:rsidRDefault="00B77AB3">
      <w:pPr>
        <w:pStyle w:val="Prrafodelista"/>
        <w:keepNext/>
        <w:keepLines/>
        <w:numPr>
          <w:ilvl w:val="0"/>
          <w:numId w:val="22"/>
        </w:numPr>
        <w:spacing w:after="80"/>
      </w:pPr>
      <w:r>
        <w:rPr>
          <w:b/>
        </w:rPr>
        <w:t>Neumococo según la CMI</w:t>
      </w:r>
      <w:r>
        <w:t xml:space="preserve"> (ESCMID, tabla 4.2):</w:t>
      </w:r>
    </w:p>
    <w:p w14:paraId="67B4AF2C" w14:textId="77777777" w:rsidR="00736A71" w:rsidRDefault="00B77AB3">
      <w:pPr>
        <w:pStyle w:val="Prrafodelista"/>
        <w:keepLines/>
        <w:numPr>
          <w:ilvl w:val="0"/>
          <w:numId w:val="23"/>
        </w:numPr>
        <w:spacing w:after="40"/>
      </w:pPr>
      <w:r>
        <w:t>Sensible a penicilina (CMI &lt;0,1 µg/</w:t>
      </w:r>
      <w:proofErr w:type="spellStart"/>
      <w:r>
        <w:t>mL</w:t>
      </w:r>
      <w:proofErr w:type="spellEnd"/>
      <w:r>
        <w:t>): penicilina o amoxicilina.</w:t>
      </w:r>
    </w:p>
    <w:p w14:paraId="19B121E6" w14:textId="77777777" w:rsidR="00736A71" w:rsidRDefault="00B77AB3">
      <w:pPr>
        <w:pStyle w:val="Prrafodelista"/>
        <w:keepLines/>
        <w:numPr>
          <w:ilvl w:val="0"/>
          <w:numId w:val="23"/>
        </w:numPr>
        <w:spacing w:after="40"/>
      </w:pPr>
      <w:r>
        <w:t>Resistente a penicilina y sensible a C3G (CMI &lt;2 µg/</w:t>
      </w:r>
      <w:proofErr w:type="spellStart"/>
      <w:r>
        <w:t>mL</w:t>
      </w:r>
      <w:proofErr w:type="spellEnd"/>
      <w:r>
        <w:t xml:space="preserve">): </w:t>
      </w:r>
      <w:r>
        <w:rPr>
          <w:b/>
        </w:rPr>
        <w:t>C3G</w:t>
      </w:r>
      <w:r>
        <w:t>.</w:t>
      </w:r>
    </w:p>
    <w:p w14:paraId="3B6E3225" w14:textId="77777777" w:rsidR="00736A71" w:rsidRDefault="00B77AB3">
      <w:pPr>
        <w:pStyle w:val="Prrafodelista"/>
        <w:keepLines/>
        <w:numPr>
          <w:ilvl w:val="0"/>
          <w:numId w:val="23"/>
        </w:numPr>
        <w:spacing w:after="40"/>
      </w:pPr>
      <w:r>
        <w:t>Resistente a C3G (CMI ≥2 µg/</w:t>
      </w:r>
      <w:proofErr w:type="spellStart"/>
      <w:r>
        <w:t>mL</w:t>
      </w:r>
      <w:proofErr w:type="spellEnd"/>
      <w:r>
        <w:t xml:space="preserve">): </w:t>
      </w:r>
      <w:r>
        <w:rPr>
          <w:b/>
        </w:rPr>
        <w:t>vancomicina + rifampicina, vancomicina + C3G o rifampicina + C3G</w:t>
      </w:r>
      <w:r>
        <w:t>, con ceftriaxona 2 g cada 12 h o cefotaxima 2‑3 g cada 6 h.</w:t>
      </w:r>
    </w:p>
    <w:p w14:paraId="0D869B1F" w14:textId="77777777" w:rsidR="00736A71" w:rsidRDefault="00B77AB3">
      <w:pPr>
        <w:pStyle w:val="Prrafodelista"/>
        <w:keepLines/>
        <w:numPr>
          <w:ilvl w:val="0"/>
          <w:numId w:val="22"/>
        </w:numPr>
        <w:spacing w:after="80"/>
      </w:pPr>
      <w:r>
        <w:rPr>
          <w:b/>
          <w:i/>
          <w:color w:val="17384D"/>
        </w:rPr>
        <w:t>Listeria</w:t>
      </w:r>
      <w:r>
        <w:t xml:space="preserve">: la gentamicina «puede considerarse», con precaución por el riesgo de fracaso renal (ESCMID). Alternativas: cotrimoxazol, moxifloxacino, meropenem, </w:t>
      </w:r>
      <w:proofErr w:type="spellStart"/>
      <w:r>
        <w:t>linezolid</w:t>
      </w:r>
      <w:proofErr w:type="spellEnd"/>
      <w:r>
        <w:t xml:space="preserve"> (ESCMID). La NICE propone valorar, consultando antes, añadir cotrimoxazol los primeros 7 días.</w:t>
      </w:r>
    </w:p>
    <w:p w14:paraId="7FF9BA64" w14:textId="77777777" w:rsidR="00736A71" w:rsidRDefault="00B77AB3">
      <w:pPr>
        <w:pStyle w:val="Prrafodelista"/>
        <w:keepLines/>
        <w:numPr>
          <w:ilvl w:val="0"/>
          <w:numId w:val="22"/>
        </w:numPr>
        <w:spacing w:after="80"/>
      </w:pPr>
      <w:r>
        <w:rPr>
          <w:b/>
          <w:i/>
          <w:color w:val="17384D"/>
        </w:rPr>
        <w:t xml:space="preserve">S. </w:t>
      </w:r>
      <w:proofErr w:type="spellStart"/>
      <w:r>
        <w:rPr>
          <w:b/>
          <w:i/>
          <w:color w:val="17384D"/>
        </w:rPr>
        <w:t>aureus</w:t>
      </w:r>
      <w:proofErr w:type="spellEnd"/>
      <w:r>
        <w:t xml:space="preserve">: la ESCMID 2016 recomienda </w:t>
      </w:r>
      <w:proofErr w:type="spellStart"/>
      <w:r>
        <w:rPr>
          <w:b/>
        </w:rPr>
        <w:t>flucloxacilina</w:t>
      </w:r>
      <w:proofErr w:type="spellEnd"/>
      <w:r>
        <w:rPr>
          <w:b/>
        </w:rPr>
        <w:t xml:space="preserve">, </w:t>
      </w:r>
      <w:proofErr w:type="spellStart"/>
      <w:r>
        <w:rPr>
          <w:b/>
        </w:rPr>
        <w:t>nafcilina</w:t>
      </w:r>
      <w:proofErr w:type="spellEnd"/>
      <w:r>
        <w:rPr>
          <w:b/>
        </w:rPr>
        <w:t xml:space="preserve"> u oxacilina si es sensible a </w:t>
      </w:r>
      <w:proofErr w:type="spellStart"/>
      <w:r>
        <w:rPr>
          <w:b/>
        </w:rPr>
        <w:t>meticilina</w:t>
      </w:r>
      <w:proofErr w:type="spellEnd"/>
      <w:r>
        <w:t xml:space="preserve">, y </w:t>
      </w:r>
      <w:r>
        <w:rPr>
          <w:b/>
        </w:rPr>
        <w:t>vancomicina si es resistente</w:t>
      </w:r>
      <w:r>
        <w:t xml:space="preserve"> (tabla 4.2) (resistencia en la FJD a </w:t>
      </w:r>
      <w:proofErr w:type="spellStart"/>
      <w:r>
        <w:t>meticilina</w:t>
      </w:r>
      <w:proofErr w:type="spellEnd"/>
      <w:r>
        <w:t xml:space="preserve"> en </w:t>
      </w:r>
      <w:r>
        <w:rPr>
          <w:i/>
        </w:rPr>
        <w:t xml:space="preserve">S. </w:t>
      </w:r>
      <w:proofErr w:type="spellStart"/>
      <w:r>
        <w:rPr>
          <w:i/>
        </w:rPr>
        <w:t>aureus</w:t>
      </w:r>
      <w:proofErr w:type="spellEnd"/>
      <w:r>
        <w:t xml:space="preserve">: 30 %, informes internos de 2024). Esta tabla no incluye </w:t>
      </w:r>
      <w:r>
        <w:rPr>
          <w:i/>
        </w:rPr>
        <w:t xml:space="preserve">S. </w:t>
      </w:r>
      <w:proofErr w:type="spellStart"/>
      <w:r>
        <w:rPr>
          <w:i/>
        </w:rPr>
        <w:t>epidermidis</w:t>
      </w:r>
      <w:proofErr w:type="spellEnd"/>
      <w:r>
        <w:t xml:space="preserve">. </w:t>
      </w:r>
      <w:r>
        <w:rPr>
          <w:b/>
        </w:rPr>
        <w:t>Buscar endocarditis o absceso epidural espinal</w:t>
      </w:r>
      <w:r>
        <w:t>, que pueden requerir cirugía y más tratamiento (ESCMID).</w:t>
      </w:r>
    </w:p>
    <w:p w14:paraId="2A708F22" w14:textId="77777777" w:rsidR="00736A71" w:rsidRDefault="00B77AB3">
      <w:pPr>
        <w:pStyle w:val="Prrafodelista"/>
        <w:keepLines/>
        <w:numPr>
          <w:ilvl w:val="0"/>
          <w:numId w:val="22"/>
        </w:numPr>
        <w:spacing w:after="80"/>
      </w:pPr>
      <w:r>
        <w:t xml:space="preserve">Duración según la SEN 2025: </w:t>
      </w:r>
      <w:r>
        <w:rPr>
          <w:b/>
        </w:rPr>
        <w:t>10‑14 días en general</w:t>
      </w:r>
      <w:r>
        <w:t xml:space="preserve">; 7 días «pueden bastar» en la meningocócica; 14 días en la neumocócica; y </w:t>
      </w:r>
      <w:r>
        <w:rPr>
          <w:b/>
        </w:rPr>
        <w:t>al menos 3 semanas en Listeria y en los gramnegativos</w:t>
      </w:r>
      <w:r>
        <w:t>, por la alta tasa de recidivas con pautas más cortas.</w:t>
      </w:r>
    </w:p>
    <w:p w14:paraId="3B2FC81E" w14:textId="77777777" w:rsidR="00736A71" w:rsidRDefault="00B77AB3">
      <w:pPr>
        <w:pStyle w:val="Prrafodelista"/>
        <w:keepLines/>
        <w:numPr>
          <w:ilvl w:val="0"/>
          <w:numId w:val="22"/>
        </w:numPr>
        <w:spacing w:after="80"/>
      </w:pPr>
      <w:r>
        <w:t xml:space="preserve">H. </w:t>
      </w:r>
      <w:proofErr w:type="spellStart"/>
      <w:r>
        <w:t>influenzae</w:t>
      </w:r>
      <w:proofErr w:type="spellEnd"/>
      <w:r>
        <w:t xml:space="preserve">: la SEN 2025 propone ampicilina sin precisar sensibilidad. La ESCMID 2016 distingue cepas productoras de betalactamasa y cepas resistentes a ampicilina: comprobar el antibiograma antes de ajustar la pauta (resistencia en la FJD a ampicilina en </w:t>
      </w:r>
      <w:r>
        <w:rPr>
          <w:i/>
        </w:rPr>
        <w:t xml:space="preserve">H. </w:t>
      </w:r>
      <w:proofErr w:type="spellStart"/>
      <w:r>
        <w:rPr>
          <w:i/>
        </w:rPr>
        <w:t>influenzae</w:t>
      </w:r>
      <w:proofErr w:type="spellEnd"/>
      <w:r>
        <w:t xml:space="preserve">: ≈9 %, informes internos de 2024). La duración específica de 7‑10 días procede de la ESCMID; la SEN 2025 solo da una duración general de 10‑14 días.</w:t>
      </w:r>
    </w:p>
    <w:p w14:paraId="331D0CA7" w14:textId="77777777" w:rsidR="00736A71" w:rsidRDefault="00B77AB3">
      <w:pPr>
        <w:pStyle w:val="Prrafodelista"/>
        <w:keepLines/>
        <w:numPr>
          <w:ilvl w:val="0"/>
          <w:numId w:val="22"/>
        </w:numPr>
        <w:spacing w:after="80"/>
      </w:pPr>
      <w:r>
        <w:t>Estreptococo del grupo B: la NICE propone C3G; en esta revisión se adopta la recomendación de la SEN 2025. La duración la da solo la NICE.</w:t>
      </w:r>
    </w:p>
    <w:p w14:paraId="7C7B2FC4" w14:textId="77777777" w:rsidR="00736A71" w:rsidRDefault="00B77AB3">
      <w:pPr>
        <w:pStyle w:val="Prrafodelista"/>
        <w:keepLines/>
        <w:numPr>
          <w:ilvl w:val="0"/>
          <w:numId w:val="22"/>
        </w:numPr>
        <w:spacing w:after="80"/>
      </w:pPr>
      <w:r>
        <w:lastRenderedPageBreak/>
        <w:t>Sin germen identificado: la ESCMID (≥2 semanas) prevalece sobre la NICE (10 días), porque la SEN no concreta este supuesto (la SEN 2025 da 10‑14 días como duración general).</w:t>
      </w:r>
    </w:p>
    <w:p w14:paraId="1CE46EE3" w14:textId="77777777" w:rsidR="00736A71" w:rsidRDefault="00B77AB3">
      <w:pPr>
        <w:pStyle w:val="Prrafodelista"/>
        <w:keepLines/>
        <w:numPr>
          <w:ilvl w:val="0"/>
          <w:numId w:val="22"/>
        </w:numPr>
        <w:spacing w:after="80"/>
      </w:pPr>
      <w:r>
        <w:t>Enterobacterias: la NICE reconoce que los 21 días no se basan en evidencia (derivan del principio de 14 días tras esterilizar el LCR); la SEN 2025 los justifica por la tasa de recidivas.</w:t>
      </w:r>
    </w:p>
    <w:p w14:paraId="027EB789" w14:textId="77777777" w:rsidR="00736A71" w:rsidRDefault="00B77AB3">
      <w:pPr>
        <w:pStyle w:val="Prrafodelista"/>
        <w:keepLines/>
        <w:numPr>
          <w:ilvl w:val="0"/>
          <w:numId w:val="22"/>
        </w:numPr>
        <w:spacing w:after="80"/>
      </w:pPr>
      <w:r>
        <w:rPr>
          <w:i/>
        </w:rPr>
        <w:t>Meningococo: si no hay recuperación al terminar la pauta, consultar con Infecciosas (NICE).</w:t>
      </w:r>
    </w:p>
    <w:p w14:paraId="5253B7AB" w14:textId="77777777" w:rsidR="00736A71" w:rsidRDefault="00B77AB3">
      <w:pPr>
        <w:pStyle w:val="Ttulo1"/>
      </w:pPr>
      <w:bookmarkStart w:id="20" w:name="_Toc000510020"/>
      <w:r>
        <w:rPr>
          <w:color w:val="1C7C7D"/>
        </w:rPr>
        <w:t xml:space="preserve">8. </w:t>
      </w:r>
      <w:r>
        <w:t>Tratamiento adyuvante</w:t>
      </w:r>
      <w:bookmarkEnd w:id="20"/>
    </w:p>
    <w:p w14:paraId="70B9FE1A" w14:textId="77777777" w:rsidR="00736A71" w:rsidRDefault="00B77AB3">
      <w:pPr>
        <w:pStyle w:val="Ttulo2"/>
      </w:pPr>
      <w:bookmarkStart w:id="21" w:name="_Toc000510021"/>
      <w:r>
        <w:rPr>
          <w:color w:val="1C7C7D"/>
        </w:rPr>
        <w:t xml:space="preserve">8.1. </w:t>
      </w:r>
      <w:r>
        <w:t>Dexametasona</w:t>
      </w:r>
      <w:bookmarkEnd w:id="21"/>
    </w:p>
    <w:p w14:paraId="2A561A44" w14:textId="77777777" w:rsidR="00736A71" w:rsidRDefault="00B77AB3">
      <w:pPr>
        <w:pBdr>
          <w:top w:val="single" w:sz="4" w:space="5" w:color="E9F4F4"/>
          <w:left w:val="single" w:sz="24" w:space="8" w:color="1C7C7D"/>
          <w:bottom w:val="single" w:sz="4" w:space="5" w:color="E9F4F4"/>
          <w:right w:val="single" w:sz="4" w:space="8" w:color="E9F4F4"/>
        </w:pBdr>
        <w:shd w:val="clear" w:color="auto" w:fill="E9F4F4"/>
        <w:spacing w:before="160" w:after="160"/>
        <w:ind w:left="220" w:right="170"/>
      </w:pPr>
      <w:r>
        <w:rPr>
          <w:rFonts w:ascii="Calibri" w:hAnsi="Calibri" w:cs="Calibri"/>
          <w:b/>
          <w:color w:val="1C7C7D"/>
        </w:rPr>
        <w:t xml:space="preserve">→ </w:t>
      </w:r>
      <w:r>
        <w:rPr>
          <w:b/>
          <w:color w:val="17384D"/>
        </w:rPr>
        <w:t>PAUTA</w:t>
      </w:r>
      <w:r>
        <w:t xml:space="preserve">: </w:t>
      </w:r>
      <w:r>
        <w:rPr>
          <w:b/>
          <w:color w:val="C00000"/>
        </w:rPr>
        <w:t>DEXAMETASONA 10 mg IV cada 6 h durante 4 días</w:t>
      </w:r>
      <w:r>
        <w:t xml:space="preserve">, con la </w:t>
      </w:r>
      <w:r>
        <w:rPr>
          <w:b/>
          <w:color w:val="17384D"/>
        </w:rPr>
        <w:t>primera dosis antes o junto con la primera dosis de antibiótico</w:t>
      </w:r>
      <w:r>
        <w:t xml:space="preserve"> (SEN 2025; ESCMID, grado A en países de renta alta).</w:t>
      </w:r>
    </w:p>
    <w:p w14:paraId="443A6F0E" w14:textId="77777777" w:rsidR="00736A71" w:rsidRDefault="00B77AB3">
      <w:pPr>
        <w:pBdr>
          <w:left w:val="single" w:sz="12" w:space="7" w:color="B7CDD0"/>
        </w:pBdr>
        <w:spacing w:before="120" w:after="160"/>
        <w:ind w:left="170"/>
      </w:pPr>
      <w:r>
        <w:rPr>
          <w:i/>
          <w:color w:val="4F5F68"/>
        </w:rPr>
        <w:t xml:space="preserve">Mensa 2026: propone en el adulto </w:t>
      </w:r>
      <w:r>
        <w:rPr>
          <w:b/>
          <w:i/>
          <w:color w:val="4F5F68"/>
        </w:rPr>
        <w:t>6‑10 mg IV cada 6 h durante 2‑4 días</w:t>
      </w:r>
      <w:r>
        <w:rPr>
          <w:i/>
          <w:color w:val="4F5F68"/>
        </w:rPr>
        <w:t xml:space="preserve">, especialmente en neumococo o H. </w:t>
      </w:r>
      <w:proofErr w:type="spellStart"/>
      <w:r>
        <w:rPr>
          <w:i/>
          <w:color w:val="4F5F68"/>
        </w:rPr>
        <w:t>influenzae</w:t>
      </w:r>
      <w:proofErr w:type="spellEnd"/>
      <w:r>
        <w:rPr>
          <w:i/>
          <w:color w:val="4F5F68"/>
        </w:rPr>
        <w:t>, con inicio antes del primer antibiótico. La pauta de la SEN 2025 está dentro de ese intervalo.</w:t>
      </w:r>
    </w:p>
    <w:p w14:paraId="10C34973" w14:textId="77777777" w:rsidR="00736A71" w:rsidRDefault="00B77AB3">
      <w:pPr>
        <w:pStyle w:val="Prrafodelista"/>
        <w:numPr>
          <w:ilvl w:val="0"/>
          <w:numId w:val="26"/>
        </w:numPr>
        <w:spacing w:after="80"/>
      </w:pPr>
      <w:r>
        <w:rPr>
          <w:b/>
          <w:color w:val="17384D"/>
        </w:rPr>
        <w:t>Indicación</w:t>
      </w:r>
      <w:r>
        <w:t xml:space="preserve">: </w:t>
      </w:r>
      <w:r>
        <w:rPr>
          <w:b/>
        </w:rPr>
        <w:t>en todos los casos de meningitis purulenta</w:t>
      </w:r>
      <w:r>
        <w:t xml:space="preserve"> (SEN 2025); sospecha fuerte o confirmación (NICE 1.8.1). </w:t>
      </w:r>
      <w:r>
        <w:rPr>
          <w:i/>
        </w:rPr>
        <w:t>Según la SEMES 2012, el mayor beneficio se obtiene con pleocitosis &gt;1.000/µL, presión de apertura &gt;25 cm H₂O o GCS &lt;11.</w:t>
      </w:r>
    </w:p>
    <w:p w14:paraId="2EE580B1" w14:textId="77777777" w:rsidR="00736A71" w:rsidRDefault="00B77AB3">
      <w:pPr>
        <w:pStyle w:val="Prrafodelista"/>
        <w:numPr>
          <w:ilvl w:val="0"/>
          <w:numId w:val="26"/>
        </w:numPr>
        <w:spacing w:after="80"/>
      </w:pPr>
      <w:r>
        <w:rPr>
          <w:b/>
          <w:color w:val="17384D"/>
        </w:rPr>
        <w:t>Si ya se ha dado el antibiótico</w:t>
      </w:r>
      <w:r>
        <w:t xml:space="preserve">: la SEN 2025 recoge que </w:t>
      </w:r>
      <w:r>
        <w:rPr>
          <w:b/>
        </w:rPr>
        <w:t>«algunos autores» amplían la ventana hasta un máximo de 4 h</w:t>
      </w:r>
      <w:r>
        <w:t xml:space="preserve">; su recomendación inicial sigue siendo antes o junto con el antibiótico. </w:t>
      </w:r>
      <w:r>
        <w:rPr>
          <w:i/>
        </w:rPr>
        <w:t xml:space="preserve">Mensa 2026: el beneficio disminuye significativamente si se inicia </w:t>
      </w:r>
      <w:r>
        <w:rPr>
          <w:b/>
          <w:i/>
        </w:rPr>
        <w:t>&gt;4 h</w:t>
      </w:r>
      <w:r>
        <w:rPr>
          <w:i/>
        </w:rPr>
        <w:t xml:space="preserve"> después. ESCMID 2016 permite iniciarla hasta 4 h (grado C, por consenso). NICE 1.8.5 indica administrarla cuanto antes si el retraso es </w:t>
      </w:r>
      <w:r>
        <w:rPr>
          <w:b/>
          <w:i/>
        </w:rPr>
        <w:t>&lt;12 h</w:t>
      </w:r>
      <w:r>
        <w:rPr>
          <w:i/>
        </w:rPr>
        <w:t xml:space="preserve"> y consultar con Infecciosas si es </w:t>
      </w:r>
      <w:r>
        <w:rPr>
          <w:b/>
          <w:i/>
        </w:rPr>
        <w:t>&gt;12 h</w:t>
      </w:r>
      <w:r>
        <w:rPr>
          <w:i/>
        </w:rPr>
        <w:t>, sin retrasar el antibiótico para esperarla. La SEMES 2012 decía «no darla si ya recibía antibiótico parenteral», criterio superado por las fuentes anteriores.</w:t>
      </w:r>
    </w:p>
    <w:p w14:paraId="3586DDD1" w14:textId="77777777" w:rsidR="00736A71" w:rsidRDefault="00B77AB3">
      <w:pPr>
        <w:pStyle w:val="Prrafodelista"/>
        <w:numPr>
          <w:ilvl w:val="0"/>
          <w:numId w:val="26"/>
        </w:numPr>
        <w:spacing w:after="80"/>
      </w:pPr>
      <w:proofErr w:type="gramStart"/>
      <w:r>
        <w:rPr>
          <w:b/>
          <w:color w:val="17384D"/>
        </w:rPr>
        <w:t>Cuándo</w:t>
      </w:r>
      <w:proofErr w:type="gramEnd"/>
      <w:r>
        <w:rPr>
          <w:b/>
          <w:color w:val="17384D"/>
        </w:rPr>
        <w:t xml:space="preserve"> se mantiene</w:t>
      </w:r>
      <w:r>
        <w:t xml:space="preserve">: </w:t>
      </w:r>
      <w:r>
        <w:rPr>
          <w:b/>
          <w:color w:val="C00000"/>
        </w:rPr>
        <w:t xml:space="preserve">SOLO si se confirma NEUMOCOCO o </w:t>
      </w:r>
      <w:r>
        <w:rPr>
          <w:b/>
          <w:i/>
          <w:color w:val="C00000"/>
        </w:rPr>
        <w:t>H. INFLUENZAE</w:t>
      </w:r>
      <w:r>
        <w:t xml:space="preserve"> (ESCMID, grado B; NICE 1.8.3). </w:t>
      </w:r>
      <w:r>
        <w:rPr>
          <w:b/>
        </w:rPr>
        <w:t>Suspenderla en el resto</w:t>
      </w:r>
      <w:r>
        <w:t xml:space="preserve">, incluidos </w:t>
      </w:r>
      <w:r>
        <w:rPr>
          <w:i/>
        </w:rPr>
        <w:t>Listeria</w:t>
      </w:r>
      <w:r>
        <w:t xml:space="preserve"> y meningococo, y si se descarta la MBA. </w:t>
      </w:r>
      <w:r>
        <w:rPr>
          <w:i/>
        </w:rPr>
        <w:t>Algunos expertos la mantienen con cualquier germen (ESCMID). Si no se identifica el germen, consultar con Infecciosas (NICE 1.8.4).</w:t>
      </w:r>
    </w:p>
    <w:p w14:paraId="11F87AC3" w14:textId="77777777" w:rsidR="00736A71" w:rsidRDefault="00B77AB3">
      <w:pPr>
        <w:pStyle w:val="Prrafodelista"/>
        <w:numPr>
          <w:ilvl w:val="0"/>
          <w:numId w:val="26"/>
        </w:numPr>
        <w:spacing w:after="80"/>
      </w:pPr>
      <w:r>
        <w:rPr>
          <w:b/>
          <w:color w:val="17384D"/>
        </w:rPr>
        <w:t>Infartos tardíos</w:t>
      </w:r>
      <w:r>
        <w:t xml:space="preserve">: se ha descrito una posible relación con la dexametasona adyuvante. </w:t>
      </w:r>
      <w:r>
        <w:rPr>
          <w:i/>
        </w:rPr>
        <w:t xml:space="preserve">Mensa 2026 amplía la descripción como </w:t>
      </w:r>
      <w:r>
        <w:rPr>
          <w:b/>
          <w:i/>
        </w:rPr>
        <w:t>vasculopatía cerebral retardada en cerca del 10 % de los adultos con meningitis neumocócica</w:t>
      </w:r>
      <w:r>
        <w:rPr>
          <w:i/>
        </w:rPr>
        <w:t xml:space="preserve">: tras mejoría inicial y suspensión de los corticoides puede aparecer deterioro neurológico repentino con reaparición de fiebre, sin otra causa aparente. En esos casos, Mensa señala la necesidad de prolongar los corticoides </w:t>
      </w:r>
      <w:r>
        <w:rPr>
          <w:b/>
          <w:i/>
        </w:rPr>
        <w:t>varias semanas</w:t>
      </w:r>
      <w:r>
        <w:rPr>
          <w:i/>
        </w:rPr>
        <w:t xml:space="preserve">, sin concretar pauta ni descenso. Requiere valoración especializada.</w:t>
      </w:r>
    </w:p>
    <w:p w14:paraId="048A4A88" w14:textId="77777777" w:rsidR="00736A71" w:rsidRDefault="00B77AB3">
      <w:pPr>
        <w:pStyle w:val="Prrafodelista"/>
        <w:numPr>
          <w:ilvl w:val="0"/>
          <w:numId w:val="26"/>
        </w:numPr>
        <w:spacing w:after="80"/>
      </w:pPr>
      <w:r>
        <w:rPr>
          <w:b/>
          <w:color w:val="17384D"/>
        </w:rPr>
        <w:t>Enfermedad meningocócica (sepsis) sin meningitis</w:t>
      </w:r>
      <w:r>
        <w:t xml:space="preserve">: </w:t>
      </w:r>
      <w:r>
        <w:rPr>
          <w:b/>
        </w:rPr>
        <w:t>no dar corticoides de rutina</w:t>
      </w:r>
      <w:r>
        <w:t xml:space="preserve">; solo </w:t>
      </w:r>
      <w:r>
        <w:rPr>
          <w:b/>
        </w:rPr>
        <w:t>dosis sustitutivas</w:t>
      </w:r>
      <w:r>
        <w:t xml:space="preserve"> en el shock que no responde a vasopresores a dosis altas (NICE 1.8.6‑1.8.7). </w:t>
      </w:r>
      <w:r>
        <w:rPr>
          <w:i/>
        </w:rPr>
        <w:t xml:space="preserve">La SEMES 2012 propone hidrocortisona 50 mg cada 6 h + </w:t>
      </w:r>
      <w:proofErr w:type="spellStart"/>
      <w:r>
        <w:rPr>
          <w:i/>
        </w:rPr>
        <w:t>fludrocortisona</w:t>
      </w:r>
      <w:proofErr w:type="spellEnd"/>
      <w:r>
        <w:rPr>
          <w:i/>
        </w:rPr>
        <w:t xml:space="preserve"> 50 µg/día en el shock con insuficiencia suprarrenal.</w:t>
      </w:r>
    </w:p>
    <w:p w14:paraId="485A0604" w14:textId="77777777" w:rsidR="00736A71" w:rsidRDefault="00B77AB3">
      <w:pPr>
        <w:pStyle w:val="Prrafodelista"/>
        <w:numPr>
          <w:ilvl w:val="0"/>
          <w:numId w:val="26"/>
        </w:numPr>
        <w:spacing w:after="80"/>
      </w:pPr>
      <w:r>
        <w:rPr>
          <w:i/>
        </w:rPr>
        <w:t>Otras precauciones de la SEMES 2012: no darla si hay hipersensibilidad, patología cerebral reciente o derivación de LCR, y asociar un inhibidor de la bomba de protones.</w:t>
      </w:r>
    </w:p>
    <w:p w14:paraId="40A5B3A6" w14:textId="77777777" w:rsidR="00736A71" w:rsidRDefault="00B77AB3">
      <w:r>
        <w:rPr>
          <w:i/>
        </w:rPr>
        <w:lastRenderedPageBreak/>
        <w:t>Evidencia (resumida por las guías):</w:t>
      </w:r>
    </w:p>
    <w:p w14:paraId="2FE9CC3C" w14:textId="77777777" w:rsidR="00736A71" w:rsidRDefault="00B77AB3">
      <w:pPr>
        <w:pStyle w:val="Prrafodelista"/>
        <w:numPr>
          <w:ilvl w:val="0"/>
          <w:numId w:val="26"/>
        </w:numPr>
        <w:spacing w:after="80"/>
      </w:pPr>
      <w:r>
        <w:rPr>
          <w:i/>
        </w:rPr>
        <w:t xml:space="preserve">La </w:t>
      </w:r>
      <w:r>
        <w:rPr>
          <w:b/>
          <w:i/>
        </w:rPr>
        <w:t>ESCMID</w:t>
      </w:r>
      <w:r>
        <w:rPr>
          <w:i/>
        </w:rPr>
        <w:t xml:space="preserve"> resume la revisión Cochrane (25 ECA, 4.121 pacientes): los corticoides </w:t>
      </w:r>
      <w:r>
        <w:rPr>
          <w:b/>
          <w:i/>
        </w:rPr>
        <w:t>reducen la hipoacusia y las secuelas neurológicas, pero no la mortalidad global</w:t>
      </w:r>
      <w:r>
        <w:rPr>
          <w:i/>
        </w:rPr>
        <w:t xml:space="preserve">. </w:t>
      </w:r>
      <w:r>
        <w:rPr>
          <w:b/>
          <w:i/>
        </w:rPr>
        <w:t>Sí reducen la mortalidad en la meningitis neumocócica</w:t>
      </w:r>
      <w:r>
        <w:rPr>
          <w:i/>
        </w:rPr>
        <w:t xml:space="preserve">; en la de H. </w:t>
      </w:r>
      <w:proofErr w:type="spellStart"/>
      <w:r>
        <w:rPr>
          <w:i/>
        </w:rPr>
        <w:t>influenzae</w:t>
      </w:r>
      <w:proofErr w:type="spellEnd"/>
      <w:r>
        <w:rPr>
          <w:i/>
        </w:rPr>
        <w:t xml:space="preserve"> el efecto más claro es sobre la hipoacusia; en la meningocócica no se demostró efecto. </w:t>
      </w:r>
      <w:r>
        <w:rPr>
          <w:b/>
          <w:i/>
        </w:rPr>
        <w:t>El beneficio aparece en los países de renta alta y no en los de renta baja</w:t>
      </w:r>
      <w:r>
        <w:rPr>
          <w:i/>
        </w:rPr>
        <w:t>, sin exceso de efectos adversos.</w:t>
      </w:r>
    </w:p>
    <w:p w14:paraId="374CE6F9" w14:textId="77777777" w:rsidR="00736A71" w:rsidRDefault="00B77AB3">
      <w:pPr>
        <w:pStyle w:val="Prrafodelista"/>
        <w:numPr>
          <w:ilvl w:val="0"/>
          <w:numId w:val="26"/>
        </w:numPr>
        <w:spacing w:after="80"/>
      </w:pPr>
      <w:r>
        <w:rPr>
          <w:i/>
        </w:rPr>
        <w:t xml:space="preserve">Según la </w:t>
      </w:r>
      <w:r>
        <w:rPr>
          <w:b/>
          <w:i/>
        </w:rPr>
        <w:t>NICE</w:t>
      </w:r>
      <w:r>
        <w:rPr>
          <w:i/>
        </w:rPr>
        <w:t xml:space="preserve">, en adultos la dexametasona a dosis altas </w:t>
      </w:r>
      <w:r>
        <w:rPr>
          <w:b/>
          <w:i/>
        </w:rPr>
        <w:t>redujo la mortalidad y la hipoacusia</w:t>
      </w:r>
      <w:r>
        <w:rPr>
          <w:i/>
        </w:rPr>
        <w:t>.</w:t>
      </w:r>
    </w:p>
    <w:p w14:paraId="1C45BBBF" w14:textId="77777777" w:rsidR="00736A71" w:rsidRDefault="00B77AB3">
      <w:pPr>
        <w:pStyle w:val="Prrafodelista"/>
        <w:numPr>
          <w:ilvl w:val="0"/>
          <w:numId w:val="26"/>
        </w:numPr>
        <w:spacing w:after="80"/>
      </w:pPr>
      <w:r>
        <w:rPr>
          <w:i/>
        </w:rPr>
        <w:t xml:space="preserve">Un metaanálisis de datos individuales mostró que reduce la hipoacusia </w:t>
      </w:r>
      <w:r>
        <w:rPr>
          <w:b/>
          <w:i/>
        </w:rPr>
        <w:t>tanto si se da antes como después del antibiótico</w:t>
      </w:r>
      <w:r>
        <w:rPr>
          <w:i/>
        </w:rPr>
        <w:t xml:space="preserve"> (ESCMID).</w:t>
      </w:r>
    </w:p>
    <w:p w14:paraId="3A404755" w14:textId="77777777" w:rsidR="00736A71" w:rsidRDefault="00B77AB3">
      <w:pPr>
        <w:pStyle w:val="Prrafodelista"/>
        <w:numPr>
          <w:ilvl w:val="0"/>
          <w:numId w:val="26"/>
        </w:numPr>
        <w:spacing w:after="80"/>
      </w:pPr>
      <w:r>
        <w:rPr>
          <w:i/>
        </w:rPr>
        <w:t xml:space="preserve">En la meningitis meningocócica del adulto es </w:t>
      </w:r>
      <w:r>
        <w:rPr>
          <w:b/>
          <w:i/>
        </w:rPr>
        <w:t>segura</w:t>
      </w:r>
      <w:r>
        <w:rPr>
          <w:i/>
        </w:rPr>
        <w:t>, pero no redujo significativamente la hipoacusia ni la mortalidad (ESCMID).</w:t>
      </w:r>
    </w:p>
    <w:p w14:paraId="4EFD6384" w14:textId="77777777" w:rsidR="00736A71" w:rsidRDefault="00B77AB3">
      <w:pPr>
        <w:pBdr>
          <w:left w:val="single" w:sz="12" w:space="7" w:color="B7CDD0"/>
        </w:pBdr>
        <w:spacing w:before="120" w:after="160"/>
        <w:ind w:left="170"/>
      </w:pPr>
      <w:r>
        <w:rPr>
          <w:i/>
          <w:color w:val="4F5F68"/>
        </w:rPr>
        <w:t xml:space="preserve">La SEMES 2012 recomendaba añadir rifampicina a la vancomicina cuando se da dexametasona, por la posible menor penetración de la vancomicina con la meninge menos inflamada. Ni la SEN 2025 ni la NICE 2024 lo recogen, y la ESCMID plantea la rifampicina como </w:t>
      </w:r>
      <w:r>
        <w:rPr>
          <w:b/>
          <w:i/>
          <w:color w:val="4F5F68"/>
        </w:rPr>
        <w:t>alternativa</w:t>
      </w:r>
      <w:r>
        <w:rPr>
          <w:i/>
          <w:color w:val="4F5F68"/>
        </w:rPr>
        <w:t xml:space="preserve"> a la vancomicina, no como añadido por la dexametasona.</w:t>
      </w:r>
    </w:p>
    <w:p w14:paraId="69DF9E69" w14:textId="77777777" w:rsidR="00736A71" w:rsidRDefault="00B77AB3">
      <w:pPr>
        <w:pStyle w:val="Ttulo2"/>
      </w:pPr>
      <w:bookmarkStart w:id="22" w:name="_Toc000510022"/>
      <w:r>
        <w:rPr>
          <w:color w:val="1C7C7D"/>
        </w:rPr>
        <w:t xml:space="preserve">8.2. </w:t>
      </w:r>
      <w:r>
        <w:t>Soporte</w:t>
      </w:r>
      <w:bookmarkEnd w:id="22"/>
    </w:p>
    <w:p w14:paraId="42CD0BB8" w14:textId="77777777" w:rsidR="00736A71" w:rsidRDefault="00B77AB3">
      <w:pPr>
        <w:pStyle w:val="Prrafodelista"/>
        <w:numPr>
          <w:ilvl w:val="0"/>
          <w:numId w:val="26"/>
        </w:numPr>
        <w:spacing w:after="80"/>
      </w:pPr>
      <w:r>
        <w:rPr>
          <w:b/>
          <w:color w:val="17384D"/>
        </w:rPr>
        <w:t>Soporte vital primero</w:t>
      </w:r>
      <w:r>
        <w:t xml:space="preserve">: vía aérea y oxigenación, </w:t>
      </w:r>
      <w:r>
        <w:rPr>
          <w:b/>
        </w:rPr>
        <w:t>fluidoterapia precoz y vasoactivos</w:t>
      </w:r>
      <w:r>
        <w:t xml:space="preserve"> si hay shock séptico, corrección de la coagulopatía y de las complicaciones metabólicas; </w:t>
      </w:r>
      <w:r>
        <w:rPr>
          <w:b/>
        </w:rPr>
        <w:t>valorar UCI según la gravedad</w:t>
      </w:r>
      <w:r>
        <w:t>.</w:t>
      </w:r>
    </w:p>
    <w:p w14:paraId="4F47690F" w14:textId="77777777" w:rsidR="00736A71" w:rsidRDefault="00B77AB3">
      <w:pPr>
        <w:pStyle w:val="Prrafodelista"/>
        <w:numPr>
          <w:ilvl w:val="0"/>
          <w:numId w:val="26"/>
        </w:numPr>
        <w:spacing w:after="80"/>
      </w:pPr>
      <w:r>
        <w:rPr>
          <w:b/>
        </w:rPr>
        <w:t>Líquidos de mantenimiento, sin restricción de rutina</w:t>
      </w:r>
      <w:r>
        <w:t xml:space="preserve">, y vigilar los electrolitos (sodio por el SIADH) (NICE 1.9.1). Por vía oral o enteral si se toleran (NICE 1.9.2). </w:t>
      </w:r>
      <w:r>
        <w:rPr>
          <w:i/>
        </w:rPr>
        <w:t>En la evidencia de la NICE (en niños), restringir líquidos aumentó el deterioro neurológico y la epilepsia.</w:t>
      </w:r>
    </w:p>
    <w:p w14:paraId="01964EC7" w14:textId="77777777" w:rsidR="00736A71" w:rsidRDefault="00B77AB3">
      <w:pPr>
        <w:pStyle w:val="Prrafodelista"/>
        <w:numPr>
          <w:ilvl w:val="0"/>
          <w:numId w:val="26"/>
        </w:numPr>
        <w:spacing w:after="80"/>
      </w:pPr>
      <w:r>
        <w:rPr>
          <w:b/>
          <w:color w:val="17384D"/>
        </w:rPr>
        <w:t>Fiebre elevada</w:t>
      </w:r>
      <w:r>
        <w:t xml:space="preserve">: tratarla con </w:t>
      </w:r>
      <w:r>
        <w:rPr>
          <w:b/>
        </w:rPr>
        <w:t>paracetamol</w:t>
      </w:r>
      <w:r>
        <w:t xml:space="preserve"> (Mensa 2026). </w:t>
      </w:r>
      <w:r>
        <w:rPr>
          <w:i/>
        </w:rPr>
        <w:t xml:space="preserve">La ESCMID 2016 no recomienda el paracetamol como adyuvante rutinario para mejorar el pronóstico de la MBA (grado D).</w:t>
      </w:r>
    </w:p>
    <w:p w14:paraId="7E58D219" w14:textId="77777777" w:rsidR="00736A71" w:rsidRDefault="00B77AB3">
      <w:pPr>
        <w:pStyle w:val="Prrafodelista"/>
        <w:numPr>
          <w:ilvl w:val="0"/>
          <w:numId w:val="26"/>
        </w:numPr>
        <w:spacing w:after="80"/>
      </w:pPr>
      <w:r>
        <w:rPr>
          <w:b/>
        </w:rPr>
        <w:t>Analgesia y antieméticos</w:t>
      </w:r>
      <w:r>
        <w:t xml:space="preserve"> según la situación clínica; monitorizar PA, FC, FR, temperatura y </w:t>
      </w:r>
      <w:proofErr w:type="spellStart"/>
      <w:r>
        <w:t>SatO</w:t>
      </w:r>
      <w:proofErr w:type="spellEnd"/>
      <w:r>
        <w:t>₂ (SEMES 2012).</w:t>
      </w:r>
    </w:p>
    <w:p w14:paraId="308116EC" w14:textId="77777777" w:rsidR="00736A71" w:rsidRDefault="00B77AB3">
      <w:pPr>
        <w:pStyle w:val="Prrafodelista"/>
        <w:numPr>
          <w:ilvl w:val="0"/>
          <w:numId w:val="26"/>
        </w:numPr>
        <w:spacing w:after="80"/>
      </w:pPr>
      <w:r>
        <w:rPr>
          <w:b/>
        </w:rPr>
        <w:t>NO usar</w:t>
      </w:r>
      <w:r>
        <w:t xml:space="preserve"> inmunoglobulinas, heparina ni proteína C activada (ESCMID, grado D).</w:t>
      </w:r>
    </w:p>
    <w:p w14:paraId="63593B44" w14:textId="77777777" w:rsidR="00736A71" w:rsidRDefault="00B77AB3">
      <w:pPr>
        <w:pStyle w:val="Prrafodelista"/>
        <w:numPr>
          <w:ilvl w:val="0"/>
          <w:numId w:val="26"/>
        </w:numPr>
        <w:spacing w:after="80"/>
      </w:pPr>
      <w:r>
        <w:rPr>
          <w:b/>
          <w:color w:val="17384D"/>
        </w:rPr>
        <w:t>Trombosis de senos venosos</w:t>
      </w:r>
      <w:r>
        <w:t xml:space="preserve">: no </w:t>
      </w:r>
      <w:proofErr w:type="spellStart"/>
      <w:r>
        <w:t>anticoagular</w:t>
      </w:r>
      <w:proofErr w:type="spellEnd"/>
      <w:r>
        <w:t xml:space="preserve"> en la fase aguda por el riesgo de hemorragia (ESCMID). Si el paciente ya recibe anticoagulantes, </w:t>
      </w:r>
      <w:r>
        <w:rPr>
          <w:b/>
        </w:rPr>
        <w:t>considerar su retirada durante la fase aguda</w:t>
      </w:r>
      <w:r>
        <w:t xml:space="preserve"> por el riesgo de hemorragia intracerebral (Mensa 2026; ESCMID).</w:t>
      </w:r>
    </w:p>
    <w:p w14:paraId="7143903E" w14:textId="77777777" w:rsidR="00736A71" w:rsidRDefault="00B77AB3">
      <w:pPr>
        <w:pStyle w:val="Prrafodelista"/>
        <w:numPr>
          <w:ilvl w:val="0"/>
          <w:numId w:val="26"/>
        </w:numPr>
        <w:spacing w:after="80"/>
      </w:pPr>
      <w:r>
        <w:rPr>
          <w:b/>
        </w:rPr>
        <w:t>No repetir la PL de rutina</w:t>
      </w:r>
      <w:r>
        <w:t xml:space="preserve"> durante la evolución. Ante un deterioro: TC o RM (mejor RM), EEG y nueva PL solo en casos seleccionados (ESCMID).</w:t>
      </w:r>
    </w:p>
    <w:p w14:paraId="480193FB" w14:textId="77777777" w:rsidR="00736A71" w:rsidRDefault="00B77AB3">
      <w:pPr>
        <w:pStyle w:val="Prrafodelista"/>
        <w:numPr>
          <w:ilvl w:val="0"/>
          <w:numId w:val="26"/>
        </w:numPr>
        <w:spacing w:after="80"/>
      </w:pPr>
      <w:r>
        <w:rPr>
          <w:b/>
        </w:rPr>
        <w:t>AISLAMIENTO RESPIRATORIO SI SE SOSPECHA MENINGOCOCO, durante las primeras 24 h de tratamiento</w:t>
      </w:r>
      <w:r>
        <w:t xml:space="preserve">; con otros gérmenes no hace falta (SEN 2025). </w:t>
      </w:r>
      <w:r>
        <w:rPr>
          <w:i/>
        </w:rPr>
        <w:t>La SEMES 2012 aislaba inicialmente toda sospecha de MBA; en esta revisión se adopta la recomendación de la SEN 2025.</w:t>
      </w:r>
    </w:p>
    <w:p w14:paraId="5C5A009F" w14:textId="77777777" w:rsidR="00736A71" w:rsidRDefault="00B77AB3">
      <w:pPr>
        <w:pStyle w:val="Ttulo3"/>
      </w:pPr>
      <w:r>
        <w:t>8.2.1. Hipertensión intracraneal en la MBA</w:t>
      </w:r>
    </w:p>
    <w:p w14:paraId="03D6C8E1" w14:textId="77777777" w:rsidR="00736A71" w:rsidRDefault="00B77AB3">
      <w:pPr>
        <w:pStyle w:val="Prrafodelista"/>
        <w:numPr>
          <w:ilvl w:val="0"/>
          <w:numId w:val="39"/>
        </w:numPr>
      </w:pPr>
      <w:r>
        <w:t xml:space="preserve"/>
      </w:r>
      <w:r>
        <w:rPr>
          <w:b/>
        </w:rPr>
        <w:t>Medidas iniciales.</w:t>
      </w:r>
      <w:r>
        <w:t xml:space="preserve"> Ante sospecha de HTIC, </w:t>
      </w:r>
      <w:r>
        <w:rPr>
          <w:b/>
        </w:rPr>
        <w:t>elevar la cabecera 30‑45°</w:t>
      </w:r>
      <w:r>
        <w:t xml:space="preserve">. Mensa añade </w:t>
      </w:r>
      <w:r>
        <w:rPr>
          <w:b/>
        </w:rPr>
        <w:t xml:space="preserve">mantener el sodio en valores normales y controlar la </w:t>
      </w:r>
      <w:r>
        <w:rPr>
          <w:b/>
        </w:rPr>
        <w:lastRenderedPageBreak/>
        <w:t>presión arterial</w:t>
      </w:r>
      <w:r>
        <w:t xml:space="preserve">; también propone </w:t>
      </w:r>
      <w:r>
        <w:rPr>
          <w:b/>
        </w:rPr>
        <w:t>albúmina en torno a 40 g/L</w:t>
      </w:r>
      <w:r>
        <w:t xml:space="preserve"> (Mensa 2026).</w:t>
      </w:r>
    </w:p>
    <w:p w14:paraId="61E50F8A" w14:textId="77777777" w:rsidR="00736A71" w:rsidRDefault="00B77AB3">
      <w:pPr>
        <w:pStyle w:val="Prrafodelista"/>
        <w:numPr>
          <w:ilvl w:val="0"/>
          <w:numId w:val="39"/>
        </w:numPr>
      </w:pPr>
      <w:r>
        <w:t xml:space="preserve"/>
      </w:r>
      <w:r>
        <w:rPr>
          <w:b/>
        </w:rPr>
        <w:t>Monitorización.</w:t>
      </w:r>
      <w:r>
        <w:t xml:space="preserve"> Si hay clínica de HTIC, </w:t>
      </w:r>
      <w:r>
        <w:rPr>
          <w:b/>
        </w:rPr>
        <w:t>considerar un transductor de presión intracraneal</w:t>
      </w:r>
      <w:r>
        <w:t xml:space="preserve"> (Mensa 2026). </w:t>
      </w:r>
      <w:r>
        <w:rPr>
          <w:i/>
        </w:rPr>
        <w:t xml:space="preserve">La NICE desaconseja la monitorización invasiva rutinaria y pide valoración especializada ante HTIC o hidrocefalia (NICE 1.9.6‑1.9.7); la ESCMID 2016 considera que la monitorización y el tratamiento de la PIC o de la perfusión cerebral pueden salvar la vida en pacientes seleccionados, pero no los recomienda de forma sistemática por evidencia insuficiente y posibles daños (grado C).</w:t>
      </w:r>
    </w:p>
    <w:p w14:paraId="2B921CFE" w14:textId="77777777" w:rsidR="00736A71" w:rsidRDefault="00B77AB3">
      <w:pPr>
        <w:pStyle w:val="Prrafodelista"/>
        <w:numPr>
          <w:ilvl w:val="0"/>
          <w:numId w:val="39"/>
        </w:numPr>
      </w:pPr>
      <w:r>
        <w:rPr>
          <w:b/>
        </w:rPr>
        <w:t xml:space="preserve">Tratamiento de la HTIC.</w:t>
      </w:r>
      <w:r>
        <w:rPr/>
        <w:t xml:space="preserve"> </w:t>
      </w:r>
      <w:r>
        <w:rPr>
          <w:b/>
        </w:rPr>
        <w:t xml:space="preserve">Manitol:</w:t>
      </w:r>
      <w:r>
        <w:rPr/>
        <w:t xml:space="preserve"> se sigue a la ESCMID 2016, que </w:t>
      </w:r>
      <w:r>
        <w:rPr>
          <w:b/>
        </w:rPr>
        <w:t xml:space="preserve">no recomienda su uso adyuvante rutinario (grado D)</w:t>
      </w:r>
      <w:r>
        <w:rPr/>
        <w:t xml:space="preserve"> y no establece una pauta de rescate ni una dosis. La NICE limita los osmóticos a situaciones seleccionadas y los contempla como medida temporal ante HTIC con riesgo de herniación, con consulta urgente a UCI (NICE 1.9.4‑1.9.5). En cambio, la SEN 2025 permite valorar manitol IV y Mensa 2026 recoge, ante HTIC, </w:t>
      </w:r>
      <w:r>
        <w:rPr>
          <w:b/>
        </w:rPr>
        <w:t xml:space="preserve">manitol 1‑2 g/kg IV en 30‑60 min</w:t>
      </w:r>
      <w:r>
        <w:rPr/>
        <w:t xml:space="preserve">. </w:t>
      </w:r>
      <w:r>
        <w:rPr>
          <w:b/>
        </w:rPr>
        <w:t xml:space="preserve">Hiperventilación:</w:t>
      </w:r>
      <w:r>
        <w:rPr/>
        <w:t xml:space="preserve"> la SEN 2025 permite considerarla y Mensa 2026 propone </w:t>
      </w:r>
      <w:r>
        <w:rPr>
          <w:b/>
        </w:rPr>
        <w:t xml:space="preserve">ventilación mecánica con una PaCO₂ de 25‑30 mmHg</w:t>
      </w:r>
      <w:r>
        <w:rPr/>
        <w:t xml:space="preserve">, sin concretar la duración; la ESCMID no da pauta ni objetivo de PaCO₂. No debe interpretarse como una medida sostenida de rutina. Ambas medidas requieren manejo especializado.</w:t>
      </w:r>
    </w:p>
    <w:p w14:paraId="1F6EF96B" w14:textId="77777777" w:rsidR="00736A71" w:rsidRDefault="00B77AB3">
      <w:pPr>
        <w:pStyle w:val="Prrafodelista"/>
        <w:numPr>
          <w:ilvl w:val="0"/>
          <w:numId w:val="39"/>
        </w:numPr>
      </w:pPr>
      <w:r>
        <w:t xml:space="preserve"/>
      </w:r>
      <w:r>
        <w:rPr>
          <w:b/>
        </w:rPr>
        <w:t>Manejo especializado.</w:t>
      </w:r>
      <w:r>
        <w:t xml:space="preserve"> Valorar con UCI y Neurocirugía las medidas dirigidas a la PIC y el drenaje si existe hidrocefalia (§8.2.2; NICE 1.9.5‑1.9.7; ESCMID 2016). </w:t>
      </w:r>
      <w:r>
        <w:rPr>
          <w:b/>
        </w:rPr>
        <w:t>No usar hipotermia terapéutica</w:t>
      </w:r>
      <w:r>
        <w:t xml:space="preserve"> (contraindicada según Mensa 2026; la ESCMID 2016 no la recomienda por exceso de mortalidad) ni </w:t>
      </w:r>
      <w:r>
        <w:rPr>
          <w:b/>
        </w:rPr>
        <w:t>glicerol</w:t>
      </w:r>
      <w:r>
        <w:t xml:space="preserve"> (ESCMID 2016; NICE 1.9.3).</w:t>
      </w:r>
    </w:p>
    <w:p w14:paraId="7F6339BC" w14:textId="77777777" w:rsidR="00736A71" w:rsidRDefault="00B77AB3">
      <w:r>
        <w:rPr>
          <w:b/>
          <w:color w:val="17384D"/>
        </w:rPr>
        <w:t xml:space="preserve">HTIC </w:t>
      </w:r>
      <w:proofErr w:type="spellStart"/>
      <w:r>
        <w:rPr>
          <w:b/>
          <w:color w:val="17384D"/>
        </w:rPr>
        <w:t>criptocócica</w:t>
      </w:r>
      <w:proofErr w:type="spellEnd"/>
      <w:r>
        <w:rPr>
          <w:b/>
          <w:color w:val="17384D"/>
        </w:rPr>
        <w:t>:</w:t>
      </w:r>
      <w:r>
        <w:t xml:space="preserve"> tiene un manejo específico; ver capítulo 7, §3.1.1. No aplicar indistintamente las medidas de la MBA y las PL evacuadoras de la criptococosis.</w:t>
      </w:r>
    </w:p>
    <w:p w14:paraId="1CAAE686" w14:textId="77777777" w:rsidR="00736A71" w:rsidRDefault="00B77AB3">
      <w:pPr>
        <w:pStyle w:val="Ttulo3"/>
      </w:pPr>
      <w:r>
        <w:t>8.2.2. Hidrocefalia</w:t>
      </w:r>
    </w:p>
    <w:p w14:paraId="635A54A8" w14:textId="77777777" w:rsidR="00736A71" w:rsidRDefault="00B77AB3">
      <w:r>
        <w:t xml:space="preserve">Se debe a la obstrucción de las cisternas basales por el exudado inflamatorio. </w:t>
      </w:r>
      <w:r>
        <w:rPr>
          <w:b/>
        </w:rPr>
        <w:t>Valorar Neurocirugía cuando la hidrocefalia es clínicamente relevante</w:t>
      </w:r>
      <w:r>
        <w:t xml:space="preserve"> (ESCMID 2016, tabla 4.5):</w:t>
      </w:r>
    </w:p>
    <w:p w14:paraId="1B6E90CB" w14:textId="77777777" w:rsidR="00736A71" w:rsidRDefault="00B77AB3">
      <w:pPr>
        <w:pStyle w:val="Prrafodelista"/>
        <w:numPr>
          <w:ilvl w:val="0"/>
          <w:numId w:val="26"/>
        </w:numPr>
        <w:spacing w:after="80"/>
      </w:pPr>
      <w:r>
        <w:rPr>
          <w:b/>
          <w:color w:val="17384D"/>
        </w:rPr>
        <w:t>Obstructiva</w:t>
      </w:r>
      <w:r>
        <w:t xml:space="preserve">: </w:t>
      </w:r>
      <w:r>
        <w:rPr>
          <w:b/>
        </w:rPr>
        <w:t>drenaje ventricular externo</w:t>
      </w:r>
      <w:r>
        <w:t xml:space="preserve"> (Mensa 2026; ESCMID 2016).</w:t>
      </w:r>
    </w:p>
    <w:p w14:paraId="7BB57477" w14:textId="77777777" w:rsidR="00736A71" w:rsidRDefault="00B77AB3">
      <w:pPr>
        <w:pStyle w:val="Prrafodelista"/>
        <w:numPr>
          <w:ilvl w:val="0"/>
          <w:numId w:val="26"/>
        </w:numPr>
        <w:spacing w:after="80"/>
      </w:pPr>
      <w:r>
        <w:rPr>
          <w:b/>
          <w:color w:val="17384D"/>
        </w:rPr>
        <w:t>Comunicante</w:t>
      </w:r>
      <w:r>
        <w:t xml:space="preserve">: pueden considerarse </w:t>
      </w:r>
      <w:r>
        <w:rPr>
          <w:b/>
        </w:rPr>
        <w:t>PL repetidas o drenaje lumbar externo</w:t>
      </w:r>
      <w:r>
        <w:t xml:space="preserve"> (Mensa 2026; ESCMID 2016), tras valorar las contraindicaciones y la seguridad de la vía lumbar (§4.2). </w:t>
      </w:r>
      <w:r>
        <w:rPr>
          <w:i/>
        </w:rPr>
        <w:t>ESCMID las contempla en pacientes despiertos que puedan monitorizarse clínicamente y advierte que pueden no ser necesarias.</w:t>
      </w:r>
    </w:p>
    <w:p w14:paraId="7B41E653" w14:textId="77777777" w:rsidR="00736A71" w:rsidRDefault="00B77AB3">
      <w:pPr>
        <w:pStyle w:val="Ttulo3"/>
      </w:pPr>
      <w:r>
        <w:t>8.2.3. Crisis epilépticas</w:t>
      </w:r>
    </w:p>
    <w:p w14:paraId="2A2DE9FA" w14:textId="77777777" w:rsidR="00736A71" w:rsidRDefault="00B77AB3">
      <w:r>
        <w:t>Las crisis se deben a la inflamación cortical y son algo más frecuentes en la meningitis neumocócica; las precoces y el estado epiléptico son factores de mal pronóstico.</w:t>
      </w:r>
    </w:p>
    <w:p w14:paraId="3E75DDFB" w14:textId="77777777" w:rsidR="00736A71" w:rsidRDefault="00B77AB3">
      <w:pPr>
        <w:pBdr>
          <w:left w:val="single" w:sz="12" w:space="7" w:color="B7CDD0"/>
        </w:pBdr>
        <w:spacing w:before="120" w:after="160"/>
        <w:ind w:left="170"/>
      </w:pPr>
      <w:r>
        <w:rPr>
          <w:b/>
          <w:i/>
          <w:color w:val="4F5F68"/>
        </w:rPr>
        <w:t>Mensa 2026:</w:t>
      </w:r>
      <w:r>
        <w:rPr>
          <w:i/>
          <w:color w:val="4F5F68"/>
        </w:rPr>
        <w:t xml:space="preserve"> en meningitis neumocócica propone </w:t>
      </w:r>
      <w:r>
        <w:rPr>
          <w:b/>
          <w:i/>
          <w:color w:val="4F5F68"/>
        </w:rPr>
        <w:t>considerar</w:t>
      </w:r>
      <w:r>
        <w:rPr>
          <w:i/>
          <w:color w:val="4F5F68"/>
        </w:rPr>
        <w:t xml:space="preserve"> profilaxis, no administrarla de forma universal. Las pautas reseñadas son </w:t>
      </w:r>
      <w:r>
        <w:rPr>
          <w:b/>
          <w:i/>
          <w:color w:val="4F5F68"/>
        </w:rPr>
        <w:t>levetiracetam 20 mg/kg IV en 15 min, seguido de 500 mg cada 12 h</w:t>
      </w:r>
      <w:r>
        <w:rPr>
          <w:i/>
          <w:color w:val="4F5F68"/>
        </w:rPr>
        <w:t xml:space="preserve"> (sin especificar la vía de mantenimiento), o </w:t>
      </w:r>
      <w:r>
        <w:rPr>
          <w:b/>
          <w:i/>
          <w:color w:val="4F5F68"/>
        </w:rPr>
        <w:t>fenitoína (</w:t>
      </w:r>
      <w:proofErr w:type="spellStart"/>
      <w:r>
        <w:rPr>
          <w:b/>
          <w:i/>
          <w:color w:val="4F5F68"/>
        </w:rPr>
        <w:t>difenilhidantoína</w:t>
      </w:r>
      <w:proofErr w:type="spellEnd"/>
      <w:r>
        <w:rPr>
          <w:b/>
          <w:i/>
          <w:color w:val="4F5F68"/>
        </w:rPr>
        <w:t>), carga de 18 mg/kg en solución salina a 50 mg/min</w:t>
      </w:r>
      <w:r>
        <w:rPr>
          <w:i/>
          <w:color w:val="4F5F68"/>
        </w:rPr>
        <w:t xml:space="preserve">, reduciendo la velocidad a </w:t>
      </w:r>
      <w:r>
        <w:rPr>
          <w:b/>
          <w:i/>
          <w:color w:val="4F5F68"/>
        </w:rPr>
        <w:t>25 mg/min en ancianos o con cardiopatía</w:t>
      </w:r>
      <w:r>
        <w:rPr>
          <w:i/>
          <w:color w:val="4F5F68"/>
        </w:rPr>
        <w:t xml:space="preserve">, seguida de </w:t>
      </w:r>
      <w:r>
        <w:rPr>
          <w:b/>
          <w:i/>
          <w:color w:val="4F5F68"/>
        </w:rPr>
        <w:t>2 mg/kg IV cada 8 h</w:t>
      </w:r>
      <w:r>
        <w:rPr>
          <w:i/>
          <w:color w:val="4F5F68"/>
        </w:rPr>
        <w:t xml:space="preserve">. No se especifica duración de la profilaxis. </w:t>
      </w:r>
      <w:r>
        <w:rPr>
          <w:b/>
          <w:i/>
          <w:color w:val="4F5F68"/>
        </w:rPr>
        <w:t>Discrepancia:</w:t>
      </w:r>
      <w:r>
        <w:rPr>
          <w:i/>
          <w:color w:val="4F5F68"/>
        </w:rPr>
        <w:t xml:space="preserve"> la ESCMID 2016 desaconseja la profilaxis rutinaria (grado D).</w:t>
      </w:r>
    </w:p>
    <w:p w14:paraId="4AD1CEEF" w14:textId="77777777" w:rsidR="00736A71" w:rsidRDefault="00B77AB3">
      <w:pPr>
        <w:pStyle w:val="Ttulo2"/>
      </w:pPr>
      <w:bookmarkStart w:id="23" w:name="_Toc000510023"/>
      <w:r>
        <w:rPr>
          <w:color w:val="1C7C7D"/>
        </w:rPr>
        <w:lastRenderedPageBreak/>
        <w:t xml:space="preserve">8.3. </w:t>
      </w:r>
      <w:r>
        <w:t>Complicaciones del adulto (ESCMID 2016, tabla 4.5)</w:t>
      </w:r>
      <w:bookmarkEnd w:id="23"/>
    </w:p>
    <w:tbl>
      <w:tblPr>
        <w:tblW w:w="0" w:type="auto"/>
        <w:jc w:val="center"/>
        <w:tblBorders>
          <w:top w:val="single" w:sz="8" w:space="0" w:color="17384D"/>
          <w:left w:val="nil"/>
          <w:bottom w:val="single" w:sz="12" w:space="0" w:color="17384D"/>
          <w:right w:val="nil"/>
          <w:insideH w:val="single" w:sz="4" w:space="0" w:color="D3DEE3"/>
          <w:insideV w:val="single" w:sz="6" w:space="0" w:color="FFFFFF"/>
        </w:tblBorders>
        <w:tblLayout w:type="fixed"/>
        <w:tblLook w:val="04A0" w:firstRow="1" w:lastRow="0" w:firstColumn="1" w:lastColumn="0" w:noHBand="0" w:noVBand="1"/>
      </w:tblPr>
      <w:tblGrid>
        <w:gridCol w:w="2494"/>
        <w:gridCol w:w="1417"/>
        <w:gridCol w:w="5499"/>
      </w:tblGrid>
      <w:tr w:rsidR="00736A71" w14:paraId="549BE807" w14:textId="77777777">
        <w:trPr>
          <w:cantSplit/>
          <w:tblHeader/>
          <w:jc w:val="center"/>
        </w:trPr>
        <w:tc>
          <w:tcPr>
            <w:tcW w:w="2494" w:type="dxa"/>
            <w:shd w:val="clear" w:color="auto" w:fill="17384D"/>
            <w:tcMar>
              <w:top w:w="95" w:type="dxa"/>
              <w:left w:w="115" w:type="dxa"/>
              <w:bottom w:w="95" w:type="dxa"/>
              <w:right w:w="115" w:type="dxa"/>
            </w:tcMar>
            <w:vAlign w:val="center"/>
          </w:tcPr>
          <w:p w14:paraId="6DFC7E1D" w14:textId="77777777" w:rsidR="00736A71" w:rsidRDefault="00B77AB3">
            <w:pPr>
              <w:keepNext/>
              <w:keepLines/>
              <w:suppressAutoHyphens/>
              <w:spacing w:after="0" w:line="252" w:lineRule="auto"/>
              <w:jc w:val="left"/>
            </w:pPr>
            <w:r>
              <w:rPr>
                <w:rFonts w:ascii="Calibri" w:hAnsi="Calibri"/>
                <w:b/>
                <w:color w:val="FFFFFF"/>
                <w:spacing w:val="4"/>
                <w:sz w:val="20"/>
                <w:szCs w:val="20"/>
              </w:rPr>
              <w:t>Complicación</w:t>
            </w:r>
          </w:p>
        </w:tc>
        <w:tc>
          <w:tcPr>
            <w:tcW w:w="1417" w:type="dxa"/>
            <w:shd w:val="clear" w:color="auto" w:fill="17384D"/>
            <w:tcMar>
              <w:top w:w="95" w:type="dxa"/>
              <w:left w:w="115" w:type="dxa"/>
              <w:bottom w:w="95" w:type="dxa"/>
              <w:right w:w="115" w:type="dxa"/>
            </w:tcMar>
            <w:vAlign w:val="center"/>
          </w:tcPr>
          <w:p w14:paraId="0A7F0FD5" w14:textId="77777777" w:rsidR="00736A71" w:rsidRDefault="00B77AB3">
            <w:pPr>
              <w:keepNext/>
              <w:keepLines/>
              <w:suppressAutoHyphens/>
              <w:spacing w:after="0" w:line="252" w:lineRule="auto"/>
              <w:jc w:val="center"/>
            </w:pPr>
            <w:r>
              <w:rPr>
                <w:rFonts w:ascii="Calibri" w:hAnsi="Calibri"/>
                <w:b/>
                <w:color w:val="FFFFFF"/>
                <w:spacing w:val="4"/>
                <w:sz w:val="20"/>
                <w:szCs w:val="20"/>
              </w:rPr>
              <w:t>Frecuencia</w:t>
            </w:r>
          </w:p>
        </w:tc>
        <w:tc>
          <w:tcPr>
            <w:tcW w:w="5499" w:type="dxa"/>
            <w:shd w:val="clear" w:color="auto" w:fill="17384D"/>
            <w:tcMar>
              <w:top w:w="95" w:type="dxa"/>
              <w:left w:w="115" w:type="dxa"/>
              <w:bottom w:w="95" w:type="dxa"/>
              <w:right w:w="115" w:type="dxa"/>
            </w:tcMar>
            <w:vAlign w:val="center"/>
          </w:tcPr>
          <w:p w14:paraId="478F0411" w14:textId="77777777" w:rsidR="00736A71" w:rsidRDefault="00B77AB3">
            <w:pPr>
              <w:keepNext/>
              <w:keepLines/>
              <w:suppressAutoHyphens/>
              <w:spacing w:after="0" w:line="252" w:lineRule="auto"/>
              <w:jc w:val="left"/>
            </w:pPr>
            <w:r>
              <w:rPr>
                <w:rFonts w:ascii="Calibri" w:hAnsi="Calibri"/>
                <w:b/>
                <w:color w:val="FFFFFF"/>
                <w:spacing w:val="4"/>
                <w:sz w:val="20"/>
                <w:szCs w:val="20"/>
              </w:rPr>
              <w:t>Actuación</w:t>
            </w:r>
          </w:p>
        </w:tc>
      </w:tr>
      <w:tr w:rsidR="00736A71" w14:paraId="624639F7" w14:textId="77777777">
        <w:trPr>
          <w:cantSplit/>
          <w:jc w:val="center"/>
        </w:trPr>
        <w:tc>
          <w:tcPr>
            <w:tcW w:w="2494" w:type="dxa"/>
            <w:shd w:val="clear" w:color="auto" w:fill="F2F6F8"/>
            <w:tcMar>
              <w:top w:w="95" w:type="dxa"/>
              <w:left w:w="115" w:type="dxa"/>
              <w:bottom w:w="95" w:type="dxa"/>
              <w:right w:w="115" w:type="dxa"/>
            </w:tcMar>
          </w:tcPr>
          <w:p w14:paraId="7C2124F0" w14:textId="77777777" w:rsidR="00736A71" w:rsidRDefault="00B77AB3">
            <w:pPr>
              <w:keepNext/>
              <w:keepLines/>
              <w:suppressAutoHyphens/>
              <w:spacing w:after="0" w:line="252" w:lineRule="auto"/>
              <w:jc w:val="left"/>
            </w:pPr>
            <w:r>
              <w:rPr>
                <w:rFonts w:ascii="Calibri" w:hAnsi="Calibri"/>
                <w:color w:val="17384D"/>
                <w:sz w:val="21"/>
              </w:rPr>
              <w:t>Infarto isquémico</w:t>
            </w:r>
          </w:p>
        </w:tc>
        <w:tc>
          <w:tcPr>
            <w:tcW w:w="1417" w:type="dxa"/>
            <w:shd w:val="clear" w:color="auto" w:fill="F2F6F8"/>
            <w:tcMar>
              <w:top w:w="95" w:type="dxa"/>
              <w:left w:w="115" w:type="dxa"/>
              <w:bottom w:w="95" w:type="dxa"/>
              <w:right w:w="115" w:type="dxa"/>
            </w:tcMar>
          </w:tcPr>
          <w:p w14:paraId="1E930792" w14:textId="77777777" w:rsidR="00736A71" w:rsidRDefault="00B77AB3">
            <w:pPr>
              <w:keepNext/>
              <w:keepLines/>
              <w:suppressAutoHyphens/>
              <w:spacing w:after="0" w:line="252" w:lineRule="auto"/>
              <w:jc w:val="center"/>
            </w:pPr>
            <w:r>
              <w:rPr>
                <w:rFonts w:ascii="Calibri" w:hAnsi="Calibri"/>
                <w:sz w:val="21"/>
              </w:rPr>
              <w:t>14‑25 %</w:t>
            </w:r>
          </w:p>
        </w:tc>
        <w:tc>
          <w:tcPr>
            <w:tcW w:w="5499" w:type="dxa"/>
            <w:shd w:val="clear" w:color="auto" w:fill="F2F6F8"/>
            <w:tcMar>
              <w:top w:w="95" w:type="dxa"/>
              <w:left w:w="115" w:type="dxa"/>
              <w:bottom w:w="95" w:type="dxa"/>
              <w:right w:w="115" w:type="dxa"/>
            </w:tcMar>
          </w:tcPr>
          <w:p w14:paraId="09963399" w14:textId="77777777" w:rsidR="00736A71" w:rsidRDefault="00B77AB3">
            <w:pPr>
              <w:keepNext/>
              <w:keepLines/>
              <w:suppressAutoHyphens/>
              <w:spacing w:after="0" w:line="252" w:lineRule="auto"/>
              <w:jc w:val="left"/>
            </w:pPr>
            <w:r>
              <w:rPr>
                <w:rFonts w:ascii="Calibri" w:hAnsi="Calibri"/>
                <w:sz w:val="21"/>
              </w:rPr>
              <w:t>TC o RM; sin tratamiento específico</w:t>
            </w:r>
          </w:p>
        </w:tc>
      </w:tr>
      <w:tr w:rsidR="00736A71" w14:paraId="37421D36" w14:textId="77777777">
        <w:trPr>
          <w:cantSplit/>
          <w:jc w:val="center"/>
        </w:trPr>
        <w:tc>
          <w:tcPr>
            <w:tcW w:w="2494" w:type="dxa"/>
            <w:shd w:val="clear" w:color="auto" w:fill="FFFFFF"/>
            <w:tcMar>
              <w:top w:w="95" w:type="dxa"/>
              <w:left w:w="115" w:type="dxa"/>
              <w:bottom w:w="95" w:type="dxa"/>
              <w:right w:w="115" w:type="dxa"/>
            </w:tcMar>
          </w:tcPr>
          <w:p w14:paraId="3B2A9A36" w14:textId="77777777" w:rsidR="00736A71" w:rsidRDefault="00B77AB3">
            <w:pPr>
              <w:keepNext/>
              <w:keepLines/>
              <w:suppressAutoHyphens/>
              <w:spacing w:after="0" w:line="252" w:lineRule="auto"/>
              <w:jc w:val="left"/>
            </w:pPr>
            <w:r>
              <w:rPr>
                <w:rFonts w:ascii="Calibri" w:hAnsi="Calibri"/>
                <w:color w:val="17384D"/>
                <w:sz w:val="21"/>
              </w:rPr>
              <w:t>Sepsis grave</w:t>
            </w:r>
          </w:p>
        </w:tc>
        <w:tc>
          <w:tcPr>
            <w:tcW w:w="1417" w:type="dxa"/>
            <w:shd w:val="clear" w:color="auto" w:fill="FFFFFF"/>
            <w:tcMar>
              <w:top w:w="95" w:type="dxa"/>
              <w:left w:w="115" w:type="dxa"/>
              <w:bottom w:w="95" w:type="dxa"/>
              <w:right w:w="115" w:type="dxa"/>
            </w:tcMar>
          </w:tcPr>
          <w:p w14:paraId="6C6AEF84" w14:textId="77777777" w:rsidR="00736A71" w:rsidRDefault="00B77AB3">
            <w:pPr>
              <w:keepNext/>
              <w:keepLines/>
              <w:suppressAutoHyphens/>
              <w:spacing w:after="0" w:line="252" w:lineRule="auto"/>
              <w:jc w:val="center"/>
            </w:pPr>
            <w:r>
              <w:rPr>
                <w:rFonts w:ascii="Calibri" w:hAnsi="Calibri"/>
                <w:sz w:val="21"/>
              </w:rPr>
              <w:t>15 %</w:t>
            </w:r>
          </w:p>
        </w:tc>
        <w:tc>
          <w:tcPr>
            <w:tcW w:w="5499" w:type="dxa"/>
            <w:shd w:val="clear" w:color="auto" w:fill="FFFFFF"/>
            <w:tcMar>
              <w:top w:w="95" w:type="dxa"/>
              <w:left w:w="115" w:type="dxa"/>
              <w:bottom w:w="95" w:type="dxa"/>
              <w:right w:w="115" w:type="dxa"/>
            </w:tcMar>
          </w:tcPr>
          <w:p w14:paraId="5D739C5A" w14:textId="77777777" w:rsidR="00736A71" w:rsidRDefault="00B77AB3">
            <w:pPr>
              <w:keepNext/>
              <w:keepLines/>
              <w:suppressAutoHyphens/>
              <w:spacing w:after="0" w:line="252" w:lineRule="auto"/>
              <w:jc w:val="left"/>
            </w:pPr>
            <w:r>
              <w:rPr>
                <w:rFonts w:ascii="Calibri" w:hAnsi="Calibri"/>
                <w:sz w:val="21"/>
              </w:rPr>
              <w:t>Buscar otros focos (neumonía, endocarditis); manejo de la sepsis y UCI</w:t>
            </w:r>
          </w:p>
        </w:tc>
      </w:tr>
      <w:tr w:rsidR="00736A71" w14:paraId="718BDEC7" w14:textId="77777777">
        <w:trPr>
          <w:cantSplit/>
          <w:jc w:val="center"/>
        </w:trPr>
        <w:tc>
          <w:tcPr>
            <w:tcW w:w="2494" w:type="dxa"/>
            <w:shd w:val="clear" w:color="auto" w:fill="F2F6F8"/>
            <w:tcMar>
              <w:top w:w="95" w:type="dxa"/>
              <w:left w:w="115" w:type="dxa"/>
              <w:bottom w:w="95" w:type="dxa"/>
              <w:right w:w="115" w:type="dxa"/>
            </w:tcMar>
          </w:tcPr>
          <w:p w14:paraId="7E676566" w14:textId="77777777" w:rsidR="00736A71" w:rsidRDefault="00B77AB3">
            <w:pPr>
              <w:keepNext/>
              <w:keepLines/>
              <w:suppressAutoHyphens/>
              <w:spacing w:after="0" w:line="252" w:lineRule="auto"/>
              <w:jc w:val="left"/>
            </w:pPr>
            <w:r>
              <w:rPr>
                <w:rFonts w:ascii="Calibri" w:hAnsi="Calibri"/>
                <w:b/>
                <w:color w:val="17384D"/>
                <w:sz w:val="21"/>
              </w:rPr>
              <w:t>Hipoacusia</w:t>
            </w:r>
          </w:p>
        </w:tc>
        <w:tc>
          <w:tcPr>
            <w:tcW w:w="1417" w:type="dxa"/>
            <w:shd w:val="clear" w:color="auto" w:fill="F2F6F8"/>
            <w:tcMar>
              <w:top w:w="95" w:type="dxa"/>
              <w:left w:w="115" w:type="dxa"/>
              <w:bottom w:w="95" w:type="dxa"/>
              <w:right w:w="115" w:type="dxa"/>
            </w:tcMar>
          </w:tcPr>
          <w:p w14:paraId="5FA9F084" w14:textId="77777777" w:rsidR="00736A71" w:rsidRDefault="00B77AB3">
            <w:pPr>
              <w:keepNext/>
              <w:keepLines/>
              <w:suppressAutoHyphens/>
              <w:spacing w:after="0" w:line="252" w:lineRule="auto"/>
              <w:jc w:val="center"/>
            </w:pPr>
            <w:r>
              <w:rPr>
                <w:rFonts w:ascii="Calibri" w:hAnsi="Calibri"/>
                <w:b/>
                <w:sz w:val="21"/>
              </w:rPr>
              <w:t>17‑22 %</w:t>
            </w:r>
          </w:p>
        </w:tc>
        <w:tc>
          <w:tcPr>
            <w:tcW w:w="5499" w:type="dxa"/>
            <w:shd w:val="clear" w:color="auto" w:fill="F2F6F8"/>
            <w:tcMar>
              <w:top w:w="95" w:type="dxa"/>
              <w:left w:w="115" w:type="dxa"/>
              <w:bottom w:w="95" w:type="dxa"/>
              <w:right w:w="115" w:type="dxa"/>
            </w:tcMar>
          </w:tcPr>
          <w:p w14:paraId="157CD88A" w14:textId="77777777" w:rsidR="00736A71" w:rsidRDefault="00B77AB3">
            <w:pPr>
              <w:keepNext/>
              <w:keepLines/>
              <w:suppressAutoHyphens/>
              <w:spacing w:after="0" w:line="252" w:lineRule="auto"/>
              <w:jc w:val="left"/>
            </w:pPr>
            <w:r>
              <w:rPr>
                <w:rFonts w:ascii="Calibri" w:hAnsi="Calibri"/>
                <w:sz w:val="21"/>
              </w:rPr>
              <w:t>Audiometría; implante coclear</w:t>
            </w:r>
          </w:p>
        </w:tc>
      </w:tr>
      <w:tr w:rsidR="00736A71" w14:paraId="712F3168" w14:textId="77777777">
        <w:trPr>
          <w:cantSplit/>
          <w:jc w:val="center"/>
        </w:trPr>
        <w:tc>
          <w:tcPr>
            <w:tcW w:w="2494" w:type="dxa"/>
            <w:shd w:val="clear" w:color="auto" w:fill="FFFFFF"/>
            <w:tcMar>
              <w:top w:w="95" w:type="dxa"/>
              <w:left w:w="115" w:type="dxa"/>
              <w:bottom w:w="95" w:type="dxa"/>
              <w:right w:w="115" w:type="dxa"/>
            </w:tcMar>
          </w:tcPr>
          <w:p w14:paraId="1DEE5E6C" w14:textId="77777777" w:rsidR="00736A71" w:rsidRDefault="00B77AB3">
            <w:pPr>
              <w:keepNext/>
              <w:keepLines/>
              <w:suppressAutoHyphens/>
              <w:spacing w:after="0" w:line="252" w:lineRule="auto"/>
              <w:jc w:val="left"/>
            </w:pPr>
            <w:r>
              <w:rPr>
                <w:rFonts w:ascii="Calibri" w:hAnsi="Calibri"/>
                <w:color w:val="17384D"/>
                <w:sz w:val="21"/>
              </w:rPr>
              <w:t>Hidrocefalia</w:t>
            </w:r>
          </w:p>
        </w:tc>
        <w:tc>
          <w:tcPr>
            <w:tcW w:w="1417" w:type="dxa"/>
            <w:shd w:val="clear" w:color="auto" w:fill="FFFFFF"/>
            <w:tcMar>
              <w:top w:w="95" w:type="dxa"/>
              <w:left w:w="115" w:type="dxa"/>
              <w:bottom w:w="95" w:type="dxa"/>
              <w:right w:w="115" w:type="dxa"/>
            </w:tcMar>
          </w:tcPr>
          <w:p w14:paraId="5CA91EE3" w14:textId="77777777" w:rsidR="00736A71" w:rsidRDefault="00B77AB3">
            <w:pPr>
              <w:keepNext/>
              <w:keepLines/>
              <w:suppressAutoHyphens/>
              <w:spacing w:after="0" w:line="252" w:lineRule="auto"/>
              <w:jc w:val="center"/>
            </w:pPr>
            <w:r>
              <w:rPr>
                <w:rFonts w:ascii="Calibri" w:hAnsi="Calibri"/>
                <w:sz w:val="21"/>
              </w:rPr>
              <w:t>3‑5 %</w:t>
            </w:r>
          </w:p>
        </w:tc>
        <w:tc>
          <w:tcPr>
            <w:tcW w:w="5499" w:type="dxa"/>
            <w:shd w:val="clear" w:color="auto" w:fill="FFFFFF"/>
            <w:tcMar>
              <w:top w:w="95" w:type="dxa"/>
              <w:left w:w="115" w:type="dxa"/>
              <w:bottom w:w="95" w:type="dxa"/>
              <w:right w:w="115" w:type="dxa"/>
            </w:tcMar>
          </w:tcPr>
          <w:p w14:paraId="5F12D982" w14:textId="77777777" w:rsidR="00736A71" w:rsidRDefault="00B77AB3">
            <w:pPr>
              <w:keepNext/>
              <w:suppressAutoHyphens/>
              <w:spacing w:after="0" w:line="252" w:lineRule="auto"/>
              <w:jc w:val="left"/>
            </w:pPr>
            <w:r>
              <w:rPr>
                <w:rFonts w:ascii="Calibri" w:hAnsi="Calibri"/>
                <w:sz w:val="21"/>
              </w:rPr>
              <w:t>Valoración de drenaje si es clínicamente relevante; modalidades en §8.2.2</w:t>
            </w:r>
          </w:p>
        </w:tc>
      </w:tr>
      <w:tr w:rsidR="00736A71" w14:paraId="6DF4EFE3" w14:textId="77777777">
        <w:trPr>
          <w:cantSplit/>
          <w:jc w:val="center"/>
        </w:trPr>
        <w:tc>
          <w:tcPr>
            <w:tcW w:w="2494" w:type="dxa"/>
            <w:shd w:val="clear" w:color="auto" w:fill="F2F6F8"/>
            <w:tcMar>
              <w:top w:w="95" w:type="dxa"/>
              <w:left w:w="115" w:type="dxa"/>
              <w:bottom w:w="95" w:type="dxa"/>
              <w:right w:w="115" w:type="dxa"/>
            </w:tcMar>
          </w:tcPr>
          <w:p w14:paraId="3A87532D" w14:textId="77777777" w:rsidR="00736A71" w:rsidRDefault="00B77AB3">
            <w:pPr>
              <w:keepNext/>
              <w:keepLines/>
              <w:suppressAutoHyphens/>
              <w:spacing w:after="0" w:line="252" w:lineRule="auto"/>
              <w:jc w:val="left"/>
            </w:pPr>
            <w:r>
              <w:rPr>
                <w:rFonts w:ascii="Calibri" w:hAnsi="Calibri"/>
                <w:color w:val="17384D"/>
                <w:sz w:val="21"/>
              </w:rPr>
              <w:t>Hemorragia cerebral</w:t>
            </w:r>
          </w:p>
        </w:tc>
        <w:tc>
          <w:tcPr>
            <w:tcW w:w="1417" w:type="dxa"/>
            <w:shd w:val="clear" w:color="auto" w:fill="F2F6F8"/>
            <w:tcMar>
              <w:top w:w="95" w:type="dxa"/>
              <w:left w:w="115" w:type="dxa"/>
              <w:bottom w:w="95" w:type="dxa"/>
              <w:right w:w="115" w:type="dxa"/>
            </w:tcMar>
          </w:tcPr>
          <w:p w14:paraId="748EAA81" w14:textId="77777777" w:rsidR="00736A71" w:rsidRDefault="00B77AB3">
            <w:pPr>
              <w:keepNext/>
              <w:keepLines/>
              <w:suppressAutoHyphens/>
              <w:spacing w:after="0" w:line="252" w:lineRule="auto"/>
              <w:jc w:val="center"/>
            </w:pPr>
            <w:r>
              <w:rPr>
                <w:rFonts w:ascii="Calibri" w:hAnsi="Calibri"/>
                <w:sz w:val="21"/>
              </w:rPr>
              <w:t>3 %</w:t>
            </w:r>
          </w:p>
        </w:tc>
        <w:tc>
          <w:tcPr>
            <w:tcW w:w="5499" w:type="dxa"/>
            <w:shd w:val="clear" w:color="auto" w:fill="F2F6F8"/>
            <w:tcMar>
              <w:top w:w="95" w:type="dxa"/>
              <w:left w:w="115" w:type="dxa"/>
              <w:bottom w:w="95" w:type="dxa"/>
              <w:right w:w="115" w:type="dxa"/>
            </w:tcMar>
          </w:tcPr>
          <w:p w14:paraId="203009CE" w14:textId="77777777" w:rsidR="00736A71" w:rsidRDefault="00B77AB3">
            <w:pPr>
              <w:keepNext/>
              <w:keepLines/>
              <w:suppressAutoHyphens/>
              <w:spacing w:after="0" w:line="252" w:lineRule="auto"/>
              <w:jc w:val="left"/>
            </w:pPr>
            <w:r>
              <w:rPr>
                <w:rFonts w:ascii="Calibri" w:hAnsi="Calibri"/>
                <w:sz w:val="21"/>
              </w:rPr>
              <w:t>Valorar neurocirugía</w:t>
            </w:r>
          </w:p>
        </w:tc>
      </w:tr>
      <w:tr w:rsidR="00736A71" w14:paraId="547A0BF9" w14:textId="77777777">
        <w:trPr>
          <w:cantSplit/>
          <w:jc w:val="center"/>
        </w:trPr>
        <w:tc>
          <w:tcPr>
            <w:tcW w:w="2494" w:type="dxa"/>
            <w:shd w:val="clear" w:color="auto" w:fill="FFFFFF"/>
            <w:tcMar>
              <w:top w:w="95" w:type="dxa"/>
              <w:left w:w="115" w:type="dxa"/>
              <w:bottom w:w="95" w:type="dxa"/>
              <w:right w:w="115" w:type="dxa"/>
            </w:tcMar>
          </w:tcPr>
          <w:p w14:paraId="68A3BF50" w14:textId="77777777" w:rsidR="00736A71" w:rsidRDefault="00B77AB3">
            <w:pPr>
              <w:keepNext/>
              <w:keepLines/>
              <w:suppressAutoHyphens/>
              <w:spacing w:after="0" w:line="252" w:lineRule="auto"/>
              <w:jc w:val="left"/>
            </w:pPr>
            <w:r>
              <w:rPr>
                <w:rFonts w:ascii="Calibri" w:hAnsi="Calibri"/>
                <w:color w:val="17384D"/>
                <w:sz w:val="21"/>
              </w:rPr>
              <w:t>Empiema subdural</w:t>
            </w:r>
          </w:p>
        </w:tc>
        <w:tc>
          <w:tcPr>
            <w:tcW w:w="1417" w:type="dxa"/>
            <w:shd w:val="clear" w:color="auto" w:fill="FFFFFF"/>
            <w:tcMar>
              <w:top w:w="95" w:type="dxa"/>
              <w:left w:w="115" w:type="dxa"/>
              <w:bottom w:w="95" w:type="dxa"/>
              <w:right w:w="115" w:type="dxa"/>
            </w:tcMar>
          </w:tcPr>
          <w:p w14:paraId="6CEF56F9" w14:textId="77777777" w:rsidR="00736A71" w:rsidRDefault="00B77AB3">
            <w:pPr>
              <w:keepNext/>
              <w:keepLines/>
              <w:suppressAutoHyphens/>
              <w:spacing w:after="0" w:line="252" w:lineRule="auto"/>
              <w:jc w:val="center"/>
            </w:pPr>
            <w:r>
              <w:rPr>
                <w:rFonts w:ascii="Calibri" w:hAnsi="Calibri"/>
                <w:sz w:val="21"/>
              </w:rPr>
              <w:t>3 %</w:t>
            </w:r>
          </w:p>
        </w:tc>
        <w:tc>
          <w:tcPr>
            <w:tcW w:w="5499" w:type="dxa"/>
            <w:shd w:val="clear" w:color="auto" w:fill="FFFFFF"/>
            <w:tcMar>
              <w:top w:w="95" w:type="dxa"/>
              <w:left w:w="115" w:type="dxa"/>
              <w:bottom w:w="95" w:type="dxa"/>
              <w:right w:w="115" w:type="dxa"/>
            </w:tcMar>
          </w:tcPr>
          <w:p w14:paraId="34E8726A" w14:textId="77777777" w:rsidR="00736A71" w:rsidRDefault="00B77AB3">
            <w:pPr>
              <w:keepNext/>
              <w:keepLines/>
              <w:suppressAutoHyphens/>
              <w:spacing w:after="0" w:line="252" w:lineRule="auto"/>
              <w:jc w:val="left"/>
            </w:pPr>
            <w:r>
              <w:rPr>
                <w:rFonts w:ascii="Calibri" w:hAnsi="Calibri"/>
                <w:sz w:val="21"/>
              </w:rPr>
              <w:t>Valorar neurocirugía</w:t>
            </w:r>
          </w:p>
        </w:tc>
      </w:tr>
      <w:tr w:rsidR="00736A71" w14:paraId="6FF34A78" w14:textId="77777777">
        <w:trPr>
          <w:cantSplit/>
          <w:jc w:val="center"/>
        </w:trPr>
        <w:tc>
          <w:tcPr>
            <w:tcW w:w="2494" w:type="dxa"/>
            <w:shd w:val="clear" w:color="auto" w:fill="F2F6F8"/>
            <w:tcMar>
              <w:top w:w="95" w:type="dxa"/>
              <w:left w:w="115" w:type="dxa"/>
              <w:bottom w:w="95" w:type="dxa"/>
              <w:right w:w="115" w:type="dxa"/>
            </w:tcMar>
          </w:tcPr>
          <w:p w14:paraId="692A2386" w14:textId="77777777" w:rsidR="00736A71" w:rsidRDefault="00B77AB3">
            <w:pPr>
              <w:keepNext/>
              <w:keepLines/>
              <w:suppressAutoHyphens/>
              <w:spacing w:after="0" w:line="252" w:lineRule="auto"/>
              <w:jc w:val="left"/>
            </w:pPr>
            <w:r>
              <w:rPr>
                <w:rFonts w:ascii="Calibri" w:hAnsi="Calibri"/>
                <w:color w:val="17384D"/>
                <w:sz w:val="21"/>
              </w:rPr>
              <w:t>Absceso cerebral</w:t>
            </w:r>
          </w:p>
        </w:tc>
        <w:tc>
          <w:tcPr>
            <w:tcW w:w="1417" w:type="dxa"/>
            <w:shd w:val="clear" w:color="auto" w:fill="F2F6F8"/>
            <w:tcMar>
              <w:top w:w="95" w:type="dxa"/>
              <w:left w:w="115" w:type="dxa"/>
              <w:bottom w:w="95" w:type="dxa"/>
              <w:right w:w="115" w:type="dxa"/>
            </w:tcMar>
          </w:tcPr>
          <w:p w14:paraId="10A1C43E" w14:textId="77777777" w:rsidR="00736A71" w:rsidRDefault="00B77AB3">
            <w:pPr>
              <w:keepNext/>
              <w:keepLines/>
              <w:suppressAutoHyphens/>
              <w:spacing w:after="0" w:line="252" w:lineRule="auto"/>
              <w:jc w:val="center"/>
            </w:pPr>
            <w:r>
              <w:rPr>
                <w:rFonts w:ascii="Calibri" w:hAnsi="Calibri"/>
                <w:sz w:val="21"/>
              </w:rPr>
              <w:t>2 %</w:t>
            </w:r>
          </w:p>
        </w:tc>
        <w:tc>
          <w:tcPr>
            <w:tcW w:w="5499" w:type="dxa"/>
            <w:shd w:val="clear" w:color="auto" w:fill="F2F6F8"/>
            <w:tcMar>
              <w:top w:w="95" w:type="dxa"/>
              <w:left w:w="115" w:type="dxa"/>
              <w:bottom w:w="95" w:type="dxa"/>
              <w:right w:w="115" w:type="dxa"/>
            </w:tcMar>
          </w:tcPr>
          <w:p w14:paraId="28F23BF7" w14:textId="77777777" w:rsidR="00736A71" w:rsidRDefault="00B77AB3">
            <w:pPr>
              <w:keepNext/>
              <w:keepLines/>
              <w:suppressAutoHyphens/>
              <w:spacing w:after="0" w:line="252" w:lineRule="auto"/>
              <w:jc w:val="left"/>
            </w:pPr>
            <w:r>
              <w:rPr>
                <w:rFonts w:ascii="Calibri" w:hAnsi="Calibri"/>
                <w:sz w:val="21"/>
              </w:rPr>
              <w:t>Valorar neurocirugía</w:t>
            </w:r>
          </w:p>
        </w:tc>
      </w:tr>
      <w:tr w:rsidR="00736A71" w14:paraId="17F9D558" w14:textId="77777777">
        <w:trPr>
          <w:cantSplit/>
          <w:jc w:val="center"/>
        </w:trPr>
        <w:tc>
          <w:tcPr>
            <w:tcW w:w="2494" w:type="dxa"/>
            <w:shd w:val="clear" w:color="auto" w:fill="FFFFFF"/>
            <w:tcMar>
              <w:top w:w="95" w:type="dxa"/>
              <w:left w:w="115" w:type="dxa"/>
              <w:bottom w:w="95" w:type="dxa"/>
              <w:right w:w="115" w:type="dxa"/>
            </w:tcMar>
          </w:tcPr>
          <w:p w14:paraId="637CD255" w14:textId="77777777" w:rsidR="00736A71" w:rsidRDefault="00B77AB3">
            <w:pPr>
              <w:keepLines/>
              <w:suppressAutoHyphens/>
              <w:spacing w:after="0" w:line="252" w:lineRule="auto"/>
              <w:jc w:val="left"/>
            </w:pPr>
            <w:r>
              <w:rPr>
                <w:rFonts w:ascii="Calibri" w:hAnsi="Calibri"/>
                <w:color w:val="17384D"/>
                <w:sz w:val="21"/>
              </w:rPr>
              <w:t>Trombosis de senos</w:t>
            </w:r>
          </w:p>
        </w:tc>
        <w:tc>
          <w:tcPr>
            <w:tcW w:w="1417" w:type="dxa"/>
            <w:shd w:val="clear" w:color="auto" w:fill="FFFFFF"/>
            <w:tcMar>
              <w:top w:w="95" w:type="dxa"/>
              <w:left w:w="115" w:type="dxa"/>
              <w:bottom w:w="95" w:type="dxa"/>
              <w:right w:w="115" w:type="dxa"/>
            </w:tcMar>
          </w:tcPr>
          <w:p w14:paraId="469DE0B8" w14:textId="77777777" w:rsidR="00736A71" w:rsidRDefault="00B77AB3">
            <w:pPr>
              <w:keepLines/>
              <w:suppressAutoHyphens/>
              <w:spacing w:after="0" w:line="252" w:lineRule="auto"/>
              <w:jc w:val="center"/>
            </w:pPr>
            <w:r>
              <w:rPr>
                <w:rFonts w:ascii="Calibri" w:hAnsi="Calibri"/>
                <w:sz w:val="21"/>
              </w:rPr>
              <w:t>1 %</w:t>
            </w:r>
          </w:p>
        </w:tc>
        <w:tc>
          <w:tcPr>
            <w:tcW w:w="5499" w:type="dxa"/>
            <w:shd w:val="clear" w:color="auto" w:fill="FFFFFF"/>
            <w:tcMar>
              <w:top w:w="95" w:type="dxa"/>
              <w:left w:w="115" w:type="dxa"/>
              <w:bottom w:w="95" w:type="dxa"/>
              <w:right w:w="115" w:type="dxa"/>
            </w:tcMar>
          </w:tcPr>
          <w:p w14:paraId="31C2C484" w14:textId="77777777" w:rsidR="00736A71" w:rsidRDefault="00B77AB3">
            <w:pPr>
              <w:keepLines/>
              <w:suppressAutoHyphens/>
              <w:spacing w:after="0" w:line="252" w:lineRule="auto"/>
              <w:jc w:val="left"/>
            </w:pPr>
            <w:r>
              <w:rPr>
                <w:rFonts w:ascii="Calibri" w:hAnsi="Calibri"/>
                <w:sz w:val="21"/>
              </w:rPr>
              <w:t>Sin tratamiento de eficacia demostrada</w:t>
            </w:r>
          </w:p>
        </w:tc>
      </w:tr>
    </w:tbl>
    <w:p w14:paraId="667A5F31" w14:textId="77777777" w:rsidR="00736A71" w:rsidRDefault="00736A71">
      <w:pPr>
        <w:widowControl w:val="0"/>
        <w:spacing w:after="0" w:line="140" w:lineRule="exact"/>
      </w:pPr>
    </w:p>
    <w:p w14:paraId="7FA2CCEA" w14:textId="77777777" w:rsidR="00736A71" w:rsidRDefault="00B77AB3">
      <w:pPr>
        <w:pBdr>
          <w:left w:val="single" w:sz="12" w:space="7" w:color="B7CDD0"/>
        </w:pBdr>
        <w:spacing w:before="120" w:after="160"/>
        <w:ind w:left="170"/>
      </w:pPr>
      <w:r>
        <w:rPr>
          <w:i/>
          <w:color w:val="4F5F68"/>
        </w:rPr>
        <w:t>Otras complicaciones (SEMES 2012): shock séptico, síndrome de Waterhouse-Friderichsen, CID, SIADH, SDRA y parálisis de pares craneales. Mecanismo de las principales: crisis por inflamación cortical, infartos por arteritis oclusiva, hidrocefalia por obstrucción de las cisternas basales por el exudado y edema cerebral difuso; la hiponatremia se debe al SIADH. Crisis epilépticas: §8.2.3; complicaciones de la PL: capítulo 8.</w:t>
      </w:r>
    </w:p>
    <w:p w14:paraId="239C1F5A" w14:textId="77777777" w:rsidR="00736A71" w:rsidRDefault="00B77AB3">
      <w:pPr>
        <w:pBdr>
          <w:left w:val="single" w:sz="12" w:space="7" w:color="B7CDD0"/>
        </w:pBdr>
        <w:spacing w:before="120" w:after="160"/>
        <w:ind w:left="170"/>
      </w:pPr>
      <w:r>
        <w:rPr>
          <w:i/>
          <w:color w:val="4F5F68"/>
        </w:rPr>
        <w:t xml:space="preserve">Mensa 2026: el empiema subdural o el absceso cerebral suelen requerir intervención quirúrgica. Para su manejo específico, ver los capítulos 4 (absceso cerebral) y 5 (infecciones </w:t>
      </w:r>
      <w:proofErr w:type="spellStart"/>
      <w:r>
        <w:rPr>
          <w:i/>
          <w:color w:val="4F5F68"/>
        </w:rPr>
        <w:t>parameníngeas</w:t>
      </w:r>
      <w:proofErr w:type="spellEnd"/>
      <w:r>
        <w:rPr>
          <w:i/>
          <w:color w:val="4F5F68"/>
        </w:rPr>
        <w:t>).</w:t>
      </w:r>
    </w:p>
    <w:p w14:paraId="376B7A5D" w14:textId="77777777" w:rsidR="00736A71" w:rsidRDefault="00B77AB3">
      <w:pPr>
        <w:pStyle w:val="Ttulo1"/>
      </w:pPr>
      <w:bookmarkStart w:id="24" w:name="_Toc000510024"/>
      <w:r>
        <w:rPr>
          <w:color w:val="1C7C7D"/>
        </w:rPr>
        <w:t xml:space="preserve">9. </w:t>
      </w:r>
      <w:r>
        <w:t>Criterios de ingreso</w:t>
      </w:r>
      <w:bookmarkEnd w:id="24"/>
    </w:p>
    <w:p w14:paraId="3142243E" w14:textId="77777777" w:rsidR="00736A71" w:rsidRDefault="00B77AB3">
      <w:pPr>
        <w:pStyle w:val="Prrafodelista"/>
        <w:keepLines/>
        <w:numPr>
          <w:ilvl w:val="0"/>
          <w:numId w:val="28"/>
        </w:numPr>
        <w:spacing w:after="80"/>
      </w:pPr>
      <w:r>
        <w:rPr>
          <w:b/>
          <w:color w:val="C00000"/>
        </w:rPr>
        <w:t>Todo paciente con MBA ingresa</w:t>
      </w:r>
      <w:r>
        <w:t xml:space="preserve"> (SEMES 2012).</w:t>
      </w:r>
    </w:p>
    <w:p w14:paraId="51752BEC" w14:textId="77777777" w:rsidR="00736A71" w:rsidRDefault="00B77AB3">
      <w:pPr>
        <w:pStyle w:val="Prrafodelista"/>
        <w:keepLines/>
        <w:numPr>
          <w:ilvl w:val="0"/>
          <w:numId w:val="28"/>
        </w:numPr>
        <w:spacing w:after="80"/>
      </w:pPr>
      <w:r>
        <w:rPr>
          <w:b/>
          <w:color w:val="17384D"/>
        </w:rPr>
        <w:t>UCI</w:t>
      </w:r>
      <w:r>
        <w:t xml:space="preserve">: deterioro neurológico o </w:t>
      </w:r>
      <w:r>
        <w:rPr>
          <w:b/>
        </w:rPr>
        <w:t>GCS &lt;11</w:t>
      </w:r>
      <w:r>
        <w:t xml:space="preserve">, crisis, </w:t>
      </w:r>
      <w:r>
        <w:rPr>
          <w:b/>
        </w:rPr>
        <w:t>shock séptico</w:t>
      </w:r>
      <w:r>
        <w:t>, CID, signos de HTIC o necesidad de intubación y ventilación mecánica (SEMES 2012).</w:t>
      </w:r>
    </w:p>
    <w:p w14:paraId="1722EEEE" w14:textId="77777777" w:rsidR="00736A71" w:rsidRDefault="00B77AB3">
      <w:pPr>
        <w:pStyle w:val="Prrafodelista"/>
        <w:keepNext/>
        <w:keepLines/>
        <w:numPr>
          <w:ilvl w:val="0"/>
          <w:numId w:val="28"/>
        </w:numPr>
        <w:spacing w:after="80"/>
      </w:pPr>
      <w:r>
        <w:rPr>
          <w:b/>
        </w:rPr>
        <w:t>Observación en urgencias</w:t>
      </w:r>
      <w:r>
        <w:t xml:space="preserve"> (SEMES 2012):</w:t>
      </w:r>
    </w:p>
    <w:p w14:paraId="3234CD0B" w14:textId="77777777" w:rsidR="00736A71" w:rsidRDefault="00B77AB3">
      <w:pPr>
        <w:pStyle w:val="Prrafodelista"/>
        <w:keepLines/>
        <w:numPr>
          <w:ilvl w:val="0"/>
          <w:numId w:val="29"/>
        </w:numPr>
        <w:spacing w:after="40"/>
      </w:pPr>
      <w:r>
        <w:t>LCR no concluyente: vigilancia.</w:t>
      </w:r>
    </w:p>
    <w:p w14:paraId="2EAAFBC2" w14:textId="77777777" w:rsidR="00736A71" w:rsidRDefault="00B77AB3">
      <w:pPr>
        <w:pStyle w:val="Prrafodelista"/>
        <w:keepLines/>
        <w:numPr>
          <w:ilvl w:val="0"/>
          <w:numId w:val="29"/>
        </w:numPr>
        <w:spacing w:after="40"/>
      </w:pPr>
      <w:r>
        <w:t>Síndrome meníngeo sin diagnóstico confirmado, con estabilidad hemodinámica y neurológica.</w:t>
      </w:r>
    </w:p>
    <w:p w14:paraId="7089165E" w14:textId="77777777" w:rsidR="00736A71" w:rsidRDefault="00B77AB3">
      <w:pPr>
        <w:pStyle w:val="Prrafodelista"/>
        <w:keepLines/>
        <w:numPr>
          <w:ilvl w:val="0"/>
          <w:numId w:val="29"/>
        </w:numPr>
        <w:spacing w:after="40"/>
      </w:pPr>
      <w:r>
        <w:t>Tras una PL en urgencias, 4‑8 h de observación antes del alta, las 2 primeras en decúbito.</w:t>
      </w:r>
    </w:p>
    <w:p w14:paraId="562C0CA2" w14:textId="77777777" w:rsidR="00736A71" w:rsidRDefault="00B77AB3">
      <w:pPr>
        <w:pStyle w:val="Prrafodelista"/>
        <w:keepLines/>
        <w:numPr>
          <w:ilvl w:val="0"/>
          <w:numId w:val="28"/>
        </w:numPr>
        <w:spacing w:after="80"/>
      </w:pPr>
      <w:r>
        <w:t>Sospecha de meningitis vírica: observación si el diagnóstico es seguro y la situación clínica es buena (SEMES 2012). Si persiste la sospecha de MBA, iniciar el tratamiento empírico sin demoras y consultar con Infecciosas (ESCMID 2016; NICE 1.6.8).</w:t>
      </w:r>
    </w:p>
    <w:p w14:paraId="72ED7FAF" w14:textId="77777777" w:rsidR="00736A71" w:rsidRDefault="00B77AB3">
      <w:pPr>
        <w:pStyle w:val="Prrafodelista"/>
        <w:keepLines/>
        <w:numPr>
          <w:ilvl w:val="0"/>
          <w:numId w:val="28"/>
        </w:numPr>
        <w:spacing w:after="80"/>
      </w:pPr>
      <w:r>
        <w:t>Si se le da el alta con un diagnóstico no confirmado: explicar qué síntomas vigilar y pedirle que vuelva si aparecen síntomas nuevos, si un exantema deja de desaparecer a la presión o si empeora (NICE 1.1.16, 1.3.2).</w:t>
      </w:r>
    </w:p>
    <w:p w14:paraId="1C485ECD" w14:textId="77777777" w:rsidR="00736A71" w:rsidRDefault="00B77AB3">
      <w:pPr>
        <w:pStyle w:val="Ttulo1"/>
      </w:pPr>
      <w:bookmarkStart w:id="25" w:name="_Toc000510025"/>
      <w:r>
        <w:rPr>
          <w:color w:val="1C7C7D"/>
        </w:rPr>
        <w:lastRenderedPageBreak/>
        <w:t xml:space="preserve">10. </w:t>
      </w:r>
      <w:r>
        <w:t>Profilaxis de contactos y salud pública</w:t>
      </w:r>
      <w:bookmarkEnd w:id="25"/>
    </w:p>
    <w:p w14:paraId="1F69ACA0" w14:textId="77777777" w:rsidR="00736A71" w:rsidRDefault="00B77AB3">
      <w:pPr>
        <w:keepLines/>
      </w:pPr>
      <w:r>
        <w:rPr>
          <w:b/>
        </w:rPr>
        <w:t>Avisar a Salud Pública (Sanidad) y a Medicina Preventiva</w:t>
      </w:r>
      <w:r>
        <w:t xml:space="preserve"> ante toda MBA, sobre todo si se sospecha meningococo (SEMES 2012).</w:t>
      </w:r>
    </w:p>
    <w:p w14:paraId="34103AE9" w14:textId="77777777" w:rsidR="00736A71" w:rsidRDefault="00B77AB3">
      <w:pPr>
        <w:keepNext/>
        <w:keepLines/>
      </w:pPr>
      <w:r>
        <w:rPr>
          <w:b/>
        </w:rPr>
        <w:t>¿A quién? (meningococo)</w:t>
      </w:r>
      <w:r>
        <w:t xml:space="preserve"> (ESCMID, grado A; SEMES 2012):</w:t>
      </w:r>
    </w:p>
    <w:p w14:paraId="6DB0CCBE" w14:textId="77777777" w:rsidR="00736A71" w:rsidRDefault="00B77AB3">
      <w:pPr>
        <w:pStyle w:val="Prrafodelista"/>
        <w:keepLines/>
        <w:numPr>
          <w:ilvl w:val="0"/>
          <w:numId w:val="30"/>
        </w:numPr>
        <w:spacing w:after="80"/>
      </w:pPr>
      <w:r>
        <w:rPr>
          <w:b/>
          <w:color w:val="17384D"/>
        </w:rPr>
        <w:t>Convivientes y contactos íntimos o diarios</w:t>
      </w:r>
      <w:r>
        <w:t>: domicilio, habitación, guardería.</w:t>
      </w:r>
    </w:p>
    <w:p w14:paraId="32AB7588" w14:textId="77777777" w:rsidR="00736A71" w:rsidRDefault="00B77AB3">
      <w:pPr>
        <w:pStyle w:val="Prrafodelista"/>
        <w:keepLines/>
        <w:numPr>
          <w:ilvl w:val="0"/>
          <w:numId w:val="30"/>
        </w:numPr>
        <w:spacing w:after="80"/>
      </w:pPr>
      <w:r>
        <w:rPr>
          <w:b/>
        </w:rPr>
        <w:t>Cualquiera expuesto directamente a secreciones orales</w:t>
      </w:r>
      <w:r>
        <w:t xml:space="preserve"> del paciente.</w:t>
      </w:r>
    </w:p>
    <w:p w14:paraId="76C8BA72" w14:textId="77777777" w:rsidR="00736A71" w:rsidRDefault="00B77AB3">
      <w:pPr>
        <w:pStyle w:val="Prrafodelista"/>
        <w:keepLines/>
        <w:numPr>
          <w:ilvl w:val="0"/>
          <w:numId w:val="30"/>
        </w:numPr>
        <w:spacing w:after="80"/>
      </w:pPr>
      <w:r>
        <w:rPr>
          <w:b/>
          <w:color w:val="17384D"/>
        </w:rPr>
        <w:t>No convivientes con contacto muy próximo y repetido</w:t>
      </w:r>
      <w:r>
        <w:t>: &gt;4 h/día, o haber dormido en la misma habitación en los 10 días previos.</w:t>
      </w:r>
    </w:p>
    <w:p w14:paraId="0DA591AA" w14:textId="77777777" w:rsidR="00736A71" w:rsidRDefault="00B77AB3">
      <w:pPr>
        <w:pStyle w:val="Prrafodelista"/>
        <w:keepLines/>
        <w:numPr>
          <w:ilvl w:val="0"/>
          <w:numId w:val="30"/>
        </w:numPr>
        <w:spacing w:after="80"/>
      </w:pPr>
      <w:r>
        <w:rPr>
          <w:b/>
        </w:rPr>
        <w:t>Personal sanitario expuesto a secreciones nasofaríngeas</w:t>
      </w:r>
      <w:r>
        <w:t xml:space="preserve"> (intubación o aspiración sin protección) o al LCR del paciente.</w:t>
      </w:r>
    </w:p>
    <w:p w14:paraId="23D1F01D" w14:textId="77777777" w:rsidR="00736A71" w:rsidRDefault="00B77AB3">
      <w:pPr>
        <w:keepNext/>
        <w:keepLines/>
        <w:pBdr>
          <w:top w:val="single" w:sz="4" w:space="5" w:color="E9F4F4"/>
          <w:left w:val="single" w:sz="24" w:space="8" w:color="1C7C7D"/>
          <w:bottom w:val="single" w:sz="4" w:space="5" w:color="E9F4F4"/>
          <w:right w:val="single" w:sz="4" w:space="8" w:color="E9F4F4"/>
        </w:pBdr>
        <w:shd w:val="clear" w:color="auto" w:fill="E9F4F4"/>
        <w:spacing w:before="160" w:after="160"/>
        <w:ind w:left="220" w:right="170"/>
      </w:pPr>
      <w:r>
        <w:rPr>
          <w:rFonts w:ascii="Calibri" w:hAnsi="Calibri" w:cs="Calibri"/>
          <w:b/>
          <w:color w:val="1C7C7D"/>
        </w:rPr>
        <w:t xml:space="preserve">→ </w:t>
      </w:r>
      <w:r>
        <w:rPr>
          <w:b/>
          <w:color w:val="C00000"/>
        </w:rPr>
        <w:t>QUIMIOPROFILAXIS DEL MENINGOCOCO</w:t>
      </w:r>
      <w:r>
        <w:t xml:space="preserve"> (ESCMID, grado A), </w:t>
      </w:r>
      <w:r>
        <w:rPr>
          <w:b/>
          <w:color w:val="C00000"/>
        </w:rPr>
        <w:t>en las primeras 24 h</w:t>
      </w:r>
      <w:r>
        <w:t xml:space="preserve"> (ESCMID; SEMES 2012):</w:t>
      </w:r>
    </w:p>
    <w:p w14:paraId="47F55BB5" w14:textId="77777777" w:rsidR="00736A71" w:rsidRDefault="00B77AB3">
      <w:pPr>
        <w:pStyle w:val="Prrafodelista"/>
        <w:keepLines/>
        <w:numPr>
          <w:ilvl w:val="0"/>
          <w:numId w:val="31"/>
        </w:numPr>
        <w:spacing w:after="80"/>
      </w:pPr>
      <w:r>
        <w:rPr>
          <w:b/>
        </w:rPr>
        <w:t>CIPROFLOXACINO 500 mg VO en dosis única</w:t>
      </w:r>
      <w:r>
        <w:t xml:space="preserve"> (en &gt;16 años; </w:t>
      </w:r>
      <w:r>
        <w:rPr>
          <w:i/>
        </w:rPr>
        <w:t>no recomendable en la embarazada</w:t>
      </w:r>
      <w:r>
        <w:t>), o</w:t>
      </w:r>
    </w:p>
    <w:p w14:paraId="2ACBFA0F" w14:textId="77777777" w:rsidR="00736A71" w:rsidRDefault="00B77AB3">
      <w:pPr>
        <w:pStyle w:val="Prrafodelista"/>
        <w:keepLines/>
        <w:numPr>
          <w:ilvl w:val="0"/>
          <w:numId w:val="31"/>
        </w:numPr>
        <w:spacing w:after="80"/>
      </w:pPr>
      <w:r>
        <w:rPr>
          <w:b/>
        </w:rPr>
        <w:t>CEFTRIAXONA 250 mg IM en dosis única</w:t>
      </w:r>
      <w:r>
        <w:t xml:space="preserve"> (</w:t>
      </w:r>
      <w:r>
        <w:rPr>
          <w:b/>
        </w:rPr>
        <w:t>de elección en la embarazada</w:t>
      </w:r>
      <w:r>
        <w:t>; 125 mg en &lt;16 años).</w:t>
      </w:r>
    </w:p>
    <w:p w14:paraId="6E44D9FA" w14:textId="77777777" w:rsidR="00736A71" w:rsidRDefault="00B77AB3">
      <w:pPr>
        <w:pStyle w:val="Prrafodelista"/>
        <w:keepLines/>
        <w:numPr>
          <w:ilvl w:val="0"/>
          <w:numId w:val="31"/>
        </w:numPr>
        <w:spacing w:after="80"/>
      </w:pPr>
      <w:r>
        <w:rPr>
          <w:b/>
        </w:rPr>
        <w:t>RIFAMPICINA 600 mg VO cada 12 h durante 2 días</w:t>
      </w:r>
      <w:r>
        <w:t xml:space="preserve"> (ESCMID; SEMES 2012). En el embarazo, solo a partir del primer trimestre (SEN 2025; ESCMID; la SEMES 2012 la contraindicaba en toda la gestación). La SEMES 2012 la contraindica también en la hepatopatía grave, el alcoholismo, la porfiria, la hipersensibilidad a la rifampicina y si se toman anticonceptivos orales.</w:t>
      </w:r>
    </w:p>
    <w:p w14:paraId="626B456D" w14:textId="77777777" w:rsidR="00736A71" w:rsidRDefault="00B77AB3">
      <w:pPr>
        <w:pStyle w:val="Prrafodelista"/>
        <w:numPr>
          <w:ilvl w:val="0"/>
          <w:numId w:val="31"/>
        </w:numPr>
        <w:spacing w:after="80"/>
      </w:pPr>
      <w:r>
        <w:rPr>
          <w:b/>
          <w:color w:val="17384D"/>
        </w:rPr>
        <w:t>El propio paciente</w:t>
      </w:r>
      <w:r>
        <w:t xml:space="preserve">: si se ha tratado con </w:t>
      </w:r>
      <w:r>
        <w:rPr>
          <w:b/>
        </w:rPr>
        <w:t>penicilina</w:t>
      </w:r>
      <w:r>
        <w:t xml:space="preserve">, necesita una pauta </w:t>
      </w:r>
      <w:proofErr w:type="spellStart"/>
      <w:r>
        <w:t>erradicadora</w:t>
      </w:r>
      <w:proofErr w:type="spellEnd"/>
      <w:r>
        <w:t xml:space="preserve"> antes del alta; </w:t>
      </w:r>
      <w:r>
        <w:rPr>
          <w:b/>
        </w:rPr>
        <w:t>si ha recibido ceftriaxona IV, no</w:t>
      </w:r>
      <w:r>
        <w:t xml:space="preserve"> (ESCMID). </w:t>
      </w:r>
      <w:r>
        <w:rPr>
          <w:i/>
        </w:rPr>
        <w:t xml:space="preserve">Mensa 2026 coincide en que la penicilina no elimina N. </w:t>
      </w:r>
      <w:proofErr w:type="spellStart"/>
      <w:r>
        <w:rPr>
          <w:i/>
        </w:rPr>
        <w:t>meningitidis</w:t>
      </w:r>
      <w:proofErr w:type="spellEnd"/>
      <w:r>
        <w:rPr>
          <w:i/>
        </w:rPr>
        <w:t xml:space="preserve"> de la faringe.</w:t>
      </w:r>
    </w:p>
    <w:p w14:paraId="48535F4F" w14:textId="77777777" w:rsidR="00736A71" w:rsidRDefault="00B77AB3">
      <w:pPr>
        <w:keepLines/>
      </w:pPr>
      <w:r>
        <w:t xml:space="preserve">Evidencia (resumida por la ESCMID): según la revisión Cochrane, </w:t>
      </w:r>
      <w:r>
        <w:rPr>
          <w:b/>
        </w:rPr>
        <w:t>ceftriaxona, rifampicina y ciprofloxacino son los más eficaces</w:t>
      </w:r>
      <w:r>
        <w:t xml:space="preserve"> para prevenir casos secundarios y erradicar el meningococo de la nasofaringe. El riesgo de enfermedad meningocócica de los contactos cercanos está multiplicado por </w:t>
      </w:r>
      <w:r>
        <w:rPr>
          <w:b/>
        </w:rPr>
        <w:t>400‑800</w:t>
      </w:r>
      <w:r>
        <w:t>, sobre todo en los convivientes.</w:t>
      </w:r>
    </w:p>
    <w:p w14:paraId="417C2514" w14:textId="77777777" w:rsidR="00736A71" w:rsidRDefault="00B77AB3">
      <w:pPr>
        <w:keepLines/>
      </w:pPr>
      <w:r>
        <w:rPr>
          <w:b/>
          <w:i/>
        </w:rPr>
        <w:t xml:space="preserve">H. </w:t>
      </w:r>
      <w:proofErr w:type="spellStart"/>
      <w:r>
        <w:rPr>
          <w:b/>
          <w:i/>
        </w:rPr>
        <w:t>influenzae</w:t>
      </w:r>
      <w:proofErr w:type="spellEnd"/>
      <w:r>
        <w:rPr>
          <w:b/>
        </w:rPr>
        <w:t xml:space="preserve"> tipo b</w:t>
      </w:r>
      <w:r>
        <w:t xml:space="preserve">: </w:t>
      </w:r>
      <w:r>
        <w:rPr>
          <w:b/>
        </w:rPr>
        <w:t>RIFAMPICINA AL CASO ÍNDICE Y A SUS CONVIVIENTES</w:t>
      </w:r>
      <w:r>
        <w:t xml:space="preserve"> (SEN 2025), </w:t>
      </w:r>
      <w:r>
        <w:rPr>
          <w:b/>
        </w:rPr>
        <w:t>600 mg VO cada 24 h durante 4 días</w:t>
      </w:r>
      <w:r>
        <w:t xml:space="preserve"> (dosis de la SEMES 2012). La SEMES 2012 la limitaba a los convivientes cuando en el domicilio hay niños &lt;6 años no vacunados, o cuando la persona trabaja con niños de esa edad; en esta revisión se adopta la recomendación de la SEN 2025, que no pone esa condición.</w:t>
      </w:r>
    </w:p>
    <w:p w14:paraId="52A73FC4" w14:textId="77777777" w:rsidR="00736A71" w:rsidRDefault="00B77AB3">
      <w:pPr>
        <w:keepLines/>
      </w:pPr>
      <w:r>
        <w:rPr>
          <w:b/>
          <w:color w:val="17384D"/>
        </w:rPr>
        <w:t>Neumococo</w:t>
      </w:r>
      <w:r>
        <w:t>: no precisa profilaxis de contactos.</w:t>
      </w:r>
    </w:p>
    <w:p w14:paraId="75461153" w14:textId="77777777" w:rsidR="00736A71" w:rsidRDefault="00B77AB3">
      <w:pPr>
        <w:pStyle w:val="Ttulo1"/>
      </w:pPr>
      <w:bookmarkStart w:id="26" w:name="_Toc000510026"/>
      <w:r>
        <w:rPr>
          <w:color w:val="1C7C7D"/>
        </w:rPr>
        <w:t xml:space="preserve">11. </w:t>
      </w:r>
      <w:r>
        <w:t>Estudio de predisposición, vacunación y seguimiento</w:t>
      </w:r>
      <w:bookmarkEnd w:id="26"/>
    </w:p>
    <w:p w14:paraId="1C13962A" w14:textId="77777777" w:rsidR="00736A71" w:rsidRDefault="00B77AB3">
      <w:pPr>
        <w:pStyle w:val="Prrafodelista"/>
        <w:numPr>
          <w:ilvl w:val="0"/>
          <w:numId w:val="26"/>
        </w:numPr>
        <w:spacing w:after="80"/>
      </w:pPr>
      <w:r>
        <w:rPr>
          <w:b/>
          <w:color w:val="17384D"/>
        </w:rPr>
        <w:t>Foco ORL crónico</w:t>
      </w:r>
      <w:r>
        <w:t xml:space="preserve">: tras la curación del episodio agudo, </w:t>
      </w:r>
      <w:r>
        <w:rPr>
          <w:b/>
        </w:rPr>
        <w:t>considerar la necesidad de tratamiento quirúrgico</w:t>
      </w:r>
      <w:r>
        <w:t xml:space="preserve"> de mastoiditis, otitis media o sinusitis crónicas como posible origen de la meningitis (Mensa 2026).</w:t>
      </w:r>
    </w:p>
    <w:p w14:paraId="36748A39" w14:textId="77777777" w:rsidR="00736A71" w:rsidRDefault="00B77AB3">
      <w:pPr>
        <w:pStyle w:val="Prrafodelista"/>
        <w:numPr>
          <w:ilvl w:val="0"/>
          <w:numId w:val="26"/>
        </w:numPr>
        <w:spacing w:after="80"/>
      </w:pPr>
      <w:r>
        <w:rPr>
          <w:b/>
        </w:rPr>
        <w:t>Preguntar</w:t>
      </w:r>
      <w:r>
        <w:t xml:space="preserve"> por traumatismo craneal, cirugía o fístula de LCR, vacunación y fármacos inmunosupresores, incluidos los </w:t>
      </w:r>
      <w:r>
        <w:rPr>
          <w:b/>
        </w:rPr>
        <w:t>inhibidores del complemento</w:t>
      </w:r>
      <w:r>
        <w:t xml:space="preserve"> (NICE 1.10.5).</w:t>
      </w:r>
    </w:p>
    <w:p w14:paraId="2FE772B1" w14:textId="77777777" w:rsidR="00736A71" w:rsidRDefault="00B77AB3">
      <w:pPr>
        <w:pStyle w:val="Prrafodelista"/>
        <w:numPr>
          <w:ilvl w:val="0"/>
          <w:numId w:val="26"/>
        </w:numPr>
        <w:spacing w:after="80"/>
      </w:pPr>
      <w:r>
        <w:rPr>
          <w:b/>
          <w:color w:val="17384D"/>
        </w:rPr>
        <w:lastRenderedPageBreak/>
        <w:t>Meningitis recurrente</w:t>
      </w:r>
      <w:r>
        <w:t>: pedir valoración radiológica especializada para buscar una fístula de LCR, hacer serología de VIH y estudiar la inmunidad (NICE 1.14).</w:t>
      </w:r>
    </w:p>
    <w:p w14:paraId="5D27BCCD" w14:textId="77777777" w:rsidR="00736A71" w:rsidRDefault="00B77AB3">
      <w:pPr>
        <w:pStyle w:val="Prrafodelista"/>
        <w:numPr>
          <w:ilvl w:val="0"/>
          <w:numId w:val="26"/>
        </w:numPr>
        <w:spacing w:after="80"/>
      </w:pPr>
      <w:r>
        <w:rPr>
          <w:b/>
        </w:rPr>
        <w:t>Vacuna antineumocócica tras una meningitis neumocócica</w:t>
      </w:r>
      <w:r>
        <w:t xml:space="preserve"> y en la fístula de LCR, junto con la reparación de la duramadre (ESCMID, grado B). En la fístula, valorar también vacunar frente a Hib y meningococo.</w:t>
      </w:r>
    </w:p>
    <w:p w14:paraId="5882EFC5" w14:textId="77777777" w:rsidR="00736A71" w:rsidRDefault="00B77AB3">
      <w:pPr>
        <w:pStyle w:val="Prrafodelista"/>
        <w:numPr>
          <w:ilvl w:val="0"/>
          <w:numId w:val="26"/>
        </w:numPr>
        <w:spacing w:after="80"/>
      </w:pPr>
      <w:r>
        <w:rPr>
          <w:b/>
          <w:color w:val="17384D"/>
        </w:rPr>
        <w:t>Vacunación del adulto</w:t>
      </w:r>
      <w:r>
        <w:t xml:space="preserve">: en </w:t>
      </w:r>
      <w:r>
        <w:rPr>
          <w:b/>
        </w:rPr>
        <w:t>≥65 años, asplenia, enfermedades crónicas y VIH</w:t>
      </w:r>
      <w:r>
        <w:t xml:space="preserve">, vacuna antineumocócica </w:t>
      </w:r>
      <w:r>
        <w:rPr>
          <w:b/>
        </w:rPr>
        <w:t>conjugada de 20 serotipos en dosis única</w:t>
      </w:r>
      <w:r>
        <w:t xml:space="preserve">, o la </w:t>
      </w:r>
      <w:r>
        <w:rPr>
          <w:b/>
        </w:rPr>
        <w:t xml:space="preserve">conjugada de 13 seguida de la </w:t>
      </w:r>
      <w:proofErr w:type="spellStart"/>
      <w:r>
        <w:rPr>
          <w:b/>
        </w:rPr>
        <w:t>polisacárida</w:t>
      </w:r>
      <w:proofErr w:type="spellEnd"/>
      <w:r>
        <w:rPr>
          <w:b/>
        </w:rPr>
        <w:t xml:space="preserve"> de 23</w:t>
      </w:r>
      <w:r>
        <w:t xml:space="preserve">, según el protocolo de cada comunidad autónoma. Frente al meningococo hay vacunas contra el </w:t>
      </w:r>
      <w:r>
        <w:rPr>
          <w:b/>
        </w:rPr>
        <w:t>C</w:t>
      </w:r>
      <w:r>
        <w:t xml:space="preserve">, la </w:t>
      </w:r>
      <w:r>
        <w:rPr>
          <w:b/>
        </w:rPr>
        <w:t>tetravalente ACWY</w:t>
      </w:r>
      <w:r>
        <w:t xml:space="preserve"> (a los 12 años en el calendario español desde 2019, en sustitución de la del serogrupo C) y dos contra el </w:t>
      </w:r>
      <w:r>
        <w:rPr>
          <w:b/>
        </w:rPr>
        <w:t>B</w:t>
      </w:r>
      <w:r>
        <w:t xml:space="preserve"> (4CMenB y </w:t>
      </w:r>
      <w:proofErr w:type="spellStart"/>
      <w:r>
        <w:t>MenB-fHbp</w:t>
      </w:r>
      <w:proofErr w:type="spellEnd"/>
      <w:r>
        <w:t xml:space="preserve">). </w:t>
      </w:r>
      <w:r>
        <w:rPr>
          <w:i/>
        </w:rPr>
        <w:t xml:space="preserve">En Europa, los </w:t>
      </w:r>
      <w:proofErr w:type="spellStart"/>
      <w:r>
        <w:rPr>
          <w:i/>
        </w:rPr>
        <w:t>serogrupos</w:t>
      </w:r>
      <w:proofErr w:type="spellEnd"/>
      <w:r>
        <w:rPr>
          <w:i/>
        </w:rPr>
        <w:t xml:space="preserve"> B e Y son hoy los más frecuentes. Para las recomendaciones actualizadas, remitirse al Comité Asesor de Vacunas.</w:t>
      </w:r>
    </w:p>
    <w:p w14:paraId="3235369A" w14:textId="77777777" w:rsidR="00736A71" w:rsidRDefault="00B77AB3">
      <w:pPr>
        <w:pStyle w:val="Prrafodelista"/>
        <w:numPr>
          <w:ilvl w:val="0"/>
          <w:numId w:val="26"/>
        </w:numPr>
        <w:spacing w:after="80"/>
      </w:pPr>
      <w:r>
        <w:rPr>
          <w:b/>
        </w:rPr>
        <w:t>AUDIOMETRÍA durante el ingreso</w:t>
      </w:r>
      <w:r>
        <w:t xml:space="preserve"> (ESCMID, grado A), o en las </w:t>
      </w:r>
      <w:r>
        <w:rPr>
          <w:b/>
        </w:rPr>
        <w:t>4 semanas siguientes</w:t>
      </w:r>
      <w:r>
        <w:t xml:space="preserve"> a que el paciente esté en condiciones de hacerla, preferiblemente antes del alta (NICE 1.12.7). Si hay hipoacusia, derivar </w:t>
      </w:r>
      <w:r>
        <w:rPr>
          <w:b/>
        </w:rPr>
        <w:t>de forma urgente</w:t>
      </w:r>
      <w:r>
        <w:t xml:space="preserve"> a ORL de un centro con implante coclear: actuar pronto evita que la cóclea se osifique y deje de servir el implante (ESCMID).</w:t>
      </w:r>
    </w:p>
    <w:p w14:paraId="3E7C8A36" w14:textId="77777777" w:rsidR="00736A71" w:rsidRDefault="00B77AB3">
      <w:pPr>
        <w:pStyle w:val="Prrafodelista"/>
        <w:numPr>
          <w:ilvl w:val="0"/>
          <w:numId w:val="26"/>
        </w:numPr>
        <w:spacing w:after="80"/>
      </w:pPr>
      <w:r>
        <w:rPr>
          <w:b/>
        </w:rPr>
        <w:t>Revisión por un médico del hospital a las 4‑6 semanas del alta</w:t>
      </w:r>
      <w:r>
        <w:t xml:space="preserve"> (NICE 1.13.2), y </w:t>
      </w:r>
      <w:r>
        <w:rPr>
          <w:b/>
        </w:rPr>
        <w:t>revisión de los antiepilépticos a los 3 meses</w:t>
      </w:r>
      <w:r>
        <w:t xml:space="preserve"> si los toma (NICE 1.12.4).</w:t>
      </w:r>
    </w:p>
    <w:p w14:paraId="4ACF1268" w14:textId="77777777" w:rsidR="00736A71" w:rsidRDefault="00B77AB3">
      <w:pPr>
        <w:pStyle w:val="Prrafodelista"/>
        <w:numPr>
          <w:ilvl w:val="0"/>
          <w:numId w:val="26"/>
        </w:numPr>
        <w:spacing w:after="80"/>
      </w:pPr>
      <w:r>
        <w:rPr>
          <w:b/>
        </w:rPr>
        <w:t>Evaluación neuropsicológica</w:t>
      </w:r>
      <w:r>
        <w:t xml:space="preserve"> solo si se sospecha deterioro cognitivo (ESCMID, grado B). Informar al paciente de las posibles secuelas: dificultad de concentración, enlentecimiento y problemas de memoria (ESCMID).</w:t>
      </w:r>
    </w:p>
    <w:p w14:paraId="050202FD" w14:textId="77777777" w:rsidR="00736A71" w:rsidRDefault="00B77AB3">
      <w:pPr>
        <w:pStyle w:val="Prrafodelista"/>
        <w:numPr>
          <w:ilvl w:val="0"/>
          <w:numId w:val="26"/>
        </w:numPr>
        <w:spacing w:after="80"/>
      </w:pPr>
      <w:r>
        <w:rPr>
          <w:b/>
          <w:color w:val="17384D"/>
        </w:rPr>
        <w:t>Secuelas persistentes</w:t>
      </w:r>
      <w:r>
        <w:t xml:space="preserve">: auditivas o vestibulares y alteraciones cognitivas tardías. </w:t>
      </w:r>
      <w:r>
        <w:rPr>
          <w:i/>
        </w:rPr>
        <w:t xml:space="preserve">Mensa 2026 enumera pérdida auditiva, déficits focales, secuelas psicológicas y neurocognitivas, crisis, hidrocefalia, trastornos del habla y alteraciones visuales. Aproximadamente el </w:t>
      </w:r>
      <w:r>
        <w:rPr>
          <w:b/>
          <w:i/>
        </w:rPr>
        <w:t>30 % de los adultos supervivientes</w:t>
      </w:r>
      <w:r>
        <w:rPr>
          <w:i/>
        </w:rPr>
        <w:t xml:space="preserve"> presenta déficit focal, hipoacusia, epilepsia o deterioro cognitivo que persiste </w:t>
      </w:r>
      <w:r>
        <w:rPr>
          <w:b/>
          <w:i/>
        </w:rPr>
        <w:t>&gt;3 meses tras el alta</w:t>
      </w:r>
      <w:r>
        <w:rPr>
          <w:i/>
        </w:rPr>
        <w:t xml:space="preserve">.</w:t>
      </w:r>
    </w:p>
    <w:p w14:paraId="2D8A1E27" w14:textId="77777777" w:rsidR="00736A71" w:rsidRDefault="00B77AB3">
      <w:pPr>
        <w:pStyle w:val="Ttulo1"/>
      </w:pPr>
      <w:bookmarkStart w:id="28" w:name="_Toc000510028"/>
      <w:r>
        <w:t>Referencias</w:t>
      </w:r>
      <w:bookmarkEnd w:id="28"/>
    </w:p>
    <w:p w14:paraId="26B376BE" w14:textId="4A7AA9CC" w:rsidR="00736A71" w:rsidRDefault="00B77AB3">
      <w:pPr>
        <w:pStyle w:val="Prrafodelista"/>
        <w:keepNext/>
        <w:numPr>
          <w:ilvl w:val="0"/>
          <w:numId w:val="34"/>
        </w:numPr>
        <w:suppressAutoHyphens/>
        <w:spacing w:before="200" w:after="0" w:line="259" w:lineRule="auto"/>
        <w:jc w:val="left"/>
      </w:pPr>
      <w:r>
        <w:rPr>
          <w:sz w:val="20"/>
          <w:szCs w:val="20"/>
        </w:rPr>
        <w:t xml:space="preserve">García-Moncó </w:t>
      </w:r>
      <w:proofErr w:type="spellStart"/>
      <w:r>
        <w:rPr>
          <w:sz w:val="20"/>
          <w:szCs w:val="20"/>
        </w:rPr>
        <w:t>Carra</w:t>
      </w:r>
      <w:proofErr w:type="spellEnd"/>
      <w:r>
        <w:rPr>
          <w:sz w:val="20"/>
          <w:szCs w:val="20"/>
        </w:rPr>
        <w:t xml:space="preserve"> JC, Rodrigo Armenteros P, Erburu Iriarte M. Infecciones bacterianas. En: Manual del residente de neurología.</w:t>
      </w:r>
      <w:r>
        <w:rPr>
          <w:sz w:val="20"/>
          <w:szCs w:val="20"/>
        </w:rPr>
        <w:t xml:space="preserve"> Ediciones SEN; 2025. p. 619‑31.</w:t>
      </w:r>
    </w:p>
    <w:p w14:paraId="4DDF0FD2" w14:textId="77777777" w:rsidR="00736A71" w:rsidRDefault="00B77AB3">
      <w:pPr>
        <w:pStyle w:val="Prrafodelista"/>
        <w:keepNext/>
        <w:suppressAutoHyphens/>
        <w:spacing w:before="20" w:after="80" w:line="259" w:lineRule="auto"/>
        <w:ind w:left="300"/>
        <w:jc w:val="left"/>
      </w:pPr>
      <w:r>
        <w:rPr>
          <w:b/>
          <w:i/>
          <w:color w:val="4F5F68"/>
          <w:sz w:val="20"/>
          <w:szCs w:val="20"/>
        </w:rPr>
        <w:t>Nivel 1: referencia SEN principal.</w:t>
      </w:r>
      <w:r>
        <w:rPr>
          <w:color w:val="4F5F68"/>
          <w:sz w:val="20"/>
          <w:szCs w:val="20"/>
        </w:rPr>
        <w:t xml:space="preserve"> </w:t>
      </w:r>
      <w:r>
        <w:rPr>
          <w:i/>
          <w:color w:val="4F5F68"/>
          <w:sz w:val="20"/>
          <w:szCs w:val="20"/>
        </w:rPr>
        <w:t>Manual formativo de expertos, sin grados de recomendación; varias tablas están adaptadas del Farreras-Rozman (2023) y su bibliografía se consultó en 2023. Aporta:</w:t>
      </w:r>
    </w:p>
    <w:p w14:paraId="016EB8FE" w14:textId="77777777" w:rsidR="00736A71" w:rsidRDefault="00B77AB3">
      <w:pPr>
        <w:pStyle w:val="Prrafodelista"/>
        <w:numPr>
          <w:ilvl w:val="0"/>
          <w:numId w:val="35"/>
        </w:numPr>
        <w:suppressAutoHyphens/>
        <w:spacing w:after="40" w:line="259" w:lineRule="auto"/>
        <w:jc w:val="left"/>
      </w:pPr>
      <w:r>
        <w:rPr>
          <w:i/>
          <w:sz w:val="20"/>
          <w:szCs w:val="20"/>
        </w:rPr>
        <w:t xml:space="preserve">Clínica con la frecuencia de cada dato y pistas de etiología (ictus y laberintitis en el neumococo, </w:t>
      </w:r>
      <w:proofErr w:type="spellStart"/>
      <w:r>
        <w:rPr>
          <w:i/>
          <w:sz w:val="20"/>
          <w:szCs w:val="20"/>
        </w:rPr>
        <w:t>romboencefalitis</w:t>
      </w:r>
      <w:proofErr w:type="spellEnd"/>
      <w:r>
        <w:rPr>
          <w:i/>
          <w:sz w:val="20"/>
          <w:szCs w:val="20"/>
        </w:rPr>
        <w:t xml:space="preserve"> en Listeria, artritis en el meningococo).</w:t>
      </w:r>
    </w:p>
    <w:p w14:paraId="0FBBA99D" w14:textId="77777777" w:rsidR="00736A71" w:rsidRDefault="00B77AB3">
      <w:pPr>
        <w:pStyle w:val="Prrafodelista"/>
        <w:numPr>
          <w:ilvl w:val="0"/>
          <w:numId w:val="35"/>
        </w:numPr>
        <w:suppressAutoHyphens/>
        <w:spacing w:after="40" w:line="259" w:lineRule="auto"/>
        <w:jc w:val="left"/>
      </w:pPr>
      <w:r>
        <w:rPr>
          <w:i/>
          <w:sz w:val="20"/>
          <w:szCs w:val="20"/>
        </w:rPr>
        <w:t>Criterios de TC obligatoria antes de la PL (la recomienda en general, pero solo la exige con riesgo de herniación).</w:t>
      </w:r>
    </w:p>
    <w:p w14:paraId="2D66AE80" w14:textId="77777777" w:rsidR="00736A71" w:rsidRDefault="00B77AB3">
      <w:pPr>
        <w:pStyle w:val="Prrafodelista"/>
        <w:numPr>
          <w:ilvl w:val="0"/>
          <w:numId w:val="35"/>
        </w:numPr>
        <w:suppressAutoHyphens/>
        <w:spacing w:after="40" w:line="259" w:lineRule="auto"/>
        <w:jc w:val="left"/>
      </w:pPr>
      <w:r>
        <w:rPr>
          <w:i/>
          <w:sz w:val="20"/>
          <w:szCs w:val="20"/>
        </w:rPr>
        <w:t>Perfil del LCR y umbrales que hacen muy probable la MBA; antígeno neumocócico; factores de mal pronóstico.</w:t>
      </w:r>
    </w:p>
    <w:p w14:paraId="574127E6" w14:textId="77777777" w:rsidR="00736A71" w:rsidRDefault="00B77AB3">
      <w:pPr>
        <w:pStyle w:val="Prrafodelista"/>
        <w:numPr>
          <w:ilvl w:val="0"/>
          <w:numId w:val="35"/>
        </w:numPr>
        <w:suppressAutoHyphens/>
        <w:spacing w:after="40" w:line="259" w:lineRule="auto"/>
        <w:jc w:val="left"/>
      </w:pPr>
      <w:r>
        <w:rPr>
          <w:i/>
          <w:sz w:val="20"/>
          <w:szCs w:val="20"/>
        </w:rPr>
        <w:t>Pauta empírica (C3G + vancomicina ± ampicilina), pauta nosocomial con alternativas en la alergia (aztreonam o ciprofloxacino) y tabla de dosis y penetración en el LCR.</w:t>
      </w:r>
    </w:p>
    <w:p w14:paraId="79A47802" w14:textId="77777777" w:rsidR="00736A71" w:rsidRDefault="00B77AB3">
      <w:pPr>
        <w:pStyle w:val="Prrafodelista"/>
        <w:numPr>
          <w:ilvl w:val="0"/>
          <w:numId w:val="35"/>
        </w:numPr>
        <w:suppressAutoHyphens/>
        <w:spacing w:after="40" w:line="259" w:lineRule="auto"/>
        <w:jc w:val="left"/>
      </w:pPr>
      <w:r>
        <w:rPr>
          <w:i/>
          <w:sz w:val="20"/>
          <w:szCs w:val="20"/>
        </w:rPr>
        <w:t>Tratamiento dirigido por germen y duración (14 días en el neumococo; ≥3 semanas en Listeria y gramnegativos).</w:t>
      </w:r>
    </w:p>
    <w:p w14:paraId="359CD7F8" w14:textId="77777777" w:rsidR="00736A71" w:rsidRDefault="00B77AB3">
      <w:pPr>
        <w:pStyle w:val="Prrafodelista"/>
        <w:numPr>
          <w:ilvl w:val="0"/>
          <w:numId w:val="35"/>
        </w:numPr>
        <w:suppressAutoHyphens/>
        <w:spacing w:after="40" w:line="259" w:lineRule="auto"/>
        <w:jc w:val="left"/>
      </w:pPr>
      <w:r>
        <w:rPr>
          <w:i/>
          <w:sz w:val="20"/>
          <w:szCs w:val="20"/>
        </w:rPr>
        <w:t xml:space="preserve">Dexametasona mantenida en el neumococo y H. </w:t>
      </w:r>
      <w:proofErr w:type="spellStart"/>
      <w:r>
        <w:rPr>
          <w:i/>
          <w:sz w:val="20"/>
          <w:szCs w:val="20"/>
        </w:rPr>
        <w:t>influenzae</w:t>
      </w:r>
      <w:proofErr w:type="spellEnd"/>
      <w:r>
        <w:rPr>
          <w:i/>
          <w:sz w:val="20"/>
          <w:szCs w:val="20"/>
        </w:rPr>
        <w:t>, aislamiento respiratorio de 24 h en la meningocócica, quimioprofilaxis (rifampicina en el embarazo desde el primer trimestre; Hib al caso índice) y vacunación del adulto.</w:t>
      </w:r>
    </w:p>
    <w:p w14:paraId="5D1606A8" w14:textId="77777777" w:rsidR="00736A71" w:rsidRDefault="00B77AB3">
      <w:pPr>
        <w:pStyle w:val="Prrafodelista"/>
        <w:numPr>
          <w:ilvl w:val="0"/>
          <w:numId w:val="35"/>
        </w:numPr>
        <w:suppressAutoHyphens/>
        <w:spacing w:after="40" w:line="259" w:lineRule="auto"/>
        <w:jc w:val="left"/>
      </w:pPr>
      <w:r>
        <w:rPr>
          <w:i/>
          <w:sz w:val="20"/>
          <w:szCs w:val="20"/>
        </w:rPr>
        <w:t xml:space="preserve">Posibles erratas y datos dudosos: ampicilina para Hib sin precisar sensibilidad.</w:t>
      </w:r>
    </w:p>
    <w:p w14:paraId="310A3266" w14:textId="77777777" w:rsidR="00736A71" w:rsidRDefault="00B77AB3">
      <w:pPr>
        <w:pStyle w:val="Prrafodelista"/>
        <w:numPr>
          <w:ilvl w:val="0"/>
          <w:numId w:val="34"/>
        </w:numPr>
        <w:suppressAutoHyphens/>
        <w:spacing w:before="200" w:after="0" w:line="259" w:lineRule="auto"/>
        <w:jc w:val="left"/>
      </w:pPr>
      <w:r>
        <w:rPr>
          <w:sz w:val="20"/>
          <w:szCs w:val="20"/>
        </w:rPr>
        <w:t xml:space="preserve">Carod Artal FJ. Infecciones víricas. En: Manual del residente de neurología. Ediciones SEN; 2025. p. 643‑57.</w:t>
      </w:r>
    </w:p>
    <w:p w14:paraId="6F3C44F3" w14:textId="77777777" w:rsidR="00736A71" w:rsidRDefault="00B77AB3">
      <w:pPr>
        <w:pStyle w:val="Prrafodelista"/>
        <w:suppressAutoHyphens/>
        <w:spacing w:before="20" w:after="80" w:line="259" w:lineRule="auto"/>
        <w:ind w:left="300"/>
        <w:jc w:val="left"/>
      </w:pPr>
      <w:r>
        <w:rPr>
          <w:b/>
          <w:i/>
          <w:color w:val="4F5F68"/>
          <w:sz w:val="20"/>
          <w:szCs w:val="20"/>
        </w:rPr>
        <w:t>Nivel 1.</w:t>
      </w:r>
      <w:r>
        <w:rPr>
          <w:color w:val="4F5F68"/>
          <w:sz w:val="20"/>
          <w:szCs w:val="20"/>
        </w:rPr>
        <w:t xml:space="preserve"> </w:t>
      </w:r>
      <w:r>
        <w:rPr>
          <w:i/>
          <w:color w:val="4F5F68"/>
          <w:sz w:val="20"/>
          <w:szCs w:val="20"/>
        </w:rPr>
        <w:t>Aporta el perfil de LCR de las infecciones víricas, la indicación de aciclovir empírico ante sospecha de encefalitis y las limitaciones de la PCR inicial.</w:t>
      </w:r>
    </w:p>
    <w:p w14:paraId="762E0C92" w14:textId="77777777" w:rsidR="00736A71" w:rsidRDefault="00B77AB3">
      <w:pPr>
        <w:pStyle w:val="Prrafodelista"/>
        <w:numPr>
          <w:ilvl w:val="0"/>
          <w:numId w:val="34"/>
        </w:numPr>
        <w:suppressAutoHyphens/>
        <w:spacing w:before="200" w:after="0" w:line="259" w:lineRule="auto"/>
        <w:jc w:val="left"/>
      </w:pPr>
      <w:r>
        <w:rPr>
          <w:sz w:val="20"/>
          <w:szCs w:val="20"/>
        </w:rPr>
        <w:t>Mensa J, Soriano A. Guía de terapéutica antimicrobiana 2026. 36.ª ed. Barcelona: Antares; 2026.</w:t>
      </w:r>
    </w:p>
    <w:p w14:paraId="5FA52543" w14:textId="77777777" w:rsidR="00736A71" w:rsidRDefault="00B77AB3">
      <w:pPr>
        <w:pStyle w:val="Prrafodelista"/>
        <w:suppressAutoHyphens/>
        <w:spacing w:before="20" w:after="80" w:line="259" w:lineRule="auto"/>
        <w:ind w:left="300"/>
        <w:jc w:val="left"/>
      </w:pPr>
      <w:r>
        <w:rPr>
          <w:b/>
          <w:i/>
          <w:color w:val="4F5F68"/>
          <w:sz w:val="20"/>
          <w:szCs w:val="20"/>
        </w:rPr>
        <w:t>Nivel 2.</w:t>
      </w:r>
      <w:r>
        <w:rPr>
          <w:i/>
          <w:color w:val="4F5F68"/>
          <w:sz w:val="20"/>
          <w:szCs w:val="20"/>
        </w:rPr>
        <w:t xml:space="preserve"> Completa vasculopatía retardada, HTIC, hidrocefalia, foco ORL y secuelas.</w:t>
      </w:r>
    </w:p>
    <w:p w14:paraId="5D936EA7" w14:textId="77777777" w:rsidR="00736A71" w:rsidRDefault="00B77AB3">
      <w:pPr>
        <w:pStyle w:val="Prrafodelista"/>
        <w:keepNext/>
        <w:numPr>
          <w:ilvl w:val="0"/>
          <w:numId w:val="34"/>
        </w:numPr>
        <w:suppressAutoHyphens/>
        <w:spacing w:before="200" w:after="0" w:line="259" w:lineRule="auto"/>
        <w:jc w:val="left"/>
      </w:pPr>
      <w:r>
        <w:rPr>
          <w:sz w:val="20"/>
          <w:szCs w:val="20"/>
        </w:rPr>
        <w:t xml:space="preserve">van de Beek D, Cabellos C, </w:t>
      </w:r>
      <w:proofErr w:type="spellStart"/>
      <w:r>
        <w:rPr>
          <w:sz w:val="20"/>
          <w:szCs w:val="20"/>
        </w:rPr>
        <w:t>Dzupova</w:t>
      </w:r>
      <w:proofErr w:type="spellEnd"/>
      <w:r>
        <w:rPr>
          <w:sz w:val="20"/>
          <w:szCs w:val="20"/>
        </w:rPr>
        <w:t xml:space="preserve"> O, Esposito S, Klein M, </w:t>
      </w:r>
      <w:proofErr w:type="spellStart"/>
      <w:r>
        <w:rPr>
          <w:sz w:val="20"/>
          <w:szCs w:val="20"/>
        </w:rPr>
        <w:t>Kloek</w:t>
      </w:r>
      <w:proofErr w:type="spellEnd"/>
      <w:r>
        <w:rPr>
          <w:sz w:val="20"/>
          <w:szCs w:val="20"/>
        </w:rPr>
        <w:t xml:space="preserve"> AT, et al. </w:t>
      </w:r>
      <w:r w:rsidRPr="001157B1">
        <w:rPr>
          <w:sz w:val="20"/>
          <w:szCs w:val="20"/>
          <w:lang w:val="en-GB"/>
        </w:rPr>
        <w:t xml:space="preserve">ESCMID guideline: diagnosis and treatment of acute bacterial meningitis. Clin </w:t>
      </w:r>
      <w:proofErr w:type="spellStart"/>
      <w:r w:rsidRPr="001157B1">
        <w:rPr>
          <w:sz w:val="20"/>
          <w:szCs w:val="20"/>
          <w:lang w:val="en-GB"/>
        </w:rPr>
        <w:t>Microbiol</w:t>
      </w:r>
      <w:proofErr w:type="spellEnd"/>
      <w:r w:rsidRPr="001157B1">
        <w:rPr>
          <w:sz w:val="20"/>
          <w:szCs w:val="20"/>
          <w:lang w:val="en-GB"/>
        </w:rPr>
        <w:t xml:space="preserve"> Infect. </w:t>
      </w:r>
      <w:r>
        <w:rPr>
          <w:sz w:val="20"/>
          <w:szCs w:val="20"/>
        </w:rPr>
        <w:t xml:space="preserve">2016;22 </w:t>
      </w:r>
      <w:proofErr w:type="spellStart"/>
      <w:r>
        <w:rPr>
          <w:sz w:val="20"/>
          <w:szCs w:val="20"/>
        </w:rPr>
        <w:t>Suppl</w:t>
      </w:r>
      <w:proofErr w:type="spellEnd"/>
      <w:r>
        <w:rPr>
          <w:sz w:val="20"/>
          <w:szCs w:val="20"/>
        </w:rPr>
        <w:t xml:space="preserve"> </w:t>
      </w:r>
      <w:proofErr w:type="gramStart"/>
      <w:r>
        <w:rPr>
          <w:sz w:val="20"/>
          <w:szCs w:val="20"/>
        </w:rPr>
        <w:t>3:S</w:t>
      </w:r>
      <w:proofErr w:type="gramEnd"/>
      <w:r>
        <w:rPr>
          <w:sz w:val="20"/>
          <w:szCs w:val="20"/>
        </w:rPr>
        <w:t xml:space="preserve">37‑62. </w:t>
      </w:r>
      <w:hyperlink r:id="rId8" w:history="1">
        <w:proofErr w:type="gramStart"/>
        <w:r>
          <w:rPr>
            <w:color w:val="185C91"/>
            <w:sz w:val="20"/>
            <w:szCs w:val="20"/>
            <w:u w:val="single"/>
          </w:rPr>
          <w:t>doi:10.1016/j.cmi</w:t>
        </w:r>
        <w:proofErr w:type="gramEnd"/>
        <w:r>
          <w:rPr>
            <w:color w:val="185C91"/>
            <w:sz w:val="20"/>
            <w:szCs w:val="20"/>
            <w:u w:val="single"/>
          </w:rPr>
          <w:t>.2016.01.007</w:t>
        </w:r>
      </w:hyperlink>
    </w:p>
    <w:p w14:paraId="7C08EB69" w14:textId="77777777" w:rsidR="00736A71" w:rsidRDefault="00B77AB3">
      <w:pPr>
        <w:pStyle w:val="Prrafodelista"/>
        <w:keepNext/>
        <w:suppressAutoHyphens/>
        <w:spacing w:before="20" w:after="80" w:line="259" w:lineRule="auto"/>
        <w:ind w:left="300"/>
        <w:jc w:val="left"/>
      </w:pPr>
      <w:r>
        <w:rPr>
          <w:b/>
          <w:i/>
          <w:color w:val="4F5F68"/>
          <w:sz w:val="20"/>
          <w:szCs w:val="20"/>
        </w:rPr>
        <w:t>Nivel 3 en esta revisión: complementa lo que la SEN y Mensa no concretan.</w:t>
      </w:r>
      <w:r>
        <w:rPr>
          <w:color w:val="4F5F68"/>
          <w:sz w:val="20"/>
          <w:szCs w:val="20"/>
        </w:rPr>
        <w:t xml:space="preserve"> </w:t>
      </w:r>
      <w:r>
        <w:rPr>
          <w:i/>
          <w:color w:val="4F5F68"/>
          <w:sz w:val="20"/>
          <w:szCs w:val="20"/>
        </w:rPr>
        <w:t>Guía europea d</w:t>
      </w:r>
      <w:r>
        <w:rPr>
          <w:i/>
          <w:color w:val="4F5F68"/>
          <w:sz w:val="20"/>
          <w:szCs w:val="20"/>
        </w:rPr>
        <w:t>el grupo de estudio de infecciones cerebrales de la ESCMID, con un coautor español (Hospital de Bellvitge). Hace revisión sistemática de la literatura (1966‑2014) y gradúa la evidencia (niveles 1‑3) y las recomendaciones (grados A-D); no usa GRADE. Aporta:</w:t>
      </w:r>
    </w:p>
    <w:p w14:paraId="7D3C06D0" w14:textId="77777777" w:rsidR="00736A71" w:rsidRDefault="00B77AB3">
      <w:pPr>
        <w:pStyle w:val="Prrafodelista"/>
        <w:numPr>
          <w:ilvl w:val="0"/>
          <w:numId w:val="35"/>
        </w:numPr>
        <w:suppressAutoHyphens/>
        <w:spacing w:after="40" w:line="259" w:lineRule="auto"/>
        <w:jc w:val="left"/>
      </w:pPr>
      <w:r>
        <w:rPr>
          <w:i/>
          <w:sz w:val="20"/>
          <w:szCs w:val="20"/>
        </w:rPr>
        <w:t>Ecología europea: etiología del adulto y sensibilidad disminuida del neumococo a penicilina del 20‑50 % en España (ECDC 2011).</w:t>
      </w:r>
    </w:p>
    <w:p w14:paraId="02DE5A85" w14:textId="77777777" w:rsidR="00736A71" w:rsidRDefault="00B77AB3">
      <w:pPr>
        <w:pStyle w:val="Prrafodelista"/>
        <w:numPr>
          <w:ilvl w:val="0"/>
          <w:numId w:val="35"/>
        </w:numPr>
        <w:suppressAutoHyphens/>
        <w:spacing w:after="40" w:line="259" w:lineRule="auto"/>
        <w:jc w:val="left"/>
      </w:pPr>
      <w:r>
        <w:rPr>
          <w:i/>
          <w:sz w:val="20"/>
          <w:szCs w:val="20"/>
        </w:rPr>
        <w:t>Rendimiento de la clínica y de las pruebas: tríada, signos meníngeos, petequias, hemocultivos, Gram, cultivo, PCR, lactato y látex.</w:t>
      </w:r>
    </w:p>
    <w:p w14:paraId="274344A9" w14:textId="77777777" w:rsidR="00736A71" w:rsidRDefault="00B77AB3">
      <w:pPr>
        <w:pStyle w:val="Prrafodelista"/>
        <w:numPr>
          <w:ilvl w:val="0"/>
          <w:numId w:val="35"/>
        </w:numPr>
        <w:suppressAutoHyphens/>
        <w:spacing w:after="40" w:line="259" w:lineRule="auto"/>
        <w:jc w:val="left"/>
      </w:pPr>
      <w:r>
        <w:rPr>
          <w:i/>
          <w:sz w:val="20"/>
          <w:szCs w:val="20"/>
        </w:rPr>
        <w:t>Criterios de TC antes de la PL y antibiótico en &lt;1 h (grado A).</w:t>
      </w:r>
    </w:p>
    <w:p w14:paraId="5AADBE8B" w14:textId="77777777" w:rsidR="00736A71" w:rsidRDefault="00B77AB3">
      <w:pPr>
        <w:pStyle w:val="Prrafodelista"/>
        <w:numPr>
          <w:ilvl w:val="0"/>
          <w:numId w:val="35"/>
        </w:numPr>
        <w:suppressAutoHyphens/>
        <w:spacing w:after="40" w:line="259" w:lineRule="auto"/>
        <w:jc w:val="left"/>
      </w:pPr>
      <w:r>
        <w:rPr>
          <w:i/>
          <w:sz w:val="20"/>
          <w:szCs w:val="20"/>
        </w:rPr>
        <w:t>Pauta empírica (vancomicina o rifampicina; ampicilina si &gt;50 años), tratamiento dirigido según la CMI y duración (≥14 días sin germen; no pautas cortas).</w:t>
      </w:r>
    </w:p>
    <w:p w14:paraId="5673BF59" w14:textId="77777777" w:rsidR="00736A71" w:rsidRDefault="00B77AB3">
      <w:pPr>
        <w:pStyle w:val="Prrafodelista"/>
        <w:numPr>
          <w:ilvl w:val="0"/>
          <w:numId w:val="35"/>
        </w:numPr>
        <w:suppressAutoHyphens/>
        <w:spacing w:after="40" w:line="259" w:lineRule="auto"/>
        <w:jc w:val="left"/>
      </w:pPr>
      <w:r>
        <w:rPr>
          <w:i/>
          <w:sz w:val="20"/>
          <w:szCs w:val="20"/>
        </w:rPr>
        <w:t>Dexametasona: pauta, hasta 4 h después del antibiótico y mantenerla en neumococo o Hib. Resume la revisión Cochrane de corticoides y un metaanálisis de datos individuales.</w:t>
      </w:r>
    </w:p>
    <w:p w14:paraId="3180A5E8" w14:textId="77777777" w:rsidR="00736A71" w:rsidRDefault="00B77AB3">
      <w:pPr>
        <w:pStyle w:val="Prrafodelista"/>
        <w:numPr>
          <w:ilvl w:val="0"/>
          <w:numId w:val="35"/>
        </w:numPr>
        <w:suppressAutoHyphens/>
        <w:spacing w:after="40" w:line="259" w:lineRule="auto"/>
        <w:jc w:val="left"/>
      </w:pPr>
      <w:r>
        <w:rPr>
          <w:i/>
          <w:sz w:val="20"/>
          <w:szCs w:val="20"/>
        </w:rPr>
        <w:t>Adyuvantes contraindicados o no recomendados (glicerol, hipotermia, manitol, antiepilépticos profilácticos).</w:t>
      </w:r>
    </w:p>
    <w:p w14:paraId="2F697053" w14:textId="77777777" w:rsidR="00736A71" w:rsidRDefault="00B77AB3">
      <w:pPr>
        <w:pStyle w:val="Prrafodelista"/>
        <w:numPr>
          <w:ilvl w:val="0"/>
          <w:numId w:val="35"/>
        </w:numPr>
        <w:suppressAutoHyphens/>
        <w:spacing w:after="40" w:line="259" w:lineRule="auto"/>
        <w:jc w:val="left"/>
      </w:pPr>
      <w:r>
        <w:rPr>
          <w:i/>
          <w:sz w:val="20"/>
          <w:szCs w:val="20"/>
        </w:rPr>
        <w:t>Complicaciones del adulto con su frecuencia, profilaxis de contactos (resume la Cochrane de profilaxis), vacunación, audiometría y seguimiento cognitivo.</w:t>
      </w:r>
    </w:p>
    <w:p w14:paraId="7B06FF15" w14:textId="77777777" w:rsidR="00736A71" w:rsidRDefault="00B77AB3">
      <w:pPr>
        <w:pStyle w:val="Prrafodelista"/>
        <w:keepNext/>
        <w:numPr>
          <w:ilvl w:val="0"/>
          <w:numId w:val="34"/>
        </w:numPr>
        <w:suppressAutoHyphens/>
        <w:spacing w:before="200" w:after="0" w:line="259" w:lineRule="auto"/>
        <w:jc w:val="left"/>
      </w:pPr>
      <w:r w:rsidRPr="001157B1">
        <w:rPr>
          <w:sz w:val="20"/>
          <w:szCs w:val="20"/>
          <w:lang w:val="en-GB"/>
        </w:rPr>
        <w:lastRenderedPageBreak/>
        <w:t xml:space="preserve">National Institute for Health and Care Excellence. Meningitis (bacterial) and meningococcal disease: recognition, diagnosis and management. </w:t>
      </w:r>
      <w:r>
        <w:rPr>
          <w:sz w:val="20"/>
          <w:szCs w:val="20"/>
        </w:rPr>
        <w:t xml:space="preserve">Londres: NICE; 2024. (NICE </w:t>
      </w:r>
      <w:proofErr w:type="spellStart"/>
      <w:r>
        <w:rPr>
          <w:sz w:val="20"/>
          <w:szCs w:val="20"/>
        </w:rPr>
        <w:t>guideline</w:t>
      </w:r>
      <w:proofErr w:type="spellEnd"/>
      <w:r>
        <w:rPr>
          <w:sz w:val="20"/>
          <w:szCs w:val="20"/>
        </w:rPr>
        <w:t>; NG240).</w:t>
      </w:r>
    </w:p>
    <w:p w14:paraId="5674CE26" w14:textId="77777777" w:rsidR="00736A71" w:rsidRDefault="00B77AB3">
      <w:pPr>
        <w:pStyle w:val="Prrafodelista"/>
        <w:keepNext/>
        <w:suppressAutoHyphens/>
        <w:spacing w:before="20" w:after="80" w:line="259" w:lineRule="auto"/>
        <w:ind w:left="300"/>
        <w:jc w:val="left"/>
      </w:pPr>
      <w:r>
        <w:rPr>
          <w:b/>
          <w:i/>
          <w:color w:val="4F5F68"/>
          <w:sz w:val="20"/>
          <w:szCs w:val="20"/>
        </w:rPr>
        <w:t>Nivel 4 en esta revisión; metodología GRADE.</w:t>
      </w:r>
      <w:r>
        <w:rPr>
          <w:color w:val="4F5F68"/>
          <w:sz w:val="20"/>
          <w:szCs w:val="20"/>
        </w:rPr>
        <w:t xml:space="preserve"> </w:t>
      </w:r>
      <w:r>
        <w:rPr>
          <w:i/>
          <w:color w:val="4F5F68"/>
          <w:sz w:val="20"/>
          <w:szCs w:val="20"/>
        </w:rPr>
        <w:t>Se cita con el número de cada recomendación. Aporta:</w:t>
      </w:r>
    </w:p>
    <w:p w14:paraId="5A157C04" w14:textId="77777777" w:rsidR="00736A71" w:rsidRDefault="00B77AB3">
      <w:pPr>
        <w:pStyle w:val="Prrafodelista"/>
        <w:numPr>
          <w:ilvl w:val="0"/>
          <w:numId w:val="35"/>
        </w:numPr>
        <w:suppressAutoHyphens/>
        <w:spacing w:after="40" w:line="259" w:lineRule="auto"/>
        <w:jc w:val="left"/>
      </w:pPr>
      <w:r>
        <w:rPr>
          <w:i/>
          <w:sz w:val="20"/>
          <w:szCs w:val="20"/>
        </w:rPr>
        <w:t>La combinación de alarma, las presentaciones atípicas y las causas alternativas.</w:t>
      </w:r>
    </w:p>
    <w:p w14:paraId="05439B18" w14:textId="77777777" w:rsidR="00736A71" w:rsidRDefault="00B77AB3">
      <w:pPr>
        <w:pStyle w:val="Prrafodelista"/>
        <w:numPr>
          <w:ilvl w:val="0"/>
          <w:numId w:val="35"/>
        </w:numPr>
        <w:suppressAutoHyphens/>
        <w:spacing w:after="40" w:line="259" w:lineRule="auto"/>
        <w:jc w:val="left"/>
      </w:pPr>
      <w:r>
        <w:rPr>
          <w:i/>
          <w:sz w:val="20"/>
          <w:szCs w:val="20"/>
        </w:rPr>
        <w:t>Los tiempos: antibiótico en &lt;1 h, antibiótico prehospitalario.</w:t>
      </w:r>
    </w:p>
    <w:p w14:paraId="0DA1A1F1" w14:textId="77777777" w:rsidR="00736A71" w:rsidRDefault="00B77AB3">
      <w:pPr>
        <w:pStyle w:val="Prrafodelista"/>
        <w:numPr>
          <w:ilvl w:val="0"/>
          <w:numId w:val="35"/>
        </w:numPr>
        <w:suppressAutoHyphens/>
        <w:spacing w:after="40" w:line="259" w:lineRule="auto"/>
        <w:jc w:val="left"/>
      </w:pPr>
      <w:r>
        <w:rPr>
          <w:i/>
          <w:sz w:val="20"/>
          <w:szCs w:val="20"/>
        </w:rPr>
        <w:t>Las contraindicaciones de la PL, las pruebas en sangre (PCR de meningococo y neumococo, VIH en todos los adultos, frotis faríngeo) y la disponibilidad del LCR en &lt;4 h.</w:t>
      </w:r>
    </w:p>
    <w:p w14:paraId="0CCE5333" w14:textId="77777777" w:rsidR="00736A71" w:rsidRDefault="00B77AB3">
      <w:pPr>
        <w:pStyle w:val="Prrafodelista"/>
        <w:numPr>
          <w:ilvl w:val="0"/>
          <w:numId w:val="35"/>
        </w:numPr>
        <w:suppressAutoHyphens/>
        <w:spacing w:after="40" w:line="259" w:lineRule="auto"/>
        <w:jc w:val="left"/>
      </w:pPr>
      <w:r>
        <w:rPr>
          <w:i/>
          <w:sz w:val="20"/>
          <w:szCs w:val="20"/>
        </w:rPr>
        <w:t>La duración por germen cuando la SEN y la ESCMID no la fijan (enterobacterias, estreptococo del grupo B) y la definición de alergia grave.</w:t>
      </w:r>
    </w:p>
    <w:p w14:paraId="625A8B4A" w14:textId="77777777" w:rsidR="00736A71" w:rsidRDefault="00B77AB3">
      <w:pPr>
        <w:pStyle w:val="Prrafodelista"/>
        <w:numPr>
          <w:ilvl w:val="0"/>
          <w:numId w:val="35"/>
        </w:numPr>
        <w:suppressAutoHyphens/>
        <w:spacing w:after="40" w:line="259" w:lineRule="auto"/>
        <w:jc w:val="left"/>
      </w:pPr>
      <w:r>
        <w:rPr>
          <w:i/>
          <w:sz w:val="20"/>
          <w:szCs w:val="20"/>
        </w:rPr>
        <w:t>La dexametasona (ventana de 12 h; no en la enfermedad meningocócica) y el soporte: líquidos sin restricción, osmóticos solo temporales, monitorización de la PIC.</w:t>
      </w:r>
    </w:p>
    <w:p w14:paraId="469E85D3" w14:textId="77777777" w:rsidR="00736A71" w:rsidRDefault="00B77AB3">
      <w:pPr>
        <w:pStyle w:val="Prrafodelista"/>
        <w:numPr>
          <w:ilvl w:val="0"/>
          <w:numId w:val="35"/>
        </w:numPr>
        <w:suppressAutoHyphens/>
        <w:spacing w:after="40" w:line="259" w:lineRule="auto"/>
        <w:jc w:val="left"/>
      </w:pPr>
      <w:r>
        <w:rPr>
          <w:i/>
          <w:sz w:val="20"/>
          <w:szCs w:val="20"/>
        </w:rPr>
        <w:t>La preparación del alta: audiometría en 4 semanas, revisión a las 4‑6 semanas, meningitis recurrente.</w:t>
      </w:r>
    </w:p>
    <w:p w14:paraId="4A80D7BA" w14:textId="77777777" w:rsidR="00736A71" w:rsidRDefault="00B77AB3">
      <w:pPr>
        <w:pStyle w:val="Prrafodelista"/>
        <w:numPr>
          <w:ilvl w:val="0"/>
          <w:numId w:val="35"/>
        </w:numPr>
        <w:suppressAutoHyphens/>
        <w:spacing w:after="40" w:line="259" w:lineRule="auto"/>
        <w:jc w:val="left"/>
      </w:pPr>
      <w:r>
        <w:rPr>
          <w:i/>
          <w:sz w:val="20"/>
          <w:szCs w:val="20"/>
        </w:rPr>
        <w:t xml:space="preserve">Su apartado de justificaciones resume la evidencia revisada. </w:t>
      </w:r>
      <w:r>
        <w:rPr>
          <w:b/>
          <w:i/>
          <w:sz w:val="20"/>
          <w:szCs w:val="20"/>
        </w:rPr>
        <w:t>No incluye vancomicina empírica</w:t>
      </w:r>
      <w:r>
        <w:rPr>
          <w:i/>
          <w:sz w:val="20"/>
          <w:szCs w:val="20"/>
        </w:rPr>
        <w:t>, por la baja resistencia del neumococo en Reino Unido: no es aplicable a España en ese punto.</w:t>
      </w:r>
    </w:p>
    <w:p w14:paraId="4BE0DFDF" w14:textId="77777777" w:rsidR="00736A71" w:rsidRDefault="00B77AB3">
      <w:pPr>
        <w:pStyle w:val="Prrafodelista"/>
        <w:keepNext/>
        <w:numPr>
          <w:ilvl w:val="0"/>
          <w:numId w:val="34"/>
        </w:numPr>
        <w:suppressAutoHyphens/>
        <w:spacing w:before="200" w:after="0" w:line="259" w:lineRule="auto"/>
        <w:jc w:val="left"/>
      </w:pPr>
      <w:r>
        <w:rPr>
          <w:sz w:val="20"/>
          <w:szCs w:val="20"/>
        </w:rPr>
        <w:t xml:space="preserve">Julián Jiménez A, Parejo Míguez R, López Ramos I. Meningitis. En: Julián Jiménez A, coordinador. Manejo de infecciones en urgencias. Madrid: </w:t>
      </w:r>
      <w:proofErr w:type="spellStart"/>
      <w:r>
        <w:rPr>
          <w:sz w:val="20"/>
          <w:szCs w:val="20"/>
        </w:rPr>
        <w:t>Edicomplet</w:t>
      </w:r>
      <w:proofErr w:type="spellEnd"/>
      <w:r>
        <w:rPr>
          <w:sz w:val="20"/>
          <w:szCs w:val="20"/>
        </w:rPr>
        <w:t>-SEMES; 2012. p. 145‑57.</w:t>
      </w:r>
    </w:p>
    <w:p w14:paraId="0CF95E08" w14:textId="77777777" w:rsidR="00736A71" w:rsidRDefault="00B77AB3">
      <w:pPr>
        <w:pStyle w:val="Prrafodelista"/>
        <w:keepNext/>
        <w:suppressAutoHyphens/>
        <w:spacing w:before="20" w:after="80" w:line="259" w:lineRule="auto"/>
        <w:ind w:left="300"/>
        <w:jc w:val="left"/>
      </w:pPr>
      <w:r>
        <w:rPr>
          <w:b/>
          <w:i/>
          <w:color w:val="4F5F68"/>
          <w:sz w:val="20"/>
          <w:szCs w:val="20"/>
        </w:rPr>
        <w:t>Nivel 5 en esta revisión: estructura de urgencias y aspectos no cubiertos por las fuentes superiores.</w:t>
      </w:r>
      <w:r>
        <w:rPr>
          <w:color w:val="4F5F68"/>
          <w:sz w:val="20"/>
          <w:szCs w:val="20"/>
        </w:rPr>
        <w:t xml:space="preserve"> </w:t>
      </w:r>
      <w:r>
        <w:rPr>
          <w:i/>
          <w:color w:val="4F5F68"/>
          <w:sz w:val="20"/>
          <w:szCs w:val="20"/>
        </w:rPr>
        <w:t>Aporta:</w:t>
      </w:r>
    </w:p>
    <w:p w14:paraId="55992196" w14:textId="77777777" w:rsidR="00736A71" w:rsidRDefault="00B77AB3">
      <w:pPr>
        <w:pStyle w:val="Prrafodelista"/>
        <w:numPr>
          <w:ilvl w:val="0"/>
          <w:numId w:val="35"/>
        </w:numPr>
        <w:suppressAutoHyphens/>
        <w:spacing w:after="40" w:line="259" w:lineRule="auto"/>
        <w:jc w:val="left"/>
      </w:pPr>
      <w:r>
        <w:rPr>
          <w:i/>
          <w:sz w:val="20"/>
          <w:szCs w:val="20"/>
        </w:rPr>
        <w:t>Epidemiología española (incidencia de 4‑8/100.000, mortalidad de hasta el 18‑25 %) y etiología en situaciones especiales.</w:t>
      </w:r>
    </w:p>
    <w:p w14:paraId="6EAA58AC" w14:textId="77777777" w:rsidR="00736A71" w:rsidRDefault="00B77AB3">
      <w:pPr>
        <w:pStyle w:val="Prrafodelista"/>
        <w:numPr>
          <w:ilvl w:val="0"/>
          <w:numId w:val="35"/>
        </w:numPr>
        <w:suppressAutoHyphens/>
        <w:spacing w:after="40" w:line="259" w:lineRule="auto"/>
        <w:jc w:val="left"/>
      </w:pPr>
      <w:r>
        <w:rPr>
          <w:i/>
          <w:sz w:val="20"/>
          <w:szCs w:val="20"/>
        </w:rPr>
        <w:t>Valores normales del LCR y LCR normal en fases precoces.</w:t>
      </w:r>
    </w:p>
    <w:p w14:paraId="1818AEE1" w14:textId="77777777" w:rsidR="00736A71" w:rsidRDefault="00B77AB3">
      <w:pPr>
        <w:pStyle w:val="Prrafodelista"/>
        <w:numPr>
          <w:ilvl w:val="0"/>
          <w:numId w:val="35"/>
        </w:numPr>
        <w:suppressAutoHyphens/>
        <w:spacing w:after="40" w:line="259" w:lineRule="auto"/>
        <w:jc w:val="left"/>
      </w:pPr>
      <w:r>
        <w:rPr>
          <w:i/>
          <w:sz w:val="20"/>
          <w:szCs w:val="20"/>
        </w:rPr>
        <w:t>Criterios de ingreso, UCI y observación, también tras la PL.</w:t>
      </w:r>
    </w:p>
    <w:p w14:paraId="05F9B2E7" w14:textId="77777777" w:rsidR="00736A71" w:rsidRDefault="00B77AB3">
      <w:pPr>
        <w:pStyle w:val="Prrafodelista"/>
        <w:numPr>
          <w:ilvl w:val="0"/>
          <w:numId w:val="35"/>
        </w:numPr>
        <w:suppressAutoHyphens/>
        <w:spacing w:after="40" w:line="259" w:lineRule="auto"/>
        <w:jc w:val="left"/>
      </w:pPr>
      <w:r>
        <w:rPr>
          <w:i/>
          <w:sz w:val="20"/>
          <w:szCs w:val="20"/>
        </w:rPr>
        <w:t>Aislamiento respiratorio, definición de los contactos y profilaxis frente a meningococo y Hib.</w:t>
      </w:r>
    </w:p>
    <w:p w14:paraId="5750EE21" w14:textId="77777777" w:rsidR="00736A71" w:rsidRDefault="00B77AB3">
      <w:pPr>
        <w:pStyle w:val="Prrafodelista"/>
        <w:numPr>
          <w:ilvl w:val="0"/>
          <w:numId w:val="35"/>
        </w:numPr>
        <w:suppressAutoHyphens/>
        <w:spacing w:after="40" w:line="259" w:lineRule="auto"/>
        <w:jc w:val="left"/>
      </w:pPr>
      <w:r>
        <w:rPr>
          <w:i/>
          <w:sz w:val="20"/>
          <w:szCs w:val="20"/>
        </w:rPr>
        <w:t>Medidas de soporte no sustituidas por las fuentes superiores y corticoides en el shock con insuficiencia suprarrenal.</w:t>
      </w:r>
    </w:p>
    <w:p w14:paraId="56CC5A41" w14:textId="77777777" w:rsidR="00736A71" w:rsidRDefault="00B77AB3">
      <w:pPr>
        <w:pStyle w:val="Prrafodelista"/>
        <w:numPr>
          <w:ilvl w:val="0"/>
          <w:numId w:val="35"/>
        </w:numPr>
        <w:suppressAutoHyphens/>
        <w:spacing w:after="40" w:line="259" w:lineRule="auto"/>
        <w:jc w:val="left"/>
      </w:pPr>
      <w:r>
        <w:rPr>
          <w:i/>
          <w:sz w:val="20"/>
          <w:szCs w:val="20"/>
        </w:rPr>
        <w:t>Desactualizado en: TC en todos los &gt;50 años, no dar dexametasona si ya hay antibiótico, rifampicina contraindicada en todo el embarazo, rifampicina añadida a la vancomicina si se da dexametasona, aislamiento de toda sospecha de MBA y profilaxis de Hib limitada a los domicilios con niños pequeños no vacunados.</w:t>
      </w:r>
    </w:p>
    <w:sectPr w:rsidR="00736A71">
      <w:headerReference w:type="default" r:id="rId9"/>
      <w:footerReference w:type="default" r:id="rId10"/>
      <w:pgSz w:w="11906" w:h="16838"/>
      <w:pgMar w:top="1134" w:right="1247" w:bottom="1077" w:left="1247" w:header="454" w:footer="51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F2585A" w14:textId="77777777" w:rsidR="00B77AB3" w:rsidRDefault="00B77AB3">
      <w:pPr>
        <w:spacing w:after="0" w:line="240" w:lineRule="auto"/>
      </w:pPr>
      <w:r>
        <w:separator/>
      </w:r>
    </w:p>
  </w:endnote>
  <w:endnote w:type="continuationSeparator" w:id="0">
    <w:p w14:paraId="3829584F" w14:textId="77777777" w:rsidR="00B77AB3" w:rsidRDefault="00B77A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auto"/>
    <w:pitch w:val="default"/>
  </w:font>
  <w:font w:name="DejaVu Sans">
    <w:altName w:val="Verdana"/>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BCD6B" w14:textId="77777777" w:rsidR="00736A71" w:rsidRDefault="00B77AB3">
    <w:pPr>
      <w:pStyle w:val="Piedepgina"/>
      <w:pBdr>
        <w:top w:val="single" w:sz="4" w:space="6" w:color="D3DEE3"/>
      </w:pBdr>
      <w:jc w:val="right"/>
    </w:pPr>
    <w:r>
      <w:t xml:space="preserve">Meningitis bacteriana aguda   ·   </w:t>
    </w:r>
    <w:r>
      <w:fldChar w:fldCharType="begin"/>
    </w:r>
    <w:r>
      <w:instrText>PAGE \* MERGEFORMAT</w:instrText>
    </w:r>
    <w:r>
      <w:fldChar w:fldCharType="separate"/>
    </w:r>
    <w:r>
      <w:rPr>
        <w:b/>
        <w:bCs/>
        <w:color w:val="1C7C7D"/>
        <w:sz w:val="18"/>
        <w:szCs w:val="18"/>
      </w:rPr>
      <w:t>1</w:t>
    </w:r>
    <w:r>
      <w:rPr>
        <w:b/>
        <w:bCs/>
        <w:color w:val="1C7C7D"/>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D5E419" w14:textId="77777777" w:rsidR="00B77AB3" w:rsidRDefault="00B77AB3">
      <w:pPr>
        <w:spacing w:after="0" w:line="240" w:lineRule="auto"/>
      </w:pPr>
      <w:r>
        <w:separator/>
      </w:r>
    </w:p>
  </w:footnote>
  <w:footnote w:type="continuationSeparator" w:id="0">
    <w:p w14:paraId="180E1FD8" w14:textId="77777777" w:rsidR="00B77AB3" w:rsidRDefault="00B77A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85CAB" w14:textId="77777777" w:rsidR="00736A71" w:rsidRDefault="00B77AB3">
    <w:pPr>
      <w:pStyle w:val="Encabezado"/>
      <w:pBdr>
        <w:bottom w:val="single" w:sz="4" w:space="4" w:color="D3DEE3"/>
      </w:pBdr>
      <w:jc w:val="right"/>
    </w:pPr>
    <w:r>
      <w:rPr>
        <w:smallCaps/>
        <w:spacing w:val="10"/>
      </w:rPr>
      <w:t xml:space="preserve">por J. Arenas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multilevel"/>
    <w:tmpl w:val="3BD01A1E"/>
    <w:lvl w:ilvl="0">
      <w:start w:val="1"/>
      <w:numFmt w:val="decimal"/>
      <w:lvlText w:val="%1."/>
      <w:lvlJc w:val="left"/>
      <w:pPr>
        <w:tabs>
          <w:tab w:val="num" w:pos="1800"/>
        </w:tabs>
        <w:ind w:left="1800" w:hanging="360"/>
      </w:pPr>
      <w:rPr>
        <w:rFonts w:ascii="Calibri" w:hAnsi="Calibri" w:cs="Calibri"/>
        <w:b/>
        <w:bCs/>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1" w15:restartNumberingAfterBreak="0">
    <w:nsid w:val="FFFFFF7D"/>
    <w:multiLevelType w:val="multilevel"/>
    <w:tmpl w:val="BB08C982"/>
    <w:lvl w:ilvl="0">
      <w:start w:val="1"/>
      <w:numFmt w:val="decimal"/>
      <w:lvlText w:val="%1."/>
      <w:lvlJc w:val="left"/>
      <w:pPr>
        <w:tabs>
          <w:tab w:val="num" w:pos="1440"/>
        </w:tabs>
        <w:ind w:left="1440" w:hanging="360"/>
      </w:pPr>
      <w:rPr>
        <w:rFonts w:ascii="Calibri" w:hAnsi="Calibri" w:cs="Calibri"/>
        <w:b/>
        <w:bCs/>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2" w15:restartNumberingAfterBreak="0">
    <w:nsid w:val="FFFFFF7E"/>
    <w:multiLevelType w:val="multilevel"/>
    <w:tmpl w:val="FD88D2BE"/>
    <w:lvl w:ilvl="0">
      <w:start w:val="1"/>
      <w:numFmt w:val="decimal"/>
      <w:pStyle w:val="Listaconnmeros3"/>
      <w:lvlText w:val="%1."/>
      <w:lvlJc w:val="left"/>
      <w:pPr>
        <w:tabs>
          <w:tab w:val="num" w:pos="1080"/>
        </w:tabs>
        <w:ind w:left="1080" w:hanging="360"/>
      </w:pPr>
      <w:rPr>
        <w:rFonts w:ascii="Calibri" w:hAnsi="Calibri" w:cs="Calibri"/>
        <w:b/>
        <w:bCs/>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3" w15:restartNumberingAfterBreak="0">
    <w:nsid w:val="FFFFFF7F"/>
    <w:multiLevelType w:val="multilevel"/>
    <w:tmpl w:val="CE58C2A2"/>
    <w:lvl w:ilvl="0">
      <w:start w:val="1"/>
      <w:numFmt w:val="decimal"/>
      <w:pStyle w:val="Listaconnmeros2"/>
      <w:lvlText w:val="%1."/>
      <w:lvlJc w:val="left"/>
      <w:pPr>
        <w:tabs>
          <w:tab w:val="num" w:pos="720"/>
        </w:tabs>
        <w:ind w:left="720" w:hanging="360"/>
      </w:pPr>
      <w:rPr>
        <w:rFonts w:ascii="Calibri" w:hAnsi="Calibri" w:cs="Calibri"/>
        <w:b/>
        <w:bCs/>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4" w15:restartNumberingAfterBreak="0">
    <w:nsid w:val="FFFFFF81"/>
    <w:multiLevelType w:val="multilevel"/>
    <w:tmpl w:val="475CF8DC"/>
    <w:lvl w:ilvl="0">
      <w:start w:val="1"/>
      <w:numFmt w:val="bullet"/>
      <w:lvlText w:val=""/>
      <w:lvlJc w:val="left"/>
      <w:pPr>
        <w:tabs>
          <w:tab w:val="num" w:pos="1440"/>
        </w:tabs>
        <w:ind w:left="1440" w:hanging="360"/>
      </w:pPr>
      <w:rPr>
        <w:rFonts w:ascii="Symbol" w:hAnsi="Symbol" w:hint="default"/>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5" w15:restartNumberingAfterBreak="0">
    <w:nsid w:val="FFFFFF82"/>
    <w:multiLevelType w:val="multilevel"/>
    <w:tmpl w:val="BCD84FBA"/>
    <w:lvl w:ilvl="0">
      <w:start w:val="1"/>
      <w:numFmt w:val="bullet"/>
      <w:pStyle w:val="Listaconvietas3"/>
      <w:lvlText w:val=""/>
      <w:lvlJc w:val="left"/>
      <w:pPr>
        <w:tabs>
          <w:tab w:val="num" w:pos="1080"/>
        </w:tabs>
        <w:ind w:left="1080" w:hanging="360"/>
      </w:pPr>
      <w:rPr>
        <w:rFonts w:ascii="Symbol" w:hAnsi="Symbol" w:hint="default"/>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6" w15:restartNumberingAfterBreak="0">
    <w:nsid w:val="FFFFFF83"/>
    <w:multiLevelType w:val="multilevel"/>
    <w:tmpl w:val="88860FB4"/>
    <w:lvl w:ilvl="0">
      <w:start w:val="1"/>
      <w:numFmt w:val="bullet"/>
      <w:pStyle w:val="Listaconvietas2"/>
      <w:lvlText w:val=""/>
      <w:lvlJc w:val="left"/>
      <w:pPr>
        <w:tabs>
          <w:tab w:val="num" w:pos="720"/>
        </w:tabs>
        <w:ind w:left="720" w:hanging="360"/>
      </w:pPr>
      <w:rPr>
        <w:rFonts w:ascii="Symbol" w:hAnsi="Symbol" w:hint="default"/>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7" w15:restartNumberingAfterBreak="0">
    <w:nsid w:val="FFFFFF88"/>
    <w:multiLevelType w:val="multilevel"/>
    <w:tmpl w:val="6DF0FB7E"/>
    <w:lvl w:ilvl="0">
      <w:start w:val="1"/>
      <w:numFmt w:val="decimal"/>
      <w:pStyle w:val="Listaconnmeros"/>
      <w:lvlText w:val="%1."/>
      <w:lvlJc w:val="left"/>
      <w:pPr>
        <w:tabs>
          <w:tab w:val="num" w:pos="360"/>
        </w:tabs>
        <w:ind w:left="360" w:hanging="360"/>
      </w:pPr>
      <w:rPr>
        <w:rFonts w:ascii="Calibri" w:hAnsi="Calibri" w:cs="Calibri"/>
        <w:b/>
        <w:bCs/>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8" w15:restartNumberingAfterBreak="0">
    <w:nsid w:val="FFFFFF89"/>
    <w:multiLevelType w:val="multilevel"/>
    <w:tmpl w:val="B18247C4"/>
    <w:lvl w:ilvl="0">
      <w:start w:val="1"/>
      <w:numFmt w:val="bullet"/>
      <w:pStyle w:val="Listaconvietas"/>
      <w:lvlText w:val=""/>
      <w:lvlJc w:val="left"/>
      <w:pPr>
        <w:tabs>
          <w:tab w:val="num" w:pos="360"/>
        </w:tabs>
        <w:ind w:left="360" w:hanging="360"/>
      </w:pPr>
      <w:rPr>
        <w:rFonts w:ascii="Symbol" w:hAnsi="Symbol" w:hint="default"/>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9" w15:restartNumberingAfterBreak="0">
    <w:nsid w:val="024B216C"/>
    <w:multiLevelType w:val="multilevel"/>
    <w:tmpl w:val="DBE8DB68"/>
    <w:lvl w:ilvl="0">
      <w:start w:val="1"/>
      <w:numFmt w:val="bullet"/>
      <w:lvlText w:val="•"/>
      <w:lvlJc w:val="left"/>
      <w:pPr>
        <w:ind w:left="300" w:hanging="240"/>
      </w:pPr>
      <w:rPr>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10" w15:restartNumberingAfterBreak="0">
    <w:nsid w:val="024B32E8"/>
    <w:multiLevelType w:val="multilevel"/>
    <w:tmpl w:val="72767354"/>
    <w:lvl w:ilvl="0">
      <w:start w:val="1"/>
      <w:numFmt w:val="bullet"/>
      <w:lvlText w:val="•"/>
      <w:lvlJc w:val="left"/>
      <w:pPr>
        <w:ind w:left="300" w:hanging="240"/>
      </w:pPr>
      <w:rPr>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11" w15:restartNumberingAfterBreak="0">
    <w:nsid w:val="034D4C7C"/>
    <w:multiLevelType w:val="multilevel"/>
    <w:tmpl w:val="FDFA0760"/>
    <w:lvl w:ilvl="0">
      <w:start w:val="1"/>
      <w:numFmt w:val="bullet"/>
      <w:lvlText w:val="•"/>
      <w:lvlJc w:val="left"/>
      <w:pPr>
        <w:ind w:left="300" w:hanging="240"/>
      </w:pPr>
      <w:rPr>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12" w15:restartNumberingAfterBreak="0">
    <w:nsid w:val="03823410"/>
    <w:multiLevelType w:val="multilevel"/>
    <w:tmpl w:val="16F2C0A6"/>
    <w:lvl w:ilvl="0">
      <w:start w:val="1"/>
      <w:numFmt w:val="bullet"/>
      <w:lvlText w:val="•"/>
      <w:lvlJc w:val="left"/>
      <w:pPr>
        <w:ind w:left="600" w:hanging="240"/>
      </w:pPr>
      <w:rPr>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13" w15:restartNumberingAfterBreak="0">
    <w:nsid w:val="05B344B0"/>
    <w:multiLevelType w:val="multilevel"/>
    <w:tmpl w:val="A7588898"/>
    <w:lvl w:ilvl="0">
      <w:start w:val="1"/>
      <w:numFmt w:val="bullet"/>
      <w:lvlText w:val="•"/>
      <w:lvlJc w:val="left"/>
      <w:pPr>
        <w:ind w:left="300" w:hanging="240"/>
      </w:pPr>
      <w:rPr>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14" w15:restartNumberingAfterBreak="0">
    <w:nsid w:val="06DD0E16"/>
    <w:multiLevelType w:val="multilevel"/>
    <w:tmpl w:val="2744E606"/>
    <w:lvl w:ilvl="0">
      <w:start w:val="1"/>
      <w:numFmt w:val="bullet"/>
      <w:lvlText w:val="•"/>
      <w:lvlJc w:val="left"/>
      <w:pPr>
        <w:ind w:left="300" w:hanging="240"/>
      </w:pPr>
      <w:rPr>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15" w15:restartNumberingAfterBreak="0">
    <w:nsid w:val="0C8450D5"/>
    <w:multiLevelType w:val="multilevel"/>
    <w:tmpl w:val="7D103DC2"/>
    <w:lvl w:ilvl="0">
      <w:start w:val="1"/>
      <w:numFmt w:val="bullet"/>
      <w:lvlText w:val="•"/>
      <w:lvlJc w:val="left"/>
      <w:pPr>
        <w:ind w:left="300" w:hanging="240"/>
      </w:pPr>
      <w:rPr>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16" w15:restartNumberingAfterBreak="0">
    <w:nsid w:val="122C6779"/>
    <w:multiLevelType w:val="multilevel"/>
    <w:tmpl w:val="D8BC3FFA"/>
    <w:lvl w:ilvl="0">
      <w:start w:val="1"/>
      <w:numFmt w:val="bullet"/>
      <w:lvlText w:val="•"/>
      <w:lvlJc w:val="left"/>
      <w:pPr>
        <w:ind w:left="300" w:hanging="240"/>
      </w:pPr>
      <w:rPr>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17" w15:restartNumberingAfterBreak="0">
    <w:nsid w:val="198B190A"/>
    <w:multiLevelType w:val="multilevel"/>
    <w:tmpl w:val="A8DEC6DE"/>
    <w:lvl w:ilvl="0">
      <w:start w:val="1"/>
      <w:numFmt w:val="bullet"/>
      <w:lvlText w:val="•"/>
      <w:lvlJc w:val="left"/>
      <w:pPr>
        <w:ind w:left="300" w:hanging="240"/>
      </w:pPr>
      <w:rPr>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18" w15:restartNumberingAfterBreak="0">
    <w:nsid w:val="1B8A3960"/>
    <w:multiLevelType w:val="multilevel"/>
    <w:tmpl w:val="93D86894"/>
    <w:lvl w:ilvl="0">
      <w:start w:val="1"/>
      <w:numFmt w:val="bullet"/>
      <w:lvlText w:val="•"/>
      <w:lvlJc w:val="left"/>
      <w:pPr>
        <w:ind w:left="300" w:hanging="240"/>
      </w:pPr>
      <w:rPr>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19" w15:restartNumberingAfterBreak="0">
    <w:nsid w:val="1C1C17AD"/>
    <w:multiLevelType w:val="multilevel"/>
    <w:tmpl w:val="E9529472"/>
    <w:lvl w:ilvl="0">
      <w:start w:val="1"/>
      <w:numFmt w:val="bullet"/>
      <w:lvlText w:val="•"/>
      <w:lvlJc w:val="left"/>
      <w:pPr>
        <w:ind w:left="600" w:hanging="240"/>
      </w:pPr>
      <w:rPr>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20" w15:restartNumberingAfterBreak="0">
    <w:nsid w:val="29962177"/>
    <w:multiLevelType w:val="multilevel"/>
    <w:tmpl w:val="2F66A642"/>
    <w:lvl w:ilvl="0">
      <w:start w:val="1"/>
      <w:numFmt w:val="bullet"/>
      <w:lvlText w:val="•"/>
      <w:lvlJc w:val="left"/>
      <w:pPr>
        <w:ind w:left="600" w:hanging="240"/>
      </w:pPr>
      <w:rPr>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21" w15:restartNumberingAfterBreak="0">
    <w:nsid w:val="2D473AB5"/>
    <w:multiLevelType w:val="multilevel"/>
    <w:tmpl w:val="C99ABA72"/>
    <w:lvl w:ilvl="0">
      <w:start w:val="1"/>
      <w:numFmt w:val="bullet"/>
      <w:lvlText w:val="•"/>
      <w:lvlJc w:val="left"/>
      <w:pPr>
        <w:ind w:left="300" w:hanging="240"/>
      </w:pPr>
      <w:rPr>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22" w15:restartNumberingAfterBreak="0">
    <w:nsid w:val="38A262C1"/>
    <w:multiLevelType w:val="multilevel"/>
    <w:tmpl w:val="C40EFEBC"/>
    <w:lvl w:ilvl="0">
      <w:start w:val="1"/>
      <w:numFmt w:val="decimal"/>
      <w:lvlText w:val="%1."/>
      <w:lvlJc w:val="left"/>
      <w:pPr>
        <w:ind w:left="300" w:hanging="240"/>
      </w:pPr>
      <w:rPr>
        <w:rFonts w:ascii="Calibri" w:hAnsi="Calibri" w:cs="Calibri"/>
        <w:b/>
        <w:bCs/>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23" w15:restartNumberingAfterBreak="0">
    <w:nsid w:val="39B525F3"/>
    <w:multiLevelType w:val="multilevel"/>
    <w:tmpl w:val="4F7EE722"/>
    <w:lvl w:ilvl="0">
      <w:start w:val="1"/>
      <w:numFmt w:val="bullet"/>
      <w:lvlText w:val="•"/>
      <w:lvlJc w:val="left"/>
      <w:pPr>
        <w:ind w:left="300" w:hanging="240"/>
      </w:pPr>
      <w:rPr>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24" w15:restartNumberingAfterBreak="0">
    <w:nsid w:val="3BB66613"/>
    <w:multiLevelType w:val="multilevel"/>
    <w:tmpl w:val="5CBC33DE"/>
    <w:lvl w:ilvl="0">
      <w:start w:val="1"/>
      <w:numFmt w:val="bullet"/>
      <w:lvlText w:val="•"/>
      <w:lvlJc w:val="left"/>
      <w:pPr>
        <w:ind w:left="300" w:hanging="240"/>
      </w:pPr>
      <w:rPr>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25" w15:restartNumberingAfterBreak="0">
    <w:nsid w:val="46E756FA"/>
    <w:multiLevelType w:val="multilevel"/>
    <w:tmpl w:val="E71CB514"/>
    <w:lvl w:ilvl="0">
      <w:start w:val="1"/>
      <w:numFmt w:val="bullet"/>
      <w:lvlText w:val="•"/>
      <w:lvlJc w:val="left"/>
      <w:pPr>
        <w:ind w:left="300" w:hanging="240"/>
      </w:pPr>
      <w:rPr>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26" w15:restartNumberingAfterBreak="0">
    <w:nsid w:val="4B9A0B23"/>
    <w:multiLevelType w:val="multilevel"/>
    <w:tmpl w:val="C49661F4"/>
    <w:lvl w:ilvl="0">
      <w:start w:val="1"/>
      <w:numFmt w:val="bullet"/>
      <w:lvlText w:val="•"/>
      <w:lvlJc w:val="left"/>
      <w:pPr>
        <w:ind w:left="600" w:hanging="240"/>
      </w:pPr>
      <w:rPr>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27" w15:restartNumberingAfterBreak="0">
    <w:nsid w:val="5D02565B"/>
    <w:multiLevelType w:val="multilevel"/>
    <w:tmpl w:val="42CC1762"/>
    <w:lvl w:ilvl="0">
      <w:start w:val="1"/>
      <w:numFmt w:val="bullet"/>
      <w:lvlText w:val="•"/>
      <w:lvlJc w:val="left"/>
      <w:pPr>
        <w:ind w:left="300" w:hanging="240"/>
      </w:pPr>
      <w:rPr>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28" w15:restartNumberingAfterBreak="0">
    <w:nsid w:val="5DCD3E4B"/>
    <w:multiLevelType w:val="multilevel"/>
    <w:tmpl w:val="F8102A7A"/>
    <w:lvl w:ilvl="0">
      <w:start w:val="1"/>
      <w:numFmt w:val="bullet"/>
      <w:lvlText w:val="•"/>
      <w:lvlJc w:val="left"/>
      <w:pPr>
        <w:ind w:left="600" w:hanging="240"/>
      </w:pPr>
      <w:rPr>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29" w15:restartNumberingAfterBreak="0">
    <w:nsid w:val="62DA0664"/>
    <w:multiLevelType w:val="multilevel"/>
    <w:tmpl w:val="ABCAF2BC"/>
    <w:lvl w:ilvl="0">
      <w:start w:val="1"/>
      <w:numFmt w:val="bullet"/>
      <w:lvlText w:val="•"/>
      <w:lvlJc w:val="left"/>
      <w:pPr>
        <w:ind w:left="300" w:hanging="240"/>
      </w:pPr>
      <w:rPr>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30" w15:restartNumberingAfterBreak="0">
    <w:nsid w:val="6C7F16A9"/>
    <w:multiLevelType w:val="multilevel"/>
    <w:tmpl w:val="12F00000"/>
    <w:lvl w:ilvl="0">
      <w:start w:val="1"/>
      <w:numFmt w:val="bullet"/>
      <w:lvlText w:val="•"/>
      <w:lvlJc w:val="left"/>
      <w:pPr>
        <w:ind w:left="300" w:hanging="240"/>
      </w:pPr>
      <w:rPr>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31" w15:restartNumberingAfterBreak="0">
    <w:nsid w:val="6CC76974"/>
    <w:multiLevelType w:val="multilevel"/>
    <w:tmpl w:val="A328E42A"/>
    <w:lvl w:ilvl="0">
      <w:start w:val="1"/>
      <w:numFmt w:val="bullet"/>
      <w:lvlText w:val="•"/>
      <w:lvlJc w:val="left"/>
      <w:pPr>
        <w:ind w:left="300" w:hanging="240"/>
      </w:pPr>
      <w:rPr>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32" w15:restartNumberingAfterBreak="0">
    <w:nsid w:val="70111D93"/>
    <w:multiLevelType w:val="multilevel"/>
    <w:tmpl w:val="7CCE7BE4"/>
    <w:lvl w:ilvl="0">
      <w:start w:val="1"/>
      <w:numFmt w:val="bullet"/>
      <w:lvlText w:val="•"/>
      <w:lvlJc w:val="left"/>
      <w:pPr>
        <w:ind w:left="300" w:hanging="240"/>
      </w:pPr>
      <w:rPr>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33" w15:restartNumberingAfterBreak="0">
    <w:nsid w:val="70FB2202"/>
    <w:multiLevelType w:val="multilevel"/>
    <w:tmpl w:val="BEEA8B06"/>
    <w:lvl w:ilvl="0">
      <w:start w:val="1"/>
      <w:numFmt w:val="bullet"/>
      <w:lvlText w:val="•"/>
      <w:lvlJc w:val="left"/>
      <w:pPr>
        <w:ind w:left="300" w:hanging="240"/>
      </w:pPr>
      <w:rPr>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34" w15:restartNumberingAfterBreak="0">
    <w:nsid w:val="711C0C6A"/>
    <w:multiLevelType w:val="multilevel"/>
    <w:tmpl w:val="CC2A05C8"/>
    <w:lvl w:ilvl="0">
      <w:start w:val="1"/>
      <w:numFmt w:val="bullet"/>
      <w:lvlText w:val="•"/>
      <w:lvlJc w:val="left"/>
      <w:pPr>
        <w:ind w:left="600" w:hanging="240"/>
      </w:pPr>
      <w:rPr>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35" w15:restartNumberingAfterBreak="0">
    <w:nsid w:val="74942103"/>
    <w:multiLevelType w:val="multilevel"/>
    <w:tmpl w:val="6B6EBD0E"/>
    <w:lvl w:ilvl="0">
      <w:start w:val="1"/>
      <w:numFmt w:val="bullet"/>
      <w:lvlText w:val="•"/>
      <w:lvlJc w:val="left"/>
      <w:pPr>
        <w:ind w:left="600" w:hanging="240"/>
      </w:pPr>
      <w:rPr>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36" w15:restartNumberingAfterBreak="0">
    <w:nsid w:val="79516332"/>
    <w:multiLevelType w:val="multilevel"/>
    <w:tmpl w:val="5E22A1D6"/>
    <w:lvl w:ilvl="0">
      <w:start w:val="1"/>
      <w:numFmt w:val="decimal"/>
      <w:lvlText w:val="%1."/>
      <w:lvlJc w:val="left"/>
      <w:pPr>
        <w:ind w:left="300" w:hanging="240"/>
      </w:pPr>
      <w:rPr>
        <w:rFonts w:ascii="Calibri" w:hAnsi="Calibri" w:cs="Calibri"/>
        <w:b/>
        <w:bCs/>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37" w15:restartNumberingAfterBreak="0">
    <w:nsid w:val="7BED1688"/>
    <w:multiLevelType w:val="multilevel"/>
    <w:tmpl w:val="11A8DEA2"/>
    <w:lvl w:ilvl="0">
      <w:start w:val="1"/>
      <w:numFmt w:val="bullet"/>
      <w:lvlText w:val="•"/>
      <w:lvlJc w:val="left"/>
      <w:pPr>
        <w:ind w:left="600" w:hanging="240"/>
      </w:pPr>
      <w:rPr>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num w:numId="1" w16cid:durableId="1744570988">
    <w:abstractNumId w:val="8"/>
  </w:num>
  <w:num w:numId="2" w16cid:durableId="1298145172">
    <w:abstractNumId w:val="6"/>
  </w:num>
  <w:num w:numId="3" w16cid:durableId="1936668072">
    <w:abstractNumId w:val="5"/>
  </w:num>
  <w:num w:numId="4" w16cid:durableId="963075447">
    <w:abstractNumId w:val="4"/>
  </w:num>
  <w:num w:numId="5" w16cid:durableId="1474519026">
    <w:abstractNumId w:val="7"/>
  </w:num>
  <w:num w:numId="6" w16cid:durableId="357581948">
    <w:abstractNumId w:val="3"/>
  </w:num>
  <w:num w:numId="7" w16cid:durableId="131600190">
    <w:abstractNumId w:val="2"/>
  </w:num>
  <w:num w:numId="8" w16cid:durableId="44565799">
    <w:abstractNumId w:val="1"/>
  </w:num>
  <w:num w:numId="9" w16cid:durableId="1442651096">
    <w:abstractNumId w:val="0"/>
  </w:num>
  <w:num w:numId="10" w16cid:durableId="1674800779">
    <w:abstractNumId w:val="24"/>
  </w:num>
  <w:num w:numId="11" w16cid:durableId="1426996085">
    <w:abstractNumId w:val="26"/>
  </w:num>
  <w:num w:numId="12" w16cid:durableId="1129668872">
    <w:abstractNumId w:val="18"/>
  </w:num>
  <w:num w:numId="13" w16cid:durableId="2005208347">
    <w:abstractNumId w:val="32"/>
  </w:num>
  <w:num w:numId="14" w16cid:durableId="1530409401">
    <w:abstractNumId w:val="36"/>
  </w:num>
  <w:num w:numId="15" w16cid:durableId="1966616004">
    <w:abstractNumId w:val="16"/>
  </w:num>
  <w:num w:numId="16" w16cid:durableId="1416198806">
    <w:abstractNumId w:val="11"/>
  </w:num>
  <w:num w:numId="17" w16cid:durableId="1206871798">
    <w:abstractNumId w:val="15"/>
  </w:num>
  <w:num w:numId="18" w16cid:durableId="791830266">
    <w:abstractNumId w:val="29"/>
  </w:num>
  <w:num w:numId="19" w16cid:durableId="667366151">
    <w:abstractNumId w:val="23"/>
  </w:num>
  <w:num w:numId="20" w16cid:durableId="1558933128">
    <w:abstractNumId w:val="9"/>
  </w:num>
  <w:num w:numId="21" w16cid:durableId="2034111835">
    <w:abstractNumId w:val="25"/>
  </w:num>
  <w:num w:numId="22" w16cid:durableId="1854570231">
    <w:abstractNumId w:val="21"/>
  </w:num>
  <w:num w:numId="23" w16cid:durableId="1368221524">
    <w:abstractNumId w:val="34"/>
  </w:num>
  <w:num w:numId="24" w16cid:durableId="897210718">
    <w:abstractNumId w:val="33"/>
  </w:num>
  <w:num w:numId="25" w16cid:durableId="1821071680">
    <w:abstractNumId w:val="10"/>
  </w:num>
  <w:num w:numId="26" w16cid:durableId="1622303696">
    <w:abstractNumId w:val="17"/>
  </w:num>
  <w:num w:numId="27" w16cid:durableId="164788668">
    <w:abstractNumId w:val="37"/>
  </w:num>
  <w:num w:numId="28" w16cid:durableId="141393546">
    <w:abstractNumId w:val="27"/>
  </w:num>
  <w:num w:numId="29" w16cid:durableId="1732996943">
    <w:abstractNumId w:val="19"/>
  </w:num>
  <w:num w:numId="30" w16cid:durableId="459421106">
    <w:abstractNumId w:val="31"/>
  </w:num>
  <w:num w:numId="31" w16cid:durableId="914364911">
    <w:abstractNumId w:val="14"/>
  </w:num>
  <w:num w:numId="32" w16cid:durableId="505901619">
    <w:abstractNumId w:val="30"/>
  </w:num>
  <w:num w:numId="33" w16cid:durableId="1607957482">
    <w:abstractNumId w:val="13"/>
  </w:num>
  <w:num w:numId="34" w16cid:durableId="1993832536">
    <w:abstractNumId w:val="22"/>
  </w:num>
  <w:num w:numId="35" w16cid:durableId="1765295312">
    <w:abstractNumId w:val="20"/>
  </w:num>
  <w:num w:numId="36" w16cid:durableId="1307513679">
    <w:abstractNumId w:val="35"/>
  </w:num>
  <w:num w:numId="37" w16cid:durableId="1792436810">
    <w:abstractNumId w:val="28"/>
  </w:num>
  <w:num w:numId="38" w16cid:durableId="1755935926">
    <w:abstractNumId w:val="12"/>
  </w:num>
  <w:num w:numId="39">
    <w:abstractNumId w:val="3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onsecutiveHyphenLimit w:val="2"/>
  <w:hyphenationZone w:val="425"/>
  <w:doNotHyphenateCaps/>
  <w:characterSpacingControl w:val="doNotCompress"/>
  <w:updateFields w:val="tru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36A71"/>
    <w:rsid w:val="001157B1"/>
    <w:rsid w:val="00736A71"/>
    <w:rsid w:val="00B21B80"/>
    <w:rsid w:val="00B77AB3"/>
    <w:rsid w:val="00CB45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E3984"/>
  <w15:docId w15:val="{03763C4D-4FBD-4615-BB73-AAEF1A3C05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0" w:line="271" w:lineRule="auto"/>
      <w:jc w:val="both"/>
    </w:pPr>
    <w:rPr>
      <w:rFonts w:ascii="Cambria" w:hAnsi="Cambria"/>
      <w:color w:val="1E2B33"/>
    </w:rPr>
  </w:style>
  <w:style w:type="paragraph" w:styleId="Ttulo1">
    <w:name w:val="heading 1"/>
    <w:basedOn w:val="Normal"/>
    <w:next w:val="Normal"/>
    <w:link w:val="Ttulo1Car"/>
    <w:uiPriority w:val="9"/>
    <w:qFormat/>
    <w:pPr>
      <w:keepNext/>
      <w:keepLines/>
      <w:pBdr>
        <w:bottom w:val="single" w:sz="8" w:space="5" w:color="8DBFC0"/>
      </w:pBdr>
      <w:suppressAutoHyphens/>
      <w:spacing w:before="520" w:after="200"/>
      <w:jc w:val="left"/>
      <w:outlineLvl w:val="0"/>
    </w:pPr>
    <w:rPr>
      <w:rFonts w:ascii="Calibri" w:hAnsi="Calibri" w:cs="Calibri"/>
      <w:b/>
      <w:bCs/>
      <w:color w:val="17384D"/>
      <w:sz w:val="34"/>
      <w:szCs w:val="34"/>
    </w:rPr>
  </w:style>
  <w:style w:type="paragraph" w:styleId="Ttulo2">
    <w:name w:val="heading 2"/>
    <w:basedOn w:val="Normal"/>
    <w:next w:val="Normal"/>
    <w:link w:val="Ttulo2Car"/>
    <w:uiPriority w:val="9"/>
    <w:unhideWhenUsed/>
    <w:qFormat/>
    <w:pPr>
      <w:keepNext/>
      <w:keepLines/>
      <w:suppressAutoHyphens/>
      <w:spacing w:before="340" w:after="120"/>
      <w:jc w:val="left"/>
      <w:outlineLvl w:val="1"/>
    </w:pPr>
    <w:rPr>
      <w:rFonts w:ascii="Calibri" w:hAnsi="Calibri" w:cs="Calibri"/>
      <w:b/>
      <w:bCs/>
      <w:color w:val="17384D"/>
      <w:sz w:val="26"/>
      <w:szCs w:val="26"/>
    </w:rPr>
  </w:style>
  <w:style w:type="paragraph" w:styleId="Ttulo3">
    <w:name w:val="heading 3"/>
    <w:basedOn w:val="Normal"/>
    <w:next w:val="Normal"/>
    <w:link w:val="Ttulo3Car"/>
    <w:uiPriority w:val="9"/>
    <w:unhideWhenUsed/>
    <w:qFormat/>
    <w:pPr>
      <w:keepNext/>
      <w:keepLines/>
      <w:suppressAutoHyphens/>
      <w:spacing w:before="260" w:after="100"/>
      <w:jc w:val="left"/>
      <w:outlineLvl w:val="2"/>
    </w:pPr>
    <w:rPr>
      <w:rFonts w:ascii="Calibri" w:hAnsi="Calibri" w:cs="Calibri"/>
      <w:b/>
      <w:bCs/>
      <w:color w:val="1C7C7D"/>
      <w:sz w:val="23"/>
      <w:szCs w:val="23"/>
    </w:rPr>
  </w:style>
  <w:style w:type="paragraph" w:styleId="Ttulo4">
    <w:name w:val="heading 4"/>
    <w:basedOn w:val="Normal"/>
    <w:next w:val="Normal"/>
    <w:link w:val="Ttulo4C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GridLight">
    <w:name w:val="Table Grid Light"/>
    <w:basedOn w:val="Tabla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lanormal1">
    <w:name w:val="Plain Table 1"/>
    <w:basedOn w:val="Tabla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lanormal2">
    <w:name w:val="Plain Table 2"/>
    <w:basedOn w:val="Tabla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lanormal3">
    <w:name w:val="Plain Table 3"/>
    <w:basedOn w:val="Tabla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4">
    <w:name w:val="Plain Table 4"/>
    <w:basedOn w:val="Tabla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5">
    <w:name w:val="Plain Table 5"/>
    <w:basedOn w:val="Tabla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concuadrcula1clara">
    <w:name w:val="Grid Table 1 Light"/>
    <w:basedOn w:val="Tabla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a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a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a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a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a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a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Tabladecuadrcula2">
    <w:name w:val="Grid Table 2"/>
    <w:basedOn w:val="Tabla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a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Tabla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Tabla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Tabla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Tabla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Tabla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decuadrcula3">
    <w:name w:val="Grid Table 3"/>
    <w:basedOn w:val="Tabla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a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Tabla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Tabla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Tabla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Tabla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Tabla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decuadrcula4">
    <w:name w:val="Grid Table 4"/>
    <w:basedOn w:val="Tabla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anormal"/>
    <w:uiPriority w:val="5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Tablanormal"/>
    <w:uiPriority w:val="5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Tablanormal"/>
    <w:uiPriority w:val="5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Tablanormal"/>
    <w:uiPriority w:val="5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Tablanormal"/>
    <w:uiPriority w:val="5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Tablanormal"/>
    <w:uiPriority w:val="5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concuadrcula5oscura">
    <w:name w:val="Grid Table 5 Dark"/>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Tablaconcuadrcula6concolores">
    <w:name w:val="Grid Table 6 Colorful"/>
    <w:basedOn w:val="Tabla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anormal"/>
    <w:uiPriority w:val="99"/>
    <w:pPr>
      <w:spacing w:after="0"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a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anormal"/>
    <w:uiPriority w:val="99"/>
    <w:pPr>
      <w:spacing w:after="0"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a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anormal"/>
    <w:uiPriority w:val="99"/>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anormal"/>
    <w:uiPriority w:val="99"/>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Tablaconcuadrcula7concolores">
    <w:name w:val="Grid Table 7 Colorful"/>
    <w:basedOn w:val="Tabla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anormal"/>
    <w:uiPriority w:val="99"/>
    <w:pPr>
      <w:spacing w:after="0"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anormal"/>
    <w:uiPriority w:val="99"/>
    <w:pPr>
      <w:spacing w:after="0"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anormal"/>
    <w:uiPriority w:val="99"/>
    <w:pPr>
      <w:spacing w:after="0"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anormal"/>
    <w:uiPriority w:val="99"/>
    <w:pPr>
      <w:spacing w:after="0"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anormal"/>
    <w:uiPriority w:val="99"/>
    <w:pPr>
      <w:spacing w:after="0"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anormal"/>
    <w:uiPriority w:val="99"/>
    <w:pPr>
      <w:spacing w:after="0"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Tabladelista1clara">
    <w:name w:val="List Table 1 Light"/>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Tabladelista2">
    <w:name w:val="List Table 2"/>
    <w:basedOn w:val="Tabla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anormal"/>
    <w:uiPriority w:val="99"/>
    <w:pPr>
      <w:spacing w:after="0"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Tablanormal"/>
    <w:uiPriority w:val="99"/>
    <w:pPr>
      <w:spacing w:after="0"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Tablanormal"/>
    <w:uiPriority w:val="99"/>
    <w:pPr>
      <w:spacing w:after="0"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Tablanormal"/>
    <w:uiPriority w:val="99"/>
    <w:pPr>
      <w:spacing w:after="0"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Tablanormal"/>
    <w:uiPriority w:val="99"/>
    <w:pPr>
      <w:spacing w:after="0"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Tablanormal"/>
    <w:uiPriority w:val="99"/>
    <w:pPr>
      <w:spacing w:after="0"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ladelista3">
    <w:name w:val="List Table 3"/>
    <w:basedOn w:val="Tabla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anormal"/>
    <w:uiPriority w:val="99"/>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a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anormal"/>
    <w:uiPriority w:val="99"/>
    <w:pPr>
      <w:spacing w:after="0"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a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anormal"/>
    <w:uiPriority w:val="99"/>
    <w:pPr>
      <w:spacing w:after="0"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anormal"/>
    <w:uiPriority w:val="99"/>
    <w:pPr>
      <w:spacing w:after="0"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Tabladelista4">
    <w:name w:val="List Table 4"/>
    <w:basedOn w:val="Tabla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anormal"/>
    <w:uiPriority w:val="9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Tablanormal"/>
    <w:uiPriority w:val="9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Tablanormal"/>
    <w:uiPriority w:val="9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Tablanormal"/>
    <w:uiPriority w:val="9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Tablanormal"/>
    <w:uiPriority w:val="9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Tablanormal"/>
    <w:uiPriority w:val="9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ladelista5oscura">
    <w:name w:val="List Table 5 Dark"/>
    <w:basedOn w:val="Tabla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anormal"/>
    <w:uiPriority w:val="99"/>
    <w:pPr>
      <w:spacing w:after="0"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Tablanormal"/>
    <w:uiPriority w:val="99"/>
    <w:pPr>
      <w:spacing w:after="0"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Tablanormal"/>
    <w:uiPriority w:val="99"/>
    <w:pPr>
      <w:spacing w:after="0"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Tablanormal"/>
    <w:uiPriority w:val="99"/>
    <w:pPr>
      <w:spacing w:after="0"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Tablanormal"/>
    <w:uiPriority w:val="99"/>
    <w:pPr>
      <w:spacing w:after="0"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Tablanormal"/>
    <w:uiPriority w:val="99"/>
    <w:pPr>
      <w:spacing w:after="0"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Tabladelista6concolores">
    <w:name w:val="List Table 6 Colorful"/>
    <w:basedOn w:val="Tabla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anormal"/>
    <w:uiPriority w:val="99"/>
    <w:pPr>
      <w:spacing w:after="0"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anormal"/>
    <w:uiPriority w:val="99"/>
    <w:pPr>
      <w:spacing w:after="0"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anormal"/>
    <w:uiPriority w:val="99"/>
    <w:pPr>
      <w:spacing w:after="0"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anormal"/>
    <w:uiPriority w:val="99"/>
    <w:pPr>
      <w:spacing w:after="0"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anormal"/>
    <w:uiPriority w:val="99"/>
    <w:pPr>
      <w:spacing w:after="0"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anormal"/>
    <w:uiPriority w:val="99"/>
    <w:pPr>
      <w:spacing w:after="0"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Tabladelista7concolores">
    <w:name w:val="List Table 7 Colorful"/>
    <w:basedOn w:val="Tabla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anormal"/>
    <w:uiPriority w:val="99"/>
    <w:pPr>
      <w:spacing w:after="0"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anormal"/>
    <w:uiPriority w:val="99"/>
    <w:pPr>
      <w:spacing w:after="0"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anormal"/>
    <w:uiPriority w:val="99"/>
    <w:pPr>
      <w:spacing w:after="0"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anormal"/>
    <w:uiPriority w:val="99"/>
    <w:pPr>
      <w:spacing w:after="0"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anormal"/>
    <w:uiPriority w:val="99"/>
    <w:pPr>
      <w:spacing w:after="0"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anormal"/>
    <w:uiPriority w:val="99"/>
    <w:pPr>
      <w:spacing w:after="0"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anormal"/>
    <w:uiPriority w:val="99"/>
    <w:pPr>
      <w:spacing w:after="0" w:line="240" w:lineRule="auto"/>
    </w:pPr>
    <w:rPr>
      <w:color w:val="404040"/>
      <w:sz w:val="20"/>
      <w:szCs w:val="20"/>
      <w:lang w:eastAsia="es-ES"/>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anormal"/>
    <w:uiPriority w:val="99"/>
    <w:pPr>
      <w:spacing w:after="0" w:line="240" w:lineRule="auto"/>
    </w:pPr>
    <w:rPr>
      <w:color w:val="404040"/>
      <w:sz w:val="20"/>
      <w:szCs w:val="20"/>
      <w:lang w:eastAsia="es-ES"/>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anormal"/>
    <w:uiPriority w:val="99"/>
    <w:pPr>
      <w:spacing w:after="0" w:line="240" w:lineRule="auto"/>
    </w:pPr>
    <w:rPr>
      <w:color w:val="404040"/>
      <w:sz w:val="20"/>
      <w:szCs w:val="20"/>
      <w:lang w:eastAsia="es-ES"/>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anormal"/>
    <w:uiPriority w:val="99"/>
    <w:pPr>
      <w:spacing w:after="0" w:line="240" w:lineRule="auto"/>
    </w:pPr>
    <w:rPr>
      <w:color w:val="404040"/>
      <w:sz w:val="20"/>
      <w:szCs w:val="20"/>
      <w:lang w:eastAsia="es-ES"/>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anormal"/>
    <w:uiPriority w:val="99"/>
    <w:pPr>
      <w:spacing w:after="0" w:line="240" w:lineRule="auto"/>
    </w:pPr>
    <w:rPr>
      <w:color w:val="404040"/>
      <w:sz w:val="20"/>
      <w:szCs w:val="20"/>
      <w:lang w:eastAsia="es-ES"/>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anormal"/>
    <w:uiPriority w:val="99"/>
    <w:pPr>
      <w:spacing w:after="0" w:line="240" w:lineRule="auto"/>
    </w:pPr>
    <w:rPr>
      <w:color w:val="404040"/>
      <w:sz w:val="20"/>
      <w:szCs w:val="20"/>
      <w:lang w:eastAsia="es-ES"/>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anormal"/>
    <w:uiPriority w:val="99"/>
    <w:pPr>
      <w:spacing w:after="0" w:line="240" w:lineRule="auto"/>
    </w:pPr>
    <w:rPr>
      <w:color w:val="404040"/>
      <w:sz w:val="20"/>
      <w:szCs w:val="20"/>
      <w:lang w:eastAsia="es-ES"/>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anormal"/>
    <w:uiPriority w:val="99"/>
    <w:pPr>
      <w:spacing w:after="0" w:line="240" w:lineRule="auto"/>
    </w:pPr>
    <w:rPr>
      <w:color w:val="404040"/>
      <w:sz w:val="20"/>
      <w:szCs w:val="20"/>
      <w:lang w:eastAsia="es-ES"/>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anormal"/>
    <w:uiPriority w:val="99"/>
    <w:pPr>
      <w:spacing w:after="0" w:line="240" w:lineRule="auto"/>
    </w:pPr>
    <w:rPr>
      <w:color w:val="404040"/>
      <w:sz w:val="20"/>
      <w:szCs w:val="20"/>
      <w:lang w:eastAsia="es-ES"/>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anormal"/>
    <w:uiPriority w:val="99"/>
    <w:pPr>
      <w:spacing w:after="0" w:line="240" w:lineRule="auto"/>
    </w:pPr>
    <w:rPr>
      <w:color w:val="404040"/>
      <w:sz w:val="20"/>
      <w:szCs w:val="20"/>
      <w:lang w:eastAsia="es-ES"/>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anormal"/>
    <w:uiPriority w:val="99"/>
    <w:pPr>
      <w:spacing w:after="0" w:line="240" w:lineRule="auto"/>
    </w:pPr>
    <w:rPr>
      <w:color w:val="404040"/>
      <w:sz w:val="20"/>
      <w:szCs w:val="20"/>
      <w:lang w:eastAsia="es-ES"/>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anormal"/>
    <w:uiPriority w:val="99"/>
    <w:pPr>
      <w:spacing w:after="0" w:line="240" w:lineRule="auto"/>
    </w:pPr>
    <w:rPr>
      <w:color w:val="404040"/>
      <w:sz w:val="20"/>
      <w:szCs w:val="20"/>
      <w:lang w:eastAsia="es-ES"/>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anormal"/>
    <w:uiPriority w:val="99"/>
    <w:pPr>
      <w:spacing w:after="0" w:line="240" w:lineRule="auto"/>
    </w:pPr>
    <w:rPr>
      <w:color w:val="404040"/>
      <w:sz w:val="20"/>
      <w:szCs w:val="20"/>
      <w:lang w:eastAsia="es-ES"/>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anormal"/>
    <w:uiPriority w:val="99"/>
    <w:pPr>
      <w:spacing w:after="0" w:line="240" w:lineRule="auto"/>
    </w:pPr>
    <w:rPr>
      <w:color w:val="404040"/>
      <w:sz w:val="20"/>
      <w:szCs w:val="20"/>
      <w:lang w:eastAsia="es-ES"/>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a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a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a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a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a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a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a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Textonotapie">
    <w:name w:val="footnote text"/>
    <w:basedOn w:val="Normal"/>
    <w:link w:val="TextonotapieCar"/>
    <w:uiPriority w:val="99"/>
    <w:semiHidden/>
    <w:unhideWhenUsed/>
    <w:pPr>
      <w:spacing w:after="0" w:line="240" w:lineRule="auto"/>
    </w:pPr>
    <w:rPr>
      <w:sz w:val="20"/>
      <w:szCs w:val="20"/>
    </w:rPr>
  </w:style>
  <w:style w:type="character" w:customStyle="1" w:styleId="TextonotapieCar">
    <w:name w:val="Texto nota pie Car"/>
    <w:basedOn w:val="Fuentedeprrafopredeter"/>
    <w:link w:val="Textonotapie"/>
    <w:uiPriority w:val="99"/>
    <w:semiHidden/>
    <w:rPr>
      <w:sz w:val="20"/>
      <w:szCs w:val="20"/>
    </w:rPr>
  </w:style>
  <w:style w:type="character" w:styleId="Refdenotaalpie">
    <w:name w:val="footnote reference"/>
    <w:basedOn w:val="Fuentedeprrafopredeter"/>
    <w:uiPriority w:val="99"/>
    <w:semiHidden/>
    <w:unhideWhenUsed/>
    <w:rPr>
      <w:vertAlign w:val="superscript"/>
    </w:rPr>
  </w:style>
  <w:style w:type="paragraph" w:styleId="Textonotaalfinal">
    <w:name w:val="endnote text"/>
    <w:basedOn w:val="Normal"/>
    <w:link w:val="TextonotaalfinalCar"/>
    <w:uiPriority w:val="99"/>
    <w:semiHidden/>
    <w:unhideWhenUsed/>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Pr>
      <w:sz w:val="20"/>
      <w:szCs w:val="20"/>
    </w:rPr>
  </w:style>
  <w:style w:type="character" w:styleId="Refdenotaalfinal">
    <w:name w:val="endnote reference"/>
    <w:basedOn w:val="Fuentedeprrafopredeter"/>
    <w:uiPriority w:val="99"/>
    <w:semiHidden/>
    <w:unhideWhenUsed/>
    <w:rPr>
      <w:vertAlign w:val="superscript"/>
    </w:rPr>
  </w:style>
  <w:style w:type="character" w:styleId="Hipervnculo">
    <w:name w:val="Hyperlink"/>
    <w:basedOn w:val="Fuentedeprrafopredeter"/>
    <w:uiPriority w:val="99"/>
    <w:unhideWhenUsed/>
    <w:rPr>
      <w:color w:val="0000FF" w:themeColor="hyperlink"/>
      <w:u w:val="single"/>
    </w:rPr>
  </w:style>
  <w:style w:type="character" w:styleId="Hipervnculovisitado">
    <w:name w:val="FollowedHyperlink"/>
    <w:basedOn w:val="Fuentedeprrafopredeter"/>
    <w:uiPriority w:val="99"/>
    <w:semiHidden/>
    <w:unhideWhenUsed/>
    <w:rPr>
      <w:color w:val="800080" w:themeColor="followedHyperlink"/>
      <w:u w:val="single"/>
    </w:rPr>
  </w:style>
  <w:style w:type="paragraph" w:styleId="TDC1">
    <w:name w:val="toc 1"/>
    <w:basedOn w:val="Normal"/>
    <w:next w:val="Normal"/>
    <w:uiPriority w:val="39"/>
    <w:unhideWhenUsed/>
    <w:pPr>
      <w:tabs>
        <w:tab w:val="right" w:leader="dot" w:pos="9402"/>
      </w:tabs>
      <w:suppressAutoHyphens/>
      <w:spacing w:before="110" w:after="20" w:line="240" w:lineRule="auto"/>
      <w:jc w:val="left"/>
    </w:pPr>
    <w:rPr>
      <w:rFonts w:ascii="Calibri" w:hAnsi="Calibri" w:cs="Calibri"/>
      <w:b/>
      <w:bCs/>
      <w:color w:val="17384D"/>
      <w:sz w:val="21"/>
      <w:szCs w:val="21"/>
    </w:rPr>
  </w:style>
  <w:style w:type="paragraph" w:styleId="TDC2">
    <w:name w:val="toc 2"/>
    <w:basedOn w:val="Normal"/>
    <w:next w:val="Normal"/>
    <w:uiPriority w:val="39"/>
    <w:unhideWhenUsed/>
    <w:pPr>
      <w:tabs>
        <w:tab w:val="right" w:leader="dot" w:pos="9402"/>
      </w:tabs>
      <w:suppressAutoHyphens/>
      <w:spacing w:after="10" w:line="240" w:lineRule="auto"/>
      <w:ind w:left="300"/>
      <w:jc w:val="left"/>
    </w:pPr>
    <w:rPr>
      <w:rFonts w:ascii="Calibri" w:hAnsi="Calibri" w:cs="Calibri"/>
      <w:sz w:val="19"/>
      <w:szCs w:val="19"/>
    </w:rPr>
  </w:style>
  <w:style w:type="paragraph" w:styleId="TDC3">
    <w:name w:val="toc 3"/>
    <w:basedOn w:val="Normal"/>
    <w:next w:val="Normal"/>
    <w:uiPriority w:val="39"/>
    <w:unhideWhenUsed/>
    <w:pPr>
      <w:spacing w:after="100"/>
      <w:ind w:left="440"/>
    </w:pPr>
  </w:style>
  <w:style w:type="paragraph" w:styleId="TDC4">
    <w:name w:val="toc 4"/>
    <w:basedOn w:val="Normal"/>
    <w:next w:val="Normal"/>
    <w:uiPriority w:val="39"/>
    <w:unhideWhenUsed/>
    <w:pPr>
      <w:spacing w:after="100"/>
      <w:ind w:left="660"/>
    </w:pPr>
  </w:style>
  <w:style w:type="paragraph" w:styleId="TDC5">
    <w:name w:val="toc 5"/>
    <w:basedOn w:val="Normal"/>
    <w:next w:val="Normal"/>
    <w:uiPriority w:val="39"/>
    <w:unhideWhenUsed/>
    <w:pPr>
      <w:spacing w:after="100"/>
      <w:ind w:left="880"/>
    </w:pPr>
  </w:style>
  <w:style w:type="paragraph" w:styleId="TDC6">
    <w:name w:val="toc 6"/>
    <w:basedOn w:val="Normal"/>
    <w:next w:val="Normal"/>
    <w:uiPriority w:val="39"/>
    <w:unhideWhenUsed/>
    <w:pPr>
      <w:spacing w:after="100"/>
      <w:ind w:left="1100"/>
    </w:pPr>
  </w:style>
  <w:style w:type="paragraph" w:styleId="TDC7">
    <w:name w:val="toc 7"/>
    <w:basedOn w:val="Normal"/>
    <w:next w:val="Normal"/>
    <w:uiPriority w:val="39"/>
    <w:unhideWhenUsed/>
    <w:pPr>
      <w:spacing w:after="100"/>
      <w:ind w:left="1320"/>
    </w:pPr>
  </w:style>
  <w:style w:type="paragraph" w:styleId="TDC8">
    <w:name w:val="toc 8"/>
    <w:basedOn w:val="Normal"/>
    <w:next w:val="Normal"/>
    <w:uiPriority w:val="39"/>
    <w:unhideWhenUsed/>
    <w:pPr>
      <w:spacing w:after="100"/>
      <w:ind w:left="1540"/>
    </w:pPr>
  </w:style>
  <w:style w:type="paragraph" w:styleId="TDC9">
    <w:name w:val="toc 9"/>
    <w:basedOn w:val="Normal"/>
    <w:next w:val="Normal"/>
    <w:uiPriority w:val="39"/>
    <w:unhideWhenUsed/>
    <w:pPr>
      <w:spacing w:after="100"/>
      <w:ind w:left="1760"/>
    </w:pPr>
  </w:style>
  <w:style w:type="character" w:styleId="Textodelmarcadordeposicin">
    <w:name w:val="Placeholder Text"/>
    <w:basedOn w:val="Fuentedeprrafopredeter"/>
    <w:uiPriority w:val="99"/>
    <w:semiHidden/>
    <w:rPr>
      <w:color w:val="666666"/>
    </w:rPr>
  </w:style>
  <w:style w:type="paragraph" w:styleId="Tabladeilustraciones">
    <w:name w:val="table of figures"/>
    <w:basedOn w:val="Normal"/>
    <w:next w:val="Normal"/>
    <w:uiPriority w:val="99"/>
    <w:unhideWhenUsed/>
    <w:pPr>
      <w:spacing w:after="0"/>
    </w:pPr>
  </w:style>
  <w:style w:type="paragraph" w:styleId="Encabezado">
    <w:name w:val="header"/>
    <w:basedOn w:val="Normal"/>
    <w:link w:val="EncabezadoCar"/>
    <w:uiPriority w:val="99"/>
    <w:unhideWhenUsed/>
    <w:pPr>
      <w:tabs>
        <w:tab w:val="center" w:pos="4680"/>
        <w:tab w:val="right" w:pos="9360"/>
      </w:tabs>
      <w:spacing w:after="0" w:line="240" w:lineRule="auto"/>
    </w:pPr>
    <w:rPr>
      <w:rFonts w:ascii="Calibri" w:hAnsi="Calibri" w:cs="Calibri"/>
      <w:color w:val="7D8C94"/>
      <w:sz w:val="17"/>
      <w:szCs w:val="17"/>
    </w:rPr>
  </w:style>
  <w:style w:type="character" w:customStyle="1" w:styleId="EncabezadoCar">
    <w:name w:val="Encabezado Car"/>
    <w:basedOn w:val="Fuentedeprrafopredeter"/>
    <w:link w:val="Encabezado"/>
    <w:uiPriority w:val="99"/>
  </w:style>
  <w:style w:type="paragraph" w:styleId="Piedepgina">
    <w:name w:val="footer"/>
    <w:basedOn w:val="Normal"/>
    <w:link w:val="PiedepginaCar"/>
    <w:uiPriority w:val="99"/>
    <w:unhideWhenUsed/>
    <w:pPr>
      <w:tabs>
        <w:tab w:val="center" w:pos="4680"/>
        <w:tab w:val="right" w:pos="9360"/>
      </w:tabs>
      <w:spacing w:after="0" w:line="240" w:lineRule="auto"/>
    </w:pPr>
    <w:rPr>
      <w:rFonts w:ascii="Calibri" w:hAnsi="Calibri" w:cs="Calibri"/>
      <w:color w:val="7D8C94"/>
      <w:sz w:val="17"/>
      <w:szCs w:val="17"/>
    </w:rPr>
  </w:style>
  <w:style w:type="character" w:customStyle="1" w:styleId="PiedepginaCar">
    <w:name w:val="Pie de página Car"/>
    <w:basedOn w:val="Fuentedeprrafopredeter"/>
    <w:link w:val="Piedepgina"/>
    <w:uiPriority w:val="99"/>
  </w:style>
  <w:style w:type="paragraph" w:styleId="Sinespaciado">
    <w:name w:val="No Spacing"/>
    <w:uiPriority w:val="1"/>
    <w:qFormat/>
    <w:pPr>
      <w:spacing w:after="0" w:line="240" w:lineRule="auto"/>
    </w:pPr>
  </w:style>
  <w:style w:type="character" w:customStyle="1" w:styleId="Ttulo1Car">
    <w:name w:val="Título 1 Car"/>
    <w:basedOn w:val="Fuentedeprrafopredeter"/>
    <w:link w:val="Ttulo1"/>
    <w:uiPriority w:val="9"/>
    <w:rPr>
      <w:rFonts w:asciiTheme="majorHAnsi" w:eastAsiaTheme="majorEastAsia" w:hAnsiTheme="majorHAnsi" w:cstheme="majorBidi"/>
      <w:b/>
      <w:bCs/>
      <w:color w:val="17384D"/>
      <w:sz w:val="28"/>
      <w:szCs w:val="28"/>
    </w:rPr>
  </w:style>
  <w:style w:type="character" w:customStyle="1" w:styleId="Ttulo2Car">
    <w:name w:val="Título 2 Car"/>
    <w:basedOn w:val="Fuentedeprrafopredeter"/>
    <w:link w:val="Ttulo2"/>
    <w:uiPriority w:val="9"/>
    <w:rPr>
      <w:rFonts w:asciiTheme="majorHAnsi" w:eastAsiaTheme="majorEastAsia" w:hAnsiTheme="majorHAnsi" w:cstheme="majorBidi"/>
      <w:b/>
      <w:bCs/>
      <w:color w:val="17384D"/>
      <w:sz w:val="26"/>
      <w:szCs w:val="26"/>
    </w:rPr>
  </w:style>
  <w:style w:type="character" w:customStyle="1" w:styleId="Ttulo3Car">
    <w:name w:val="Título 3 Car"/>
    <w:basedOn w:val="Fuentedeprrafopredeter"/>
    <w:link w:val="Ttulo3"/>
    <w:uiPriority w:val="9"/>
    <w:rPr>
      <w:rFonts w:asciiTheme="majorHAnsi" w:eastAsiaTheme="majorEastAsia" w:hAnsiTheme="majorHAnsi" w:cstheme="majorBidi"/>
      <w:b/>
      <w:bCs/>
      <w:color w:val="1C7C7D"/>
    </w:rPr>
  </w:style>
  <w:style w:type="paragraph" w:styleId="Ttulo">
    <w:name w:val="Title"/>
    <w:basedOn w:val="Normal"/>
    <w:next w:val="Normal"/>
    <w:link w:val="TtuloCar"/>
    <w:uiPriority w:val="10"/>
    <w:qFormat/>
    <w:pPr>
      <w:keepNext/>
      <w:suppressAutoHyphens/>
      <w:spacing w:line="240" w:lineRule="auto"/>
      <w:jc w:val="left"/>
    </w:pPr>
    <w:rPr>
      <w:rFonts w:ascii="Calibri" w:hAnsi="Calibri" w:cs="Calibri"/>
      <w:b/>
      <w:color w:val="17384D"/>
      <w:spacing w:val="-6"/>
      <w:sz w:val="58"/>
      <w:szCs w:val="58"/>
    </w:rPr>
  </w:style>
  <w:style w:type="character" w:customStyle="1" w:styleId="TtuloCar">
    <w:name w:val="Título Car"/>
    <w:basedOn w:val="Fuentedeprrafopredeter"/>
    <w:link w:val="Ttulo"/>
    <w:uiPriority w:val="10"/>
    <w:rPr>
      <w:rFonts w:asciiTheme="majorHAnsi" w:eastAsiaTheme="majorEastAsia" w:hAnsiTheme="majorHAnsi" w:cstheme="majorBidi"/>
      <w:color w:val="17384D"/>
      <w:spacing w:val="5"/>
      <w:sz w:val="52"/>
      <w:szCs w:val="52"/>
    </w:rPr>
  </w:style>
  <w:style w:type="paragraph" w:styleId="Subttulo">
    <w:name w:val="Subtitle"/>
    <w:basedOn w:val="Normal"/>
    <w:next w:val="Normal"/>
    <w:link w:val="SubttuloCar"/>
    <w:uiPriority w:val="11"/>
    <w:qFormat/>
    <w:pPr>
      <w:numPr>
        <w:ilvl w:val="1"/>
      </w:numPr>
      <w:suppressAutoHyphens/>
      <w:spacing w:after="420"/>
      <w:jc w:val="left"/>
    </w:pPr>
    <w:rPr>
      <w:rFonts w:ascii="Calibri" w:hAnsi="Calibri" w:cs="Calibri"/>
      <w:iCs/>
      <w:smallCaps/>
      <w:color w:val="1C7C7D"/>
      <w:spacing w:val="15"/>
      <w:sz w:val="24"/>
      <w:szCs w:val="24"/>
    </w:rPr>
  </w:style>
  <w:style w:type="character" w:customStyle="1" w:styleId="SubttuloCar">
    <w:name w:val="Subtítulo Car"/>
    <w:basedOn w:val="Fuentedeprrafopredeter"/>
    <w:link w:val="Subttulo"/>
    <w:uiPriority w:val="11"/>
    <w:rPr>
      <w:rFonts w:asciiTheme="majorHAnsi" w:eastAsiaTheme="majorEastAsia" w:hAnsiTheme="majorHAnsi" w:cstheme="majorBidi"/>
      <w:i/>
      <w:iCs/>
      <w:color w:val="1C7C7D"/>
      <w:spacing w:val="15"/>
      <w:sz w:val="24"/>
      <w:szCs w:val="24"/>
    </w:rPr>
  </w:style>
  <w:style w:type="paragraph" w:styleId="Prrafodelista">
    <w:name w:val="List Paragraph"/>
    <w:basedOn w:val="Normal"/>
    <w:uiPriority w:val="34"/>
    <w:qFormat/>
    <w:pPr>
      <w:ind w:left="720"/>
    </w:pPr>
  </w:style>
  <w:style w:type="paragraph" w:styleId="Textoindependiente">
    <w:name w:val="Body Text"/>
    <w:basedOn w:val="Normal"/>
    <w:link w:val="TextoindependienteCar"/>
    <w:uiPriority w:val="99"/>
    <w:unhideWhenUsed/>
    <w:pPr>
      <w:spacing w:after="120"/>
    </w:pPr>
  </w:style>
  <w:style w:type="character" w:customStyle="1" w:styleId="TextoindependienteCar">
    <w:name w:val="Texto independiente Car"/>
    <w:basedOn w:val="Fuentedeprrafopredeter"/>
    <w:link w:val="Textoindependiente"/>
    <w:uiPriority w:val="99"/>
  </w:style>
  <w:style w:type="paragraph" w:styleId="Textoindependiente2">
    <w:name w:val="Body Text 2"/>
    <w:basedOn w:val="Normal"/>
    <w:link w:val="Textoindependiente2Car"/>
    <w:uiPriority w:val="99"/>
    <w:unhideWhenUsed/>
    <w:pPr>
      <w:spacing w:after="120" w:line="480" w:lineRule="auto"/>
    </w:pPr>
  </w:style>
  <w:style w:type="character" w:customStyle="1" w:styleId="Textoindependiente2Car">
    <w:name w:val="Texto independiente 2 Car"/>
    <w:basedOn w:val="Fuentedeprrafopredeter"/>
    <w:link w:val="Textoindependiente2"/>
    <w:uiPriority w:val="99"/>
  </w:style>
  <w:style w:type="paragraph" w:styleId="Textoindependiente3">
    <w:name w:val="Body Text 3"/>
    <w:basedOn w:val="Normal"/>
    <w:link w:val="Textoindependiente3Car"/>
    <w:uiPriority w:val="99"/>
    <w:unhideWhenUsed/>
    <w:pPr>
      <w:spacing w:after="120"/>
    </w:pPr>
    <w:rPr>
      <w:sz w:val="16"/>
      <w:szCs w:val="16"/>
    </w:rPr>
  </w:style>
  <w:style w:type="character" w:customStyle="1" w:styleId="Textoindependiente3Car">
    <w:name w:val="Texto independiente 3 Car"/>
    <w:basedOn w:val="Fuentedeprrafopredeter"/>
    <w:link w:val="Textoindependiente3"/>
    <w:uiPriority w:val="99"/>
    <w:rPr>
      <w:sz w:val="16"/>
      <w:szCs w:val="16"/>
    </w:rPr>
  </w:style>
  <w:style w:type="paragraph" w:styleId="Lista">
    <w:name w:val="List"/>
    <w:basedOn w:val="Normal"/>
    <w:uiPriority w:val="99"/>
    <w:unhideWhenUsed/>
    <w:pPr>
      <w:ind w:left="360" w:hanging="360"/>
      <w:contextualSpacing/>
    </w:pPr>
  </w:style>
  <w:style w:type="paragraph" w:styleId="Lista2">
    <w:name w:val="List 2"/>
    <w:basedOn w:val="Normal"/>
    <w:uiPriority w:val="99"/>
    <w:unhideWhenUsed/>
    <w:pPr>
      <w:ind w:left="720" w:hanging="360"/>
      <w:contextualSpacing/>
    </w:pPr>
  </w:style>
  <w:style w:type="paragraph" w:styleId="Lista3">
    <w:name w:val="List 3"/>
    <w:basedOn w:val="Normal"/>
    <w:uiPriority w:val="99"/>
    <w:unhideWhenUsed/>
    <w:pPr>
      <w:ind w:left="1080" w:hanging="360"/>
      <w:contextualSpacing/>
    </w:pPr>
  </w:style>
  <w:style w:type="paragraph" w:styleId="Listaconvietas">
    <w:name w:val="List Bullet"/>
    <w:basedOn w:val="Normal"/>
    <w:uiPriority w:val="99"/>
    <w:unhideWhenUsed/>
    <w:pPr>
      <w:numPr>
        <w:numId w:val="1"/>
      </w:numPr>
      <w:contextualSpacing/>
    </w:pPr>
  </w:style>
  <w:style w:type="paragraph" w:styleId="Listaconvietas2">
    <w:name w:val="List Bullet 2"/>
    <w:basedOn w:val="Normal"/>
    <w:uiPriority w:val="99"/>
    <w:unhideWhenUsed/>
    <w:pPr>
      <w:numPr>
        <w:numId w:val="2"/>
      </w:numPr>
      <w:contextualSpacing/>
    </w:pPr>
  </w:style>
  <w:style w:type="paragraph" w:styleId="Listaconvietas3">
    <w:name w:val="List Bullet 3"/>
    <w:basedOn w:val="Normal"/>
    <w:uiPriority w:val="99"/>
    <w:unhideWhenUsed/>
    <w:pPr>
      <w:numPr>
        <w:numId w:val="3"/>
      </w:numPr>
      <w:contextualSpacing/>
    </w:pPr>
  </w:style>
  <w:style w:type="paragraph" w:styleId="Listaconnmeros">
    <w:name w:val="List Number"/>
    <w:basedOn w:val="Normal"/>
    <w:uiPriority w:val="99"/>
    <w:unhideWhenUsed/>
    <w:pPr>
      <w:numPr>
        <w:numId w:val="5"/>
      </w:numPr>
      <w:contextualSpacing/>
    </w:pPr>
  </w:style>
  <w:style w:type="paragraph" w:styleId="Listaconnmeros2">
    <w:name w:val="List Number 2"/>
    <w:basedOn w:val="Normal"/>
    <w:uiPriority w:val="99"/>
    <w:unhideWhenUsed/>
    <w:pPr>
      <w:numPr>
        <w:numId w:val="6"/>
      </w:numPr>
      <w:contextualSpacing/>
    </w:pPr>
  </w:style>
  <w:style w:type="paragraph" w:styleId="Listaconnmeros3">
    <w:name w:val="List Number 3"/>
    <w:basedOn w:val="Normal"/>
    <w:uiPriority w:val="99"/>
    <w:unhideWhenUsed/>
    <w:pPr>
      <w:numPr>
        <w:numId w:val="7"/>
      </w:numPr>
      <w:contextualSpacing/>
    </w:pPr>
  </w:style>
  <w:style w:type="paragraph" w:styleId="Continuarlista">
    <w:name w:val="List Continue"/>
    <w:basedOn w:val="Normal"/>
    <w:uiPriority w:val="99"/>
    <w:unhideWhenUsed/>
    <w:pPr>
      <w:spacing w:after="120"/>
      <w:ind w:left="360"/>
      <w:contextualSpacing/>
    </w:pPr>
  </w:style>
  <w:style w:type="paragraph" w:styleId="Continuarlista2">
    <w:name w:val="List Continue 2"/>
    <w:basedOn w:val="Normal"/>
    <w:uiPriority w:val="99"/>
    <w:unhideWhenUsed/>
    <w:pPr>
      <w:spacing w:after="120"/>
      <w:ind w:left="720"/>
      <w:contextualSpacing/>
    </w:pPr>
  </w:style>
  <w:style w:type="paragraph" w:styleId="Continuarlista3">
    <w:name w:val="List Continue 3"/>
    <w:basedOn w:val="Normal"/>
    <w:uiPriority w:val="99"/>
    <w:unhideWhenUsed/>
    <w:pPr>
      <w:spacing w:after="120"/>
      <w:ind w:left="1080"/>
      <w:contextualSpacing/>
    </w:pPr>
  </w:style>
  <w:style w:type="paragraph" w:styleId="Textomacro">
    <w:name w:val="macro"/>
    <w:link w:val="TextomacroCar"/>
    <w:uiPriority w:val="99"/>
    <w:unhideWhenUse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Pr>
      <w:rFonts w:ascii="Courier" w:hAnsi="Courier"/>
      <w:sz w:val="20"/>
      <w:szCs w:val="20"/>
    </w:rPr>
  </w:style>
  <w:style w:type="paragraph" w:styleId="Cita">
    <w:name w:val="Quote"/>
    <w:basedOn w:val="Normal"/>
    <w:next w:val="Normal"/>
    <w:link w:val="CitaCar"/>
    <w:uiPriority w:val="29"/>
    <w:qFormat/>
    <w:rPr>
      <w:i/>
      <w:iCs/>
      <w:color w:val="000000" w:themeColor="text1"/>
    </w:rPr>
  </w:style>
  <w:style w:type="character" w:customStyle="1" w:styleId="CitaCar">
    <w:name w:val="Cita Car"/>
    <w:basedOn w:val="Fuentedeprrafopredeter"/>
    <w:link w:val="Cita"/>
    <w:uiPriority w:val="29"/>
    <w:rPr>
      <w:i/>
      <w:iCs/>
      <w:color w:val="000000" w:themeColor="text1"/>
    </w:rPr>
  </w:style>
  <w:style w:type="character" w:customStyle="1" w:styleId="Ttulo4Car">
    <w:name w:val="Título 4 Car"/>
    <w:basedOn w:val="Fuentedeprrafopredeter"/>
    <w:link w:val="Ttulo4"/>
    <w:uiPriority w:val="9"/>
    <w:semiHidden/>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pPr>
      <w:spacing w:line="240" w:lineRule="auto"/>
    </w:pPr>
    <w:rPr>
      <w:b/>
      <w:bCs/>
      <w:color w:val="4F81BD" w:themeColor="accent1"/>
      <w:sz w:val="18"/>
      <w:szCs w:val="18"/>
    </w:rPr>
  </w:style>
  <w:style w:type="character" w:styleId="Fuerte">
    <w:name w:val="Strong"/>
    <w:basedOn w:val="Fuentedeprrafopredeter"/>
    <w:uiPriority w:val="22"/>
    <w:qFormat/>
    <w:rPr>
      <w:b/>
      <w:bCs/>
    </w:rPr>
  </w:style>
  <w:style w:type="character" w:styleId="nfasis">
    <w:name w:val="Emphasis"/>
    <w:basedOn w:val="Fuentedeprrafopredeter"/>
    <w:uiPriority w:val="20"/>
    <w:qFormat/>
    <w:rPr>
      <w:i/>
      <w:iCs/>
    </w:rPr>
  </w:style>
  <w:style w:type="paragraph" w:styleId="Citadestacada">
    <w:name w:val="Intense Quote"/>
    <w:basedOn w:val="Normal"/>
    <w:next w:val="Normal"/>
    <w:link w:val="CitadestacadaCar"/>
    <w:uiPriority w:val="30"/>
    <w:qFormat/>
    <w:pP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Pr>
      <w:b/>
      <w:bCs/>
      <w:i/>
      <w:iCs/>
      <w:color w:val="4F81BD" w:themeColor="accent1"/>
    </w:rPr>
  </w:style>
  <w:style w:type="character" w:styleId="nfasissutil">
    <w:name w:val="Subtle Emphasis"/>
    <w:basedOn w:val="Fuentedeprrafopredeter"/>
    <w:uiPriority w:val="19"/>
    <w:qFormat/>
    <w:rPr>
      <w:i/>
      <w:iCs/>
      <w:color w:val="808080" w:themeColor="text1" w:themeTint="7F"/>
    </w:rPr>
  </w:style>
  <w:style w:type="character" w:styleId="nfasisintenso">
    <w:name w:val="Intense Emphasis"/>
    <w:basedOn w:val="Fuentedeprrafopredeter"/>
    <w:uiPriority w:val="21"/>
    <w:qFormat/>
    <w:rPr>
      <w:b/>
      <w:bCs/>
      <w:i/>
      <w:iCs/>
      <w:color w:val="4F81BD" w:themeColor="accent1"/>
    </w:rPr>
  </w:style>
  <w:style w:type="character" w:styleId="Referenciasutil">
    <w:name w:val="Subtle Reference"/>
    <w:basedOn w:val="Fuentedeprrafopredeter"/>
    <w:uiPriority w:val="31"/>
    <w:qFormat/>
    <w:rPr>
      <w:smallCaps/>
      <w:color w:val="C0504D" w:themeColor="accent2"/>
      <w:u w:val="single"/>
    </w:rPr>
  </w:style>
  <w:style w:type="character" w:styleId="Referenciaintensa">
    <w:name w:val="Intense Reference"/>
    <w:basedOn w:val="Fuentedeprrafopredeter"/>
    <w:uiPriority w:val="32"/>
    <w:qFormat/>
    <w:rPr>
      <w:b/>
      <w:bCs/>
      <w:smallCaps/>
      <w:color w:val="C0504D" w:themeColor="accent2"/>
      <w:spacing w:val="5"/>
      <w:u w:val="single"/>
    </w:rPr>
  </w:style>
  <w:style w:type="character" w:styleId="Ttulodellibro">
    <w:name w:val="Book Title"/>
    <w:basedOn w:val="Fuentedeprrafopredeter"/>
    <w:uiPriority w:val="33"/>
    <w:qFormat/>
    <w:rPr>
      <w:b/>
      <w:bCs/>
      <w:smallCaps/>
      <w:spacing w:val="5"/>
    </w:rPr>
  </w:style>
  <w:style w:type="paragraph" w:styleId="TtuloTDC">
    <w:name w:val="TOC Heading"/>
    <w:basedOn w:val="Ttulo1"/>
    <w:next w:val="Normal"/>
    <w:uiPriority w:val="39"/>
    <w:semiHidden/>
    <w:unhideWhenUsed/>
    <w:qFormat/>
    <w:pPr>
      <w:outlineLvl w:val="9"/>
    </w:pPr>
  </w:style>
  <w:style w:type="table" w:styleId="Tablaconcuadrcula">
    <w:name w:val="Table Grid"/>
    <w:basedOn w:val="Tabla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Sombreadoclaro">
    <w:name w:val="Light Shading"/>
    <w:basedOn w:val="Tablanormal"/>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one" w:sz="4" w:space="0" w:color="000000"/>
          <w:bottom w:val="single" w:sz="8" w:space="0" w:color="000000" w:themeColor="text1"/>
          <w:right w:val="none" w:sz="4" w:space="0" w:color="000000"/>
        </w:tcBorders>
      </w:tcPr>
    </w:tblStylePr>
    <w:tblStylePr w:type="lastRow">
      <w:pPr>
        <w:spacing w:before="0" w:after="0" w:line="240" w:lineRule="auto"/>
      </w:pPr>
      <w:rPr>
        <w:b/>
        <w:bCs/>
      </w:rPr>
      <w:tblPr/>
      <w:tcPr>
        <w:tcBorders>
          <w:top w:val="single" w:sz="8" w:space="0" w:color="000000" w:themeColor="text1"/>
          <w:left w:val="none" w:sz="4" w:space="0" w:color="000000"/>
          <w:bottom w:val="single" w:sz="8" w:space="0" w:color="000000" w:themeColor="text1"/>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C0C0C0" w:themeFill="text1" w:themeFillTint="3F"/>
      </w:tcPr>
    </w:tblStylePr>
    <w:tblStylePr w:type="band1Horz">
      <w:tblPr/>
      <w:tcPr>
        <w:tcBorders>
          <w:left w:val="none" w:sz="4" w:space="0" w:color="000000"/>
          <w:right w:val="none" w:sz="4" w:space="0" w:color="000000"/>
        </w:tcBorders>
        <w:shd w:val="clear" w:color="auto" w:fill="C0C0C0" w:themeFill="text1" w:themeFillTint="3F"/>
      </w:tcPr>
    </w:tblStylePr>
  </w:style>
  <w:style w:type="table" w:styleId="Sombreadoclaro-nfasis1">
    <w:name w:val="Light Shading Accent 1"/>
    <w:basedOn w:val="Tablanormal"/>
    <w:uiPriority w:val="60"/>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one" w:sz="4" w:space="0" w:color="000000"/>
          <w:bottom w:val="single" w:sz="8" w:space="0" w:color="4F81BD" w:themeColor="accent1"/>
          <w:right w:val="none" w:sz="4" w:space="0" w:color="000000"/>
        </w:tcBorders>
      </w:tcPr>
    </w:tblStylePr>
    <w:tblStylePr w:type="lastRow">
      <w:pPr>
        <w:spacing w:before="0" w:after="0" w:line="240" w:lineRule="auto"/>
      </w:pPr>
      <w:rPr>
        <w:b/>
        <w:bCs/>
      </w:rPr>
      <w:tblPr/>
      <w:tcPr>
        <w:tcBorders>
          <w:top w:val="single" w:sz="8" w:space="0" w:color="4F81BD" w:themeColor="accent1"/>
          <w:left w:val="none" w:sz="4" w:space="0" w:color="000000"/>
          <w:bottom w:val="single" w:sz="8" w:space="0" w:color="4F81BD" w:themeColor="accent1"/>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D3DFEE" w:themeFill="accent1" w:themeFillTint="3F"/>
      </w:tcPr>
    </w:tblStylePr>
    <w:tblStylePr w:type="band1Horz">
      <w:tblPr/>
      <w:tcPr>
        <w:tcBorders>
          <w:left w:val="none" w:sz="4" w:space="0" w:color="000000"/>
          <w:right w:val="none" w:sz="4" w:space="0" w:color="000000"/>
        </w:tcBorders>
        <w:shd w:val="clear" w:color="auto" w:fill="D3DFEE" w:themeFill="accent1" w:themeFillTint="3F"/>
      </w:tcPr>
    </w:tblStylePr>
  </w:style>
  <w:style w:type="table" w:styleId="Sombreadoclaro-nfasis2">
    <w:name w:val="Light Shading Accent 2"/>
    <w:basedOn w:val="Tablanormal"/>
    <w:uiPriority w:val="60"/>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one" w:sz="4" w:space="0" w:color="000000"/>
          <w:bottom w:val="single" w:sz="8" w:space="0" w:color="C0504D" w:themeColor="accent2"/>
          <w:right w:val="none" w:sz="4" w:space="0" w:color="000000"/>
        </w:tcBorders>
      </w:tcPr>
    </w:tblStylePr>
    <w:tblStylePr w:type="lastRow">
      <w:pPr>
        <w:spacing w:before="0" w:after="0" w:line="240" w:lineRule="auto"/>
      </w:pPr>
      <w:rPr>
        <w:b/>
        <w:bCs/>
      </w:rPr>
      <w:tblPr/>
      <w:tcPr>
        <w:tcBorders>
          <w:top w:val="single" w:sz="8" w:space="0" w:color="C0504D" w:themeColor="accent2"/>
          <w:left w:val="none" w:sz="4" w:space="0" w:color="000000"/>
          <w:bottom w:val="single" w:sz="8" w:space="0" w:color="C0504D" w:themeColor="accent2"/>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EFD3D2" w:themeFill="accent2" w:themeFillTint="3F"/>
      </w:tcPr>
    </w:tblStylePr>
    <w:tblStylePr w:type="band1Horz">
      <w:tblPr/>
      <w:tcPr>
        <w:tcBorders>
          <w:left w:val="none" w:sz="4" w:space="0" w:color="000000"/>
          <w:right w:val="none" w:sz="4" w:space="0" w:color="000000"/>
        </w:tcBorders>
        <w:shd w:val="clear" w:color="auto" w:fill="EFD3D2" w:themeFill="accent2" w:themeFillTint="3F"/>
      </w:tcPr>
    </w:tblStylePr>
  </w:style>
  <w:style w:type="table" w:styleId="Sombreadoclaro-nfasis3">
    <w:name w:val="Light Shading Accent 3"/>
    <w:basedOn w:val="Tablanormal"/>
    <w:uiPriority w:val="60"/>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one" w:sz="4" w:space="0" w:color="000000"/>
          <w:bottom w:val="single" w:sz="8" w:space="0" w:color="9BBB59" w:themeColor="accent3"/>
          <w:right w:val="none" w:sz="4" w:space="0" w:color="000000"/>
        </w:tcBorders>
      </w:tcPr>
    </w:tblStylePr>
    <w:tblStylePr w:type="lastRow">
      <w:pPr>
        <w:spacing w:before="0" w:after="0" w:line="240" w:lineRule="auto"/>
      </w:pPr>
      <w:rPr>
        <w:b/>
        <w:bCs/>
      </w:rPr>
      <w:tblPr/>
      <w:tcPr>
        <w:tcBorders>
          <w:top w:val="single" w:sz="8" w:space="0" w:color="9BBB59" w:themeColor="accent3"/>
          <w:left w:val="none" w:sz="4" w:space="0" w:color="000000"/>
          <w:bottom w:val="single" w:sz="8" w:space="0" w:color="9BBB59" w:themeColor="accent3"/>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E6EED5" w:themeFill="accent3" w:themeFillTint="3F"/>
      </w:tcPr>
    </w:tblStylePr>
    <w:tblStylePr w:type="band1Horz">
      <w:tblPr/>
      <w:tcPr>
        <w:tcBorders>
          <w:left w:val="none" w:sz="4" w:space="0" w:color="000000"/>
          <w:right w:val="none" w:sz="4" w:space="0" w:color="000000"/>
        </w:tcBorders>
        <w:shd w:val="clear" w:color="auto" w:fill="E6EED5" w:themeFill="accent3" w:themeFillTint="3F"/>
      </w:tcPr>
    </w:tblStylePr>
  </w:style>
  <w:style w:type="table" w:styleId="Sombreadoclaro-nfasis4">
    <w:name w:val="Light Shading Accent 4"/>
    <w:basedOn w:val="Tablanormal"/>
    <w:uiPriority w:val="60"/>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one" w:sz="4" w:space="0" w:color="000000"/>
          <w:bottom w:val="single" w:sz="8" w:space="0" w:color="8064A2" w:themeColor="accent4"/>
          <w:right w:val="none" w:sz="4" w:space="0" w:color="000000"/>
        </w:tcBorders>
      </w:tcPr>
    </w:tblStylePr>
    <w:tblStylePr w:type="lastRow">
      <w:pPr>
        <w:spacing w:before="0" w:after="0" w:line="240" w:lineRule="auto"/>
      </w:pPr>
      <w:rPr>
        <w:b/>
        <w:bCs/>
      </w:rPr>
      <w:tblPr/>
      <w:tcPr>
        <w:tcBorders>
          <w:top w:val="single" w:sz="8" w:space="0" w:color="8064A2" w:themeColor="accent4"/>
          <w:left w:val="none" w:sz="4" w:space="0" w:color="000000"/>
          <w:bottom w:val="single" w:sz="8" w:space="0" w:color="8064A2" w:themeColor="accent4"/>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DFD8E8" w:themeFill="accent4" w:themeFillTint="3F"/>
      </w:tcPr>
    </w:tblStylePr>
    <w:tblStylePr w:type="band1Horz">
      <w:tblPr/>
      <w:tcPr>
        <w:tcBorders>
          <w:left w:val="none" w:sz="4" w:space="0" w:color="000000"/>
          <w:right w:val="none" w:sz="4" w:space="0" w:color="000000"/>
        </w:tcBorders>
        <w:shd w:val="clear" w:color="auto" w:fill="DFD8E8" w:themeFill="accent4" w:themeFillTint="3F"/>
      </w:tcPr>
    </w:tblStylePr>
  </w:style>
  <w:style w:type="table" w:styleId="Sombreadoclaro-nfasis5">
    <w:name w:val="Light Shading Accent 5"/>
    <w:basedOn w:val="Tablanormal"/>
    <w:uiPriority w:val="60"/>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one" w:sz="4" w:space="0" w:color="000000"/>
          <w:bottom w:val="single" w:sz="8" w:space="0" w:color="4BACC6" w:themeColor="accent5"/>
          <w:right w:val="none" w:sz="4" w:space="0" w:color="000000"/>
        </w:tcBorders>
      </w:tcPr>
    </w:tblStylePr>
    <w:tblStylePr w:type="lastRow">
      <w:pPr>
        <w:spacing w:before="0" w:after="0" w:line="240" w:lineRule="auto"/>
      </w:pPr>
      <w:rPr>
        <w:b/>
        <w:bCs/>
      </w:rPr>
      <w:tblPr/>
      <w:tcPr>
        <w:tcBorders>
          <w:top w:val="single" w:sz="8" w:space="0" w:color="4BACC6" w:themeColor="accent5"/>
          <w:left w:val="none" w:sz="4" w:space="0" w:color="000000"/>
          <w:bottom w:val="single" w:sz="8" w:space="0" w:color="4BACC6" w:themeColor="accent5"/>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D2EAF1" w:themeFill="accent5" w:themeFillTint="3F"/>
      </w:tcPr>
    </w:tblStylePr>
    <w:tblStylePr w:type="band1Horz">
      <w:tblPr/>
      <w:tcPr>
        <w:tcBorders>
          <w:left w:val="none" w:sz="4" w:space="0" w:color="000000"/>
          <w:right w:val="none" w:sz="4" w:space="0" w:color="000000"/>
        </w:tcBorders>
        <w:shd w:val="clear" w:color="auto" w:fill="D2EAF1" w:themeFill="accent5" w:themeFillTint="3F"/>
      </w:tcPr>
    </w:tblStylePr>
  </w:style>
  <w:style w:type="table" w:styleId="Sombreadoclaro-nfasis6">
    <w:name w:val="Light Shading Accent 6"/>
    <w:basedOn w:val="Tablanormal"/>
    <w:uiPriority w:val="60"/>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one" w:sz="4" w:space="0" w:color="000000"/>
          <w:bottom w:val="single" w:sz="8" w:space="0" w:color="F79646" w:themeColor="accent6"/>
          <w:right w:val="none" w:sz="4" w:space="0" w:color="000000"/>
        </w:tcBorders>
      </w:tcPr>
    </w:tblStylePr>
    <w:tblStylePr w:type="lastRow">
      <w:pPr>
        <w:spacing w:before="0" w:after="0" w:line="240" w:lineRule="auto"/>
      </w:pPr>
      <w:rPr>
        <w:b/>
        <w:bCs/>
      </w:rPr>
      <w:tblPr/>
      <w:tcPr>
        <w:tcBorders>
          <w:top w:val="single" w:sz="8" w:space="0" w:color="F79646" w:themeColor="accent6"/>
          <w:left w:val="none" w:sz="4" w:space="0" w:color="000000"/>
          <w:bottom w:val="single" w:sz="8" w:space="0" w:color="F79646" w:themeColor="accent6"/>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FDE4D0" w:themeFill="accent6" w:themeFillTint="3F"/>
      </w:tcPr>
    </w:tblStylePr>
    <w:tblStylePr w:type="band1Horz">
      <w:tblPr/>
      <w:tcPr>
        <w:tcBorders>
          <w:left w:val="none" w:sz="4" w:space="0" w:color="000000"/>
          <w:right w:val="none" w:sz="4" w:space="0" w:color="000000"/>
        </w:tcBorders>
        <w:shd w:val="clear" w:color="auto" w:fill="FDE4D0" w:themeFill="accent6" w:themeFillTint="3F"/>
      </w:tcPr>
    </w:tblStylePr>
  </w:style>
  <w:style w:type="table" w:styleId="Listaclara">
    <w:name w:val="Light List"/>
    <w:basedOn w:val="Tablanormal"/>
    <w:uiPriority w:val="61"/>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sing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sing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sing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sing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sing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sing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sing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Cuadrculaclara-nfasis1">
    <w:name w:val="Light Grid Accent 1"/>
    <w:basedOn w:val="Tablanormal"/>
    <w:uiPriority w:val="62"/>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Cuadrculaclara-nfasis2">
    <w:name w:val="Light Grid Accent 2"/>
    <w:basedOn w:val="Tablanormal"/>
    <w:uiPriority w:val="62"/>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Cuadrculaclara-nfasis3">
    <w:name w:val="Light Grid Accent 3"/>
    <w:basedOn w:val="Tablanormal"/>
    <w:uiPriority w:val="62"/>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Cuadrculaclara-nfasis4">
    <w:name w:val="Light Grid Accent 4"/>
    <w:basedOn w:val="Tablanormal"/>
    <w:uiPriority w:val="62"/>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Cuadrculaclara-nfasis5">
    <w:name w:val="Light Grid Accent 5"/>
    <w:basedOn w:val="Tablanormal"/>
    <w:uiPriority w:val="62"/>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Cuadrculaclara-nfasis6">
    <w:name w:val="Light Grid Accent 6"/>
    <w:basedOn w:val="Tablanormal"/>
    <w:uiPriority w:val="62"/>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ombreadomedio1">
    <w:name w:val="Medium Shading 1"/>
    <w:basedOn w:val="Tablanormal"/>
    <w:uiPriority w:val="63"/>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000000" w:themeFill="text1"/>
      </w:tcPr>
    </w:tblStylePr>
    <w:tblStylePr w:type="lastRow">
      <w:pPr>
        <w:spacing w:before="0" w:after="0" w:line="240" w:lineRule="auto"/>
      </w:pPr>
      <w:rPr>
        <w:b/>
        <w:bCs/>
      </w:rPr>
      <w:tblPr/>
      <w:tcPr>
        <w:tcBorders>
          <w:top w:val="sing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ombreadomedio1-nfasis1">
    <w:name w:val="Medium Shading 1 Accent 1"/>
    <w:basedOn w:val="Tablanormal"/>
    <w:uiPriority w:val="63"/>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tcBorders>
        <w:shd w:val="clear" w:color="auto" w:fill="4F81BD" w:themeFill="accent1"/>
      </w:tcPr>
    </w:tblStylePr>
    <w:tblStylePr w:type="lastRow">
      <w:pPr>
        <w:spacing w:before="0" w:after="0" w:line="240" w:lineRule="auto"/>
      </w:pPr>
      <w:rPr>
        <w:b/>
        <w:bCs/>
      </w:rPr>
      <w:tblPr/>
      <w:tcPr>
        <w:tcBorders>
          <w:top w:val="sing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ombreadomedio1-nfasis2">
    <w:name w:val="Medium Shading 1 Accent 2"/>
    <w:basedOn w:val="Tablanormal"/>
    <w:uiPriority w:val="63"/>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tcBorders>
        <w:shd w:val="clear" w:color="auto" w:fill="C0504D" w:themeFill="accent2"/>
      </w:tcPr>
    </w:tblStylePr>
    <w:tblStylePr w:type="lastRow">
      <w:pPr>
        <w:spacing w:before="0" w:after="0" w:line="240" w:lineRule="auto"/>
      </w:pPr>
      <w:rPr>
        <w:b/>
        <w:bCs/>
      </w:rPr>
      <w:tblPr/>
      <w:tcPr>
        <w:tcBorders>
          <w:top w:val="sing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ombreadomedio1-nfasis3">
    <w:name w:val="Medium Shading 1 Accent 3"/>
    <w:basedOn w:val="Tablanormal"/>
    <w:uiPriority w:val="63"/>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shd w:val="clear" w:color="auto" w:fill="9BBB59" w:themeFill="accent3"/>
      </w:tcPr>
    </w:tblStylePr>
    <w:tblStylePr w:type="lastRow">
      <w:pPr>
        <w:spacing w:before="0" w:after="0" w:line="240" w:lineRule="auto"/>
      </w:pPr>
      <w:rPr>
        <w:b/>
        <w:bCs/>
      </w:rPr>
      <w:tblPr/>
      <w:tcPr>
        <w:tcBorders>
          <w:top w:val="sing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ombreadomedio1-nfasis4">
    <w:name w:val="Medium Shading 1 Accent 4"/>
    <w:basedOn w:val="Tablanormal"/>
    <w:uiPriority w:val="63"/>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tcBorders>
        <w:shd w:val="clear" w:color="auto" w:fill="8064A2" w:themeFill="accent4"/>
      </w:tcPr>
    </w:tblStylePr>
    <w:tblStylePr w:type="lastRow">
      <w:pPr>
        <w:spacing w:before="0" w:after="0" w:line="240" w:lineRule="auto"/>
      </w:pPr>
      <w:rPr>
        <w:b/>
        <w:bCs/>
      </w:rPr>
      <w:tblPr/>
      <w:tcPr>
        <w:tcBorders>
          <w:top w:val="sing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ombreadomedio1-nfasis5">
    <w:name w:val="Medium Shading 1 Accent 5"/>
    <w:basedOn w:val="Tablanormal"/>
    <w:uiPriority w:val="63"/>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tcBorders>
        <w:shd w:val="clear" w:color="auto" w:fill="4BACC6" w:themeFill="accent5"/>
      </w:tcPr>
    </w:tblStylePr>
    <w:tblStylePr w:type="lastRow">
      <w:pPr>
        <w:spacing w:before="0" w:after="0" w:line="240" w:lineRule="auto"/>
      </w:pPr>
      <w:rPr>
        <w:b/>
        <w:bCs/>
      </w:rPr>
      <w:tblPr/>
      <w:tcPr>
        <w:tcBorders>
          <w:top w:val="sing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ombreadomedio1-nfasis6">
    <w:name w:val="Medium Shading 1 Accent 6"/>
    <w:basedOn w:val="Tablanormal"/>
    <w:uiPriority w:val="63"/>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tcBorders>
        <w:shd w:val="clear" w:color="auto" w:fill="F79646" w:themeFill="accent6"/>
      </w:tcPr>
    </w:tblStylePr>
    <w:tblStylePr w:type="lastRow">
      <w:pPr>
        <w:spacing w:before="0" w:after="0" w:line="240" w:lineRule="auto"/>
      </w:pPr>
      <w:rPr>
        <w:b/>
        <w:bCs/>
      </w:rPr>
      <w:tblPr/>
      <w:tcPr>
        <w:tcBorders>
          <w:top w:val="sing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ombreadomedio2">
    <w:name w:val="Medium Shading 2"/>
    <w:basedOn w:val="Tabla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000000" w:themeFill="text1"/>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000000" w:themeFill="text1"/>
      </w:tcPr>
    </w:tblStylePr>
    <w:tblStylePr w:type="lastCol">
      <w:rPr>
        <w:b/>
        <w:bCs/>
        <w:color w:val="FFFFFF" w:themeColor="background1"/>
      </w:rPr>
      <w:tblPr/>
      <w:tcPr>
        <w:tcBorders>
          <w:left w:val="none" w:sz="4" w:space="0" w:color="000000"/>
          <w:right w:val="none" w:sz="4" w:space="0" w:color="000000"/>
        </w:tcBorders>
        <w:shd w:val="clear" w:color="auto" w:fill="000000" w:themeFill="text1"/>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Sombreadomedio2-nfasis1">
    <w:name w:val="Medium Shading 2 Accent 1"/>
    <w:basedOn w:val="Tabla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4F81BD" w:themeFill="accent1"/>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4F81BD" w:themeFill="accent1"/>
      </w:tcPr>
    </w:tblStylePr>
    <w:tblStylePr w:type="lastCol">
      <w:rPr>
        <w:b/>
        <w:bCs/>
        <w:color w:val="FFFFFF" w:themeColor="background1"/>
      </w:rPr>
      <w:tblPr/>
      <w:tcPr>
        <w:tcBorders>
          <w:left w:val="none" w:sz="4" w:space="0" w:color="000000"/>
          <w:right w:val="none" w:sz="4" w:space="0" w:color="000000"/>
        </w:tcBorders>
        <w:shd w:val="clear" w:color="auto" w:fill="4F81BD" w:themeFill="accent1"/>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Sombreadomedio2-nfasis2">
    <w:name w:val="Medium Shading 2 Accent 2"/>
    <w:basedOn w:val="Tabla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C0504D" w:themeFill="accent2"/>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C0504D" w:themeFill="accent2"/>
      </w:tcPr>
    </w:tblStylePr>
    <w:tblStylePr w:type="lastCol">
      <w:rPr>
        <w:b/>
        <w:bCs/>
        <w:color w:val="FFFFFF" w:themeColor="background1"/>
      </w:rPr>
      <w:tblPr/>
      <w:tcPr>
        <w:tcBorders>
          <w:left w:val="none" w:sz="4" w:space="0" w:color="000000"/>
          <w:right w:val="none" w:sz="4" w:space="0" w:color="000000"/>
        </w:tcBorders>
        <w:shd w:val="clear" w:color="auto" w:fill="C0504D" w:themeFill="accent2"/>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Sombreadomedio2-nfasis3">
    <w:name w:val="Medium Shading 2 Accent 3"/>
    <w:basedOn w:val="Tabla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9BBB59" w:themeFill="accent3"/>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9BBB59" w:themeFill="accent3"/>
      </w:tcPr>
    </w:tblStylePr>
    <w:tblStylePr w:type="lastCol">
      <w:rPr>
        <w:b/>
        <w:bCs/>
        <w:color w:val="FFFFFF" w:themeColor="background1"/>
      </w:rPr>
      <w:tblPr/>
      <w:tcPr>
        <w:tcBorders>
          <w:left w:val="none" w:sz="4" w:space="0" w:color="000000"/>
          <w:right w:val="none" w:sz="4" w:space="0" w:color="000000"/>
        </w:tcBorders>
        <w:shd w:val="clear" w:color="auto" w:fill="9BBB59" w:themeFill="accent3"/>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Sombreadomedio2-nfasis4">
    <w:name w:val="Medium Shading 2 Accent 4"/>
    <w:basedOn w:val="Tabla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8064A2" w:themeFill="accent4"/>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8064A2" w:themeFill="accent4"/>
      </w:tcPr>
    </w:tblStylePr>
    <w:tblStylePr w:type="lastCol">
      <w:rPr>
        <w:b/>
        <w:bCs/>
        <w:color w:val="FFFFFF" w:themeColor="background1"/>
      </w:rPr>
      <w:tblPr/>
      <w:tcPr>
        <w:tcBorders>
          <w:left w:val="none" w:sz="4" w:space="0" w:color="000000"/>
          <w:right w:val="none" w:sz="4" w:space="0" w:color="000000"/>
        </w:tcBorders>
        <w:shd w:val="clear" w:color="auto" w:fill="8064A2" w:themeFill="accent4"/>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Sombreadomedio2-nfasis5">
    <w:name w:val="Medium Shading 2 Accent 5"/>
    <w:basedOn w:val="Tabla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4BACC6" w:themeFill="accent5"/>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4BACC6" w:themeFill="accent5"/>
      </w:tcPr>
    </w:tblStylePr>
    <w:tblStylePr w:type="lastCol">
      <w:rPr>
        <w:b/>
        <w:bCs/>
        <w:color w:val="FFFFFF" w:themeColor="background1"/>
      </w:rPr>
      <w:tblPr/>
      <w:tcPr>
        <w:tcBorders>
          <w:left w:val="none" w:sz="4" w:space="0" w:color="000000"/>
          <w:right w:val="none" w:sz="4" w:space="0" w:color="000000"/>
        </w:tcBorders>
        <w:shd w:val="clear" w:color="auto" w:fill="4BACC6" w:themeFill="accent5"/>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Sombreadomedio2-nfasis6">
    <w:name w:val="Medium Shading 2 Accent 6"/>
    <w:basedOn w:val="Tabla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F79646" w:themeFill="accent6"/>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F79646" w:themeFill="accent6"/>
      </w:tcPr>
    </w:tblStylePr>
    <w:tblStylePr w:type="lastCol">
      <w:rPr>
        <w:b/>
        <w:bCs/>
        <w:color w:val="FFFFFF" w:themeColor="background1"/>
      </w:rPr>
      <w:tblPr/>
      <w:tcPr>
        <w:tcBorders>
          <w:left w:val="none" w:sz="4" w:space="0" w:color="000000"/>
          <w:right w:val="none" w:sz="4" w:space="0" w:color="000000"/>
        </w:tcBorders>
        <w:shd w:val="clear" w:color="auto" w:fill="F79646" w:themeFill="accent6"/>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Listamedia1">
    <w:name w:val="Medium List 1"/>
    <w:basedOn w:val="Tablanormal"/>
    <w:uiPriority w:val="65"/>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one" w:sz="4" w:space="0" w:color="000000"/>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one" w:sz="4" w:space="0" w:color="000000"/>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one" w:sz="4" w:space="0" w:color="000000"/>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one" w:sz="4" w:space="0" w:color="000000"/>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one" w:sz="4" w:space="0" w:color="000000"/>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one" w:sz="4" w:space="0" w:color="000000"/>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one" w:sz="4" w:space="0" w:color="000000"/>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one" w:sz="4" w:space="0" w:color="000000"/>
          <w:left w:val="none" w:sz="4" w:space="0" w:color="000000"/>
          <w:bottom w:val="single" w:sz="24" w:space="0" w:color="000000" w:themeColor="text1"/>
          <w:right w:val="none" w:sz="4" w:space="0" w:color="000000"/>
        </w:tcBorders>
        <w:shd w:val="clear" w:color="auto" w:fill="FFFFFF" w:themeFill="background1"/>
      </w:tcPr>
    </w:tblStylePr>
    <w:tblStylePr w:type="lastRow">
      <w:tblPr/>
      <w:tcPr>
        <w:tcBorders>
          <w:top w:val="single" w:sz="8"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000000" w:themeColor="text1"/>
        </w:tcBorders>
        <w:shd w:val="clear" w:color="auto" w:fill="FFFFFF" w:themeFill="background1"/>
      </w:tcPr>
    </w:tblStylePr>
    <w:tblStylePr w:type="lastCol">
      <w:tblPr/>
      <w:tcPr>
        <w:tcBorders>
          <w:top w:val="none" w:sz="4" w:space="0" w:color="000000"/>
          <w:left w:val="single" w:sz="8" w:space="0" w:color="000000" w:themeColor="text1"/>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C0C0C0" w:themeFill="text1" w:themeFillTint="3F"/>
      </w:tcPr>
    </w:tblStylePr>
    <w:tblStylePr w:type="band1Horz">
      <w:tblPr/>
      <w:tcPr>
        <w:tcBorders>
          <w:top w:val="none" w:sz="4" w:space="0" w:color="000000"/>
          <w:bottom w:val="none" w:sz="4" w:space="0" w:color="000000"/>
        </w:tcBorders>
        <w:shd w:val="clear" w:color="auto" w:fill="C0C0C0" w:themeFill="text1"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Listamedia2-nfasis1">
    <w:name w:val="Medium List 2 Accent 1"/>
    <w:basedOn w:val="Tabla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one" w:sz="4" w:space="0" w:color="000000"/>
          <w:left w:val="none" w:sz="4" w:space="0" w:color="000000"/>
          <w:bottom w:val="single" w:sz="24" w:space="0" w:color="4F81BD" w:themeColor="accent1"/>
          <w:right w:val="none" w:sz="4" w:space="0" w:color="000000"/>
        </w:tcBorders>
        <w:shd w:val="clear" w:color="auto" w:fill="FFFFFF" w:themeFill="background1"/>
      </w:tcPr>
    </w:tblStylePr>
    <w:tblStylePr w:type="lastRow">
      <w:tblPr/>
      <w:tcPr>
        <w:tcBorders>
          <w:top w:val="single" w:sz="8" w:space="0" w:color="4F81BD" w:themeColor="accent1"/>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4F81BD" w:themeColor="accent1"/>
        </w:tcBorders>
        <w:shd w:val="clear" w:color="auto" w:fill="FFFFFF" w:themeFill="background1"/>
      </w:tcPr>
    </w:tblStylePr>
    <w:tblStylePr w:type="lastCol">
      <w:tblPr/>
      <w:tcPr>
        <w:tcBorders>
          <w:top w:val="none" w:sz="4" w:space="0" w:color="000000"/>
          <w:left w:val="single" w:sz="8" w:space="0" w:color="4F81BD" w:themeColor="accent1"/>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D3DFEE" w:themeFill="accent1" w:themeFillTint="3F"/>
      </w:tcPr>
    </w:tblStylePr>
    <w:tblStylePr w:type="band1Horz">
      <w:tblPr/>
      <w:tcPr>
        <w:tcBorders>
          <w:top w:val="none" w:sz="4" w:space="0" w:color="000000"/>
          <w:bottom w:val="none" w:sz="4" w:space="0" w:color="000000"/>
        </w:tcBorders>
        <w:shd w:val="clear" w:color="auto" w:fill="D3DFEE" w:themeFill="accent1"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Listamedia2-nfasis2">
    <w:name w:val="Medium List 2 Accent 2"/>
    <w:basedOn w:val="Tabla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one" w:sz="4" w:space="0" w:color="000000"/>
          <w:left w:val="none" w:sz="4" w:space="0" w:color="000000"/>
          <w:bottom w:val="single" w:sz="24" w:space="0" w:color="C0504D" w:themeColor="accent2"/>
          <w:right w:val="none" w:sz="4" w:space="0" w:color="000000"/>
        </w:tcBorders>
        <w:shd w:val="clear" w:color="auto" w:fill="FFFFFF" w:themeFill="background1"/>
      </w:tcPr>
    </w:tblStylePr>
    <w:tblStylePr w:type="lastRow">
      <w:tblPr/>
      <w:tcPr>
        <w:tcBorders>
          <w:top w:val="single" w:sz="8" w:space="0" w:color="C0504D" w:themeColor="accent2"/>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C0504D" w:themeColor="accent2"/>
        </w:tcBorders>
        <w:shd w:val="clear" w:color="auto" w:fill="FFFFFF" w:themeFill="background1"/>
      </w:tcPr>
    </w:tblStylePr>
    <w:tblStylePr w:type="lastCol">
      <w:tblPr/>
      <w:tcPr>
        <w:tcBorders>
          <w:top w:val="none" w:sz="4" w:space="0" w:color="000000"/>
          <w:left w:val="single" w:sz="8" w:space="0" w:color="C0504D" w:themeColor="accent2"/>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EFD3D2" w:themeFill="accent2" w:themeFillTint="3F"/>
      </w:tcPr>
    </w:tblStylePr>
    <w:tblStylePr w:type="band1Horz">
      <w:tblPr/>
      <w:tcPr>
        <w:tcBorders>
          <w:top w:val="none" w:sz="4" w:space="0" w:color="000000"/>
          <w:bottom w:val="none" w:sz="4" w:space="0" w:color="000000"/>
        </w:tcBorders>
        <w:shd w:val="clear" w:color="auto" w:fill="EFD3D2" w:themeFill="accent2"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Listamedia2-nfasis3">
    <w:name w:val="Medium List 2 Accent 3"/>
    <w:basedOn w:val="Tabla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one" w:sz="4" w:space="0" w:color="000000"/>
          <w:left w:val="none" w:sz="4" w:space="0" w:color="000000"/>
          <w:bottom w:val="single" w:sz="24" w:space="0" w:color="9BBB59" w:themeColor="accent3"/>
          <w:right w:val="none" w:sz="4" w:space="0" w:color="000000"/>
        </w:tcBorders>
        <w:shd w:val="clear" w:color="auto" w:fill="FFFFFF" w:themeFill="background1"/>
      </w:tcPr>
    </w:tblStylePr>
    <w:tblStylePr w:type="lastRow">
      <w:tblPr/>
      <w:tcPr>
        <w:tcBorders>
          <w:top w:val="single" w:sz="8" w:space="0" w:color="9BBB59" w:themeColor="accent3"/>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9BBB59" w:themeColor="accent3"/>
        </w:tcBorders>
        <w:shd w:val="clear" w:color="auto" w:fill="FFFFFF" w:themeFill="background1"/>
      </w:tcPr>
    </w:tblStylePr>
    <w:tblStylePr w:type="lastCol">
      <w:tblPr/>
      <w:tcPr>
        <w:tcBorders>
          <w:top w:val="none" w:sz="4" w:space="0" w:color="000000"/>
          <w:left w:val="single" w:sz="8" w:space="0" w:color="9BBB59" w:themeColor="accent3"/>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E6EED5" w:themeFill="accent3" w:themeFillTint="3F"/>
      </w:tcPr>
    </w:tblStylePr>
    <w:tblStylePr w:type="band1Horz">
      <w:tblPr/>
      <w:tcPr>
        <w:tcBorders>
          <w:top w:val="none" w:sz="4" w:space="0" w:color="000000"/>
          <w:bottom w:val="none" w:sz="4" w:space="0" w:color="000000"/>
        </w:tcBorders>
        <w:shd w:val="clear" w:color="auto" w:fill="E6EED5" w:themeFill="accent3"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Listamedia2-nfasis4">
    <w:name w:val="Medium List 2 Accent 4"/>
    <w:basedOn w:val="Tabla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one" w:sz="4" w:space="0" w:color="000000"/>
          <w:left w:val="none" w:sz="4" w:space="0" w:color="000000"/>
          <w:bottom w:val="single" w:sz="24" w:space="0" w:color="8064A2" w:themeColor="accent4"/>
          <w:right w:val="none" w:sz="4" w:space="0" w:color="000000"/>
        </w:tcBorders>
        <w:shd w:val="clear" w:color="auto" w:fill="FFFFFF" w:themeFill="background1"/>
      </w:tcPr>
    </w:tblStylePr>
    <w:tblStylePr w:type="lastRow">
      <w:tblPr/>
      <w:tcPr>
        <w:tcBorders>
          <w:top w:val="single" w:sz="8" w:space="0" w:color="8064A2" w:themeColor="accent4"/>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8064A2" w:themeColor="accent4"/>
        </w:tcBorders>
        <w:shd w:val="clear" w:color="auto" w:fill="FFFFFF" w:themeFill="background1"/>
      </w:tcPr>
    </w:tblStylePr>
    <w:tblStylePr w:type="lastCol">
      <w:tblPr/>
      <w:tcPr>
        <w:tcBorders>
          <w:top w:val="none" w:sz="4" w:space="0" w:color="000000"/>
          <w:left w:val="single" w:sz="8" w:space="0" w:color="8064A2" w:themeColor="accent4"/>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DFD8E8" w:themeFill="accent4" w:themeFillTint="3F"/>
      </w:tcPr>
    </w:tblStylePr>
    <w:tblStylePr w:type="band1Horz">
      <w:tblPr/>
      <w:tcPr>
        <w:tcBorders>
          <w:top w:val="none" w:sz="4" w:space="0" w:color="000000"/>
          <w:bottom w:val="none" w:sz="4" w:space="0" w:color="000000"/>
        </w:tcBorders>
        <w:shd w:val="clear" w:color="auto" w:fill="DFD8E8" w:themeFill="accent4"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Listamedia2-nfasis5">
    <w:name w:val="Medium List 2 Accent 5"/>
    <w:basedOn w:val="Tabla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one" w:sz="4" w:space="0" w:color="000000"/>
          <w:left w:val="none" w:sz="4" w:space="0" w:color="000000"/>
          <w:bottom w:val="single" w:sz="24" w:space="0" w:color="4BACC6" w:themeColor="accent5"/>
          <w:right w:val="none" w:sz="4" w:space="0" w:color="000000"/>
        </w:tcBorders>
        <w:shd w:val="clear" w:color="auto" w:fill="FFFFFF" w:themeFill="background1"/>
      </w:tcPr>
    </w:tblStylePr>
    <w:tblStylePr w:type="lastRow">
      <w:tblPr/>
      <w:tcPr>
        <w:tcBorders>
          <w:top w:val="single" w:sz="8" w:space="0" w:color="4BACC6" w:themeColor="accent5"/>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4BACC6" w:themeColor="accent5"/>
        </w:tcBorders>
        <w:shd w:val="clear" w:color="auto" w:fill="FFFFFF" w:themeFill="background1"/>
      </w:tcPr>
    </w:tblStylePr>
    <w:tblStylePr w:type="lastCol">
      <w:tblPr/>
      <w:tcPr>
        <w:tcBorders>
          <w:top w:val="none" w:sz="4" w:space="0" w:color="000000"/>
          <w:left w:val="single" w:sz="8" w:space="0" w:color="4BACC6" w:themeColor="accent5"/>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D2EAF1" w:themeFill="accent5" w:themeFillTint="3F"/>
      </w:tcPr>
    </w:tblStylePr>
    <w:tblStylePr w:type="band1Horz">
      <w:tblPr/>
      <w:tcPr>
        <w:tcBorders>
          <w:top w:val="none" w:sz="4" w:space="0" w:color="000000"/>
          <w:bottom w:val="none" w:sz="4" w:space="0" w:color="000000"/>
        </w:tcBorders>
        <w:shd w:val="clear" w:color="auto" w:fill="D2EAF1" w:themeFill="accent5"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Listamedia2-nfasis6">
    <w:name w:val="Medium List 2 Accent 6"/>
    <w:basedOn w:val="Tabla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one" w:sz="4" w:space="0" w:color="000000"/>
          <w:left w:val="none" w:sz="4" w:space="0" w:color="000000"/>
          <w:bottom w:val="single" w:sz="24" w:space="0" w:color="F79646" w:themeColor="accent6"/>
          <w:right w:val="none" w:sz="4" w:space="0" w:color="000000"/>
        </w:tcBorders>
        <w:shd w:val="clear" w:color="auto" w:fill="FFFFFF" w:themeFill="background1"/>
      </w:tcPr>
    </w:tblStylePr>
    <w:tblStylePr w:type="lastRow">
      <w:tblPr/>
      <w:tcPr>
        <w:tcBorders>
          <w:top w:val="single" w:sz="8" w:space="0" w:color="F79646" w:themeColor="accent6"/>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F79646" w:themeColor="accent6"/>
        </w:tcBorders>
        <w:shd w:val="clear" w:color="auto" w:fill="FFFFFF" w:themeFill="background1"/>
      </w:tcPr>
    </w:tblStylePr>
    <w:tblStylePr w:type="lastCol">
      <w:tblPr/>
      <w:tcPr>
        <w:tcBorders>
          <w:top w:val="none" w:sz="4" w:space="0" w:color="000000"/>
          <w:left w:val="single" w:sz="8" w:space="0" w:color="F79646" w:themeColor="accent6"/>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FDE4D0" w:themeFill="accent6" w:themeFillTint="3F"/>
      </w:tcPr>
    </w:tblStylePr>
    <w:tblStylePr w:type="band1Horz">
      <w:tblPr/>
      <w:tcPr>
        <w:tcBorders>
          <w:top w:val="none" w:sz="4" w:space="0" w:color="000000"/>
          <w:bottom w:val="none" w:sz="4" w:space="0" w:color="000000"/>
        </w:tcBorders>
        <w:shd w:val="clear" w:color="auto" w:fill="FDE4D0" w:themeFill="accent6"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Cuadrculamedia1">
    <w:name w:val="Medium Grid 1"/>
    <w:basedOn w:val="Tablanormal"/>
    <w:uiPriority w:val="6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CCCCCC" w:themeFill="text1" w:themeFillTint="33"/>
      </w:tcPr>
    </w:tblStylePr>
    <w:tblStylePr w:type="band1Vert">
      <w:tblPr/>
      <w:tcPr>
        <w:shd w:val="clear" w:color="auto" w:fill="808080" w:themeFill="text1" w:themeFillTint="7F"/>
      </w:tcPr>
    </w:tblStylePr>
    <w:tblStylePr w:type="band1Horz">
      <w:tblPr/>
      <w:tcPr>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DBE5F1" w:themeFill="accent1" w:themeFillTint="33"/>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F2DBDB" w:themeFill="accent2" w:themeFillTint="33"/>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EAF1DD" w:themeFill="accent3" w:themeFillTint="33"/>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E5DFEC" w:themeFill="accent4" w:themeFillTint="33"/>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DAEEF3" w:themeFill="accent5" w:themeFillTint="33"/>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FDE9D9" w:themeFill="accent6" w:themeFillTint="33"/>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000000" w:themeFill="text1"/>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4F81BD" w:themeFill="accent1"/>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C0504D" w:themeFill="accent2"/>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9BBB59" w:themeFill="accent3"/>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8064A2" w:themeFill="accent4"/>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4BACC6" w:themeFill="accent5"/>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F79646" w:themeFill="accent6"/>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BCAA2" w:themeFill="accent6" w:themeFillTint="7F"/>
      </w:tcPr>
    </w:tblStylePr>
  </w:style>
  <w:style w:type="table" w:styleId="Listaoscura">
    <w:name w:val="Dark List"/>
    <w:basedOn w:val="Tablanormal"/>
    <w:uiPriority w:val="70"/>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000000" w:themeFill="text1"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000000" w:themeFill="text1"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000000" w:themeFill="text1"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000000" w:themeFill="text1"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000000" w:themeFill="text1" w:themeFillShade="BF"/>
      </w:tcPr>
    </w:tblStylePr>
  </w:style>
  <w:style w:type="table" w:styleId="Listaoscura-nfasis1">
    <w:name w:val="Dark List Accent 1"/>
    <w:basedOn w:val="Tablanormal"/>
    <w:uiPriority w:val="70"/>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243F60" w:themeFill="accent1"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365F91" w:themeFill="accent1"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365F91" w:themeFill="accent1"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365F91" w:themeFill="accent1"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365F91" w:themeFill="accent1" w:themeFillShade="BF"/>
      </w:tcPr>
    </w:tblStylePr>
  </w:style>
  <w:style w:type="table" w:styleId="Listaoscura-nfasis2">
    <w:name w:val="Dark List Accent 2"/>
    <w:basedOn w:val="Tablanormal"/>
    <w:uiPriority w:val="70"/>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622423" w:themeFill="accent2"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943634" w:themeFill="accent2"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943634" w:themeFill="accent2"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943634" w:themeFill="accent2"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943634" w:themeFill="accent2" w:themeFillShade="BF"/>
      </w:tcPr>
    </w:tblStylePr>
  </w:style>
  <w:style w:type="table" w:styleId="Listaoscura-nfasis3">
    <w:name w:val="Dark List Accent 3"/>
    <w:basedOn w:val="Tablanormal"/>
    <w:uiPriority w:val="70"/>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4E6128" w:themeFill="accent3"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76923C" w:themeFill="accent3"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76923C" w:themeFill="accent3"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76923C" w:themeFill="accent3"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76923C" w:themeFill="accent3" w:themeFillShade="BF"/>
      </w:tcPr>
    </w:tblStylePr>
  </w:style>
  <w:style w:type="table" w:styleId="Listaoscura-nfasis4">
    <w:name w:val="Dark List Accent 4"/>
    <w:basedOn w:val="Tablanormal"/>
    <w:uiPriority w:val="70"/>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3F3151" w:themeFill="accent4"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5F497A" w:themeFill="accent4"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5F497A" w:themeFill="accent4"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5F497A" w:themeFill="accent4"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5F497A" w:themeFill="accent4" w:themeFillShade="BF"/>
      </w:tcPr>
    </w:tblStylePr>
  </w:style>
  <w:style w:type="table" w:styleId="Listaoscura-nfasis5">
    <w:name w:val="Dark List Accent 5"/>
    <w:basedOn w:val="Tablanormal"/>
    <w:uiPriority w:val="70"/>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205867" w:themeFill="accent5"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31849B" w:themeFill="accent5"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31849B" w:themeFill="accent5"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31849B" w:themeFill="accent5"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31849B" w:themeFill="accent5" w:themeFillShade="BF"/>
      </w:tcPr>
    </w:tblStylePr>
  </w:style>
  <w:style w:type="table" w:styleId="Listaoscura-nfasis6">
    <w:name w:val="Dark List Accent 6"/>
    <w:basedOn w:val="Tablanormal"/>
    <w:uiPriority w:val="70"/>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974706" w:themeFill="accent6"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E36C0A" w:themeFill="accent6"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E36C0A" w:themeFill="accent6"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E36C0A" w:themeFill="accent6"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E36C0A" w:themeFill="accent6" w:themeFillShade="BF"/>
      </w:tcPr>
    </w:tblStylePr>
  </w:style>
  <w:style w:type="table" w:styleId="Sombreadovistoso">
    <w:name w:val="Colorful Shading"/>
    <w:basedOn w:val="Tablanormal"/>
    <w:uiPriority w:val="71"/>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one" w:sz="4" w:space="0" w:color="000000"/>
          <w:left w:val="none" w:sz="4" w:space="0" w:color="000000"/>
          <w:bottom w:val="single" w:sz="24" w:space="0" w:color="C0504D" w:themeColor="accent2"/>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000000" w:themeFill="text1"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one" w:sz="4" w:space="0" w:color="000000"/>
          <w:left w:val="none" w:sz="4" w:space="0" w:color="000000"/>
          <w:bottom w:val="single" w:sz="24" w:space="0" w:color="C0504D" w:themeColor="accent2"/>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2C4C74" w:themeFill="accent1"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one" w:sz="4" w:space="0" w:color="000000"/>
          <w:left w:val="none" w:sz="4" w:space="0" w:color="000000"/>
          <w:bottom w:val="single" w:sz="24" w:space="0" w:color="C0504D" w:themeColor="accent2"/>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772C2A" w:themeFill="accent2"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one" w:sz="4" w:space="0" w:color="000000"/>
          <w:left w:val="none" w:sz="4" w:space="0" w:color="000000"/>
          <w:bottom w:val="single" w:sz="24" w:space="0" w:color="8064A2" w:themeColor="accent4"/>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5E7530" w:themeFill="accent3"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one" w:sz="4" w:space="0" w:color="000000"/>
          <w:left w:val="none" w:sz="4" w:space="0" w:color="000000"/>
          <w:bottom w:val="single" w:sz="24" w:space="0" w:color="9BBB59" w:themeColor="accent3"/>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4C3B62" w:themeFill="accent4"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one" w:sz="4" w:space="0" w:color="000000"/>
          <w:left w:val="none" w:sz="4" w:space="0" w:color="000000"/>
          <w:bottom w:val="single" w:sz="24" w:space="0" w:color="F79646" w:themeColor="accent6"/>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276A7C" w:themeFill="accent5"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one" w:sz="4" w:space="0" w:color="000000"/>
          <w:left w:val="none" w:sz="4" w:space="0" w:color="000000"/>
          <w:bottom w:val="single" w:sz="24" w:space="0" w:color="4BACC6" w:themeColor="accent5"/>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B65608" w:themeFill="accent6"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cmi.2016.01.007"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209D121-26E4-4923-9111-2EE63EFA10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22</Pages>
  <Words>8629</Words>
  <Characters>47463</Characters>
  <Application>Microsoft Office Word</Application>
  <DocSecurity>0</DocSecurity>
  <Lines>395</Lines>
  <Paragraphs>111</Paragraphs>
  <ScaleCrop>false</ScaleCrop>
  <Manager/>
  <Company/>
  <LinksUpToDate>false</LinksUpToDate>
  <CharactersWithSpaces>55981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Meningitis bacteriana aguda del adulto adquirida en la comunidad</dc:title>
  <dc:subject>Apunte clínico completo</dc:subject>
  <dc:creator>Juan Arenas</dc:creator>
  <cp:keywords/>
  <dc:description/>
  <cp:lastModifiedBy>Juan Arenas</cp:lastModifiedBy>
  <cp:revision>2</cp:revision>
  <dcterms:created xsi:type="dcterms:W3CDTF">2026-10-06T12:54:00Z</dcterms:created>
  <dcterms:modified xsi:type="dcterms:W3CDTF">2026-10-06T12:54:00Z</dcterms:modified>
  <cp:category/>
</cp:coreProperties>
</file>