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</w:pPr>
      <w:r>
        <w:rPr>
          <w:rFonts w:ascii="Cambria" w:hAnsi="Cambria"/>
          <w:b/>
          <w:i w:val="0"/>
          <w:color w:val="000000"/>
        </w:rPr>
        <w:t>Meningitis bacteriana aguda del adulto</w:t>
      </w:r>
    </w:p>
    <w:p>
      <w:pPr>
        <w:pStyle w:val="Subtitle"/>
        <w:keepLines/>
      </w:pPr>
      <w:r>
        <w:rPr>
          <w:rFonts w:ascii="Cambria" w:hAnsi="Cambria"/>
          <w:b w:val="0"/>
          <w:i w:val="0"/>
          <w:color w:val="000000"/>
        </w:rPr>
        <w:t>Adquirida en la comunidad</w:t>
      </w:r>
    </w:p>
    <w:p>
      <w:pPr>
        <w:keepLines w:val="0"/>
        <w:jc w:val="both"/>
      </w:pPr>
      <w:r>
        <w:rPr>
          <w:b/>
          <w:i w:val="0"/>
        </w:rPr>
        <w:t>Fuentes de esta revisión</w:t>
      </w:r>
      <w:r>
        <w:rPr>
          <w:b w:val="0"/>
          <w:i w:val="0"/>
        </w:rPr>
        <w:t xml:space="preserve">: SEN 2025 → Mensa 2026 → ESCMID 2016 → NICE NG240 → SEMES 2012. Mensa se limita a los dos extractos aportados por el usuario; completa los aspectos no concretados por SEN. En </w:t>
      </w:r>
      <w:r>
        <w:rPr>
          <w:b/>
          <w:i w:val="0"/>
        </w:rPr>
        <w:t>crisis epilépticas</w:t>
      </w:r>
      <w:r>
        <w:rPr>
          <w:b w:val="0"/>
          <w:i w:val="0"/>
        </w:rPr>
        <w:t xml:space="preserve">, el texto principal recoge solo SEN y la propuesta de Mensa queda como aclaración en cursiva. Trazabilidad y pendientes: </w:t>
      </w:r>
      <w:hyperlink r:id="rId11">
        <w:r>
          <w:rPr>
            <w:b w:val="0"/>
            <w:i w:val="0"/>
            <w:color w:val="185C91"/>
            <w:u w:val="single"/>
          </w:rPr>
          <w:t>FUENTES, §9</w:t>
        </w:r>
      </w:hyperlink>
      <w:r>
        <w:rPr>
          <w:b w:val="0"/>
          <w:i w:val="0"/>
        </w:rPr>
        <w:t>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1. Definición y fisiopatología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La </w:t>
      </w:r>
      <w:r>
        <w:rPr>
          <w:rFonts w:ascii="Cambria" w:hAnsi="Cambria"/>
          <w:b/>
          <w:i w:val="0"/>
          <w:color w:val="000000"/>
        </w:rPr>
        <w:t>meningitis</w:t>
      </w:r>
      <w:r>
        <w:rPr>
          <w:rFonts w:ascii="Cambria" w:hAnsi="Cambria"/>
          <w:b w:val="0"/>
          <w:i w:val="0"/>
          <w:color w:val="000000"/>
        </w:rPr>
        <w:t xml:space="preserve"> es una inflamación de las leptomeninges que suele acompañarse de </w:t>
      </w:r>
      <w:r>
        <w:rPr>
          <w:rFonts w:ascii="Cambria" w:hAnsi="Cambria"/>
          <w:b/>
          <w:i w:val="0"/>
          <w:color w:val="000000"/>
        </w:rPr>
        <w:t>aumento de leucocitos en el LCR</w:t>
      </w:r>
      <w:r>
        <w:rPr>
          <w:rFonts w:ascii="Cambria" w:hAnsi="Cambria"/>
          <w:b w:val="0"/>
          <w:i w:val="0"/>
          <w:color w:val="000000"/>
        </w:rPr>
        <w:t xml:space="preserve">. La presentación clásica combina </w:t>
      </w:r>
      <w:r>
        <w:rPr>
          <w:rFonts w:ascii="Cambria" w:hAnsi="Cambria"/>
          <w:b/>
          <w:i w:val="0"/>
          <w:color w:val="000000"/>
        </w:rPr>
        <w:t>cefalea, fiebre, rigidez de nuca y alteración del estado mental</w:t>
      </w:r>
      <w:r>
        <w:rPr>
          <w:rFonts w:ascii="Cambria" w:hAnsi="Cambria"/>
          <w:b w:val="0"/>
          <w:i w:val="0"/>
          <w:color w:val="000000"/>
        </w:rPr>
        <w:t xml:space="preserve"> (SEN 2025, cap. 40, §1.1). </w:t>
      </w:r>
      <w:r>
        <w:rPr>
          <w:rFonts w:ascii="Cambria" w:hAnsi="Cambria"/>
          <w:b w:val="0"/>
          <w:i w:val="0"/>
          <w:color w:val="000000"/>
        </w:rPr>
        <w:t>Para describir el curso temporal, la SEMES 2012 distingue aguda (48‑72 h) y subaguda (&gt;3‑7 días); la SEN 2025 define la crónica como ≥4 semanas (cap. 40, §2). La MBA suele instaurarse en 24‑72 h y puede ser fulminante en pocas horas (SEN 2025).</w:t>
      </w:r>
    </w:p>
    <w:p>
      <w:pPr>
        <w:jc w:val="both"/>
      </w:pPr>
      <w:r>
        <w:rPr>
          <w:rFonts w:ascii="Cambria" w:hAnsi="Cambria"/>
          <w:b w:val="0"/>
          <w:i w:val="0"/>
          <w:color w:val="000000"/>
        </w:rPr>
        <w:t xml:space="preserve">La </w:t>
      </w:r>
      <w:r>
        <w:rPr>
          <w:rFonts w:ascii="Cambria" w:hAnsi="Cambria"/>
          <w:b/>
          <w:i w:val="0"/>
          <w:color w:val="000000"/>
        </w:rPr>
        <w:t>meningitis bacteriana aguda (MBA)</w:t>
      </w:r>
      <w:r>
        <w:rPr>
          <w:rFonts w:ascii="Cambria" w:hAnsi="Cambria"/>
          <w:b w:val="0"/>
          <w:i w:val="0"/>
          <w:color w:val="000000"/>
        </w:rPr>
        <w:t xml:space="preserve"> se produce habitualmente por </w:t>
      </w:r>
      <w:r>
        <w:rPr>
          <w:rFonts w:ascii="Cambria" w:hAnsi="Cambria"/>
          <w:b/>
          <w:i w:val="0"/>
          <w:color w:val="000000"/>
        </w:rPr>
        <w:t>colonización nasofaríngea → bacteriemia → paso de la barrera hematoencefálica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 w:val="0"/>
          <w:i w:val="0"/>
          <w:color w:val="000000"/>
        </w:rPr>
        <w:t>La SEN 2025 lo describe en cuatro pasos: colonización de las mucosas, invasión del torrente sanguíneo (favorecida por una infección vírica previa, el tabaco, el alcohol, la asplenia, el déficit de complemento y la agammaglobulinemia), supervivencia intravascular gracias a la cápsula polisacárida e invasión meníngea a través de las vénulas poscapilares.</w:t>
      </w:r>
      <w:r>
        <w:rPr>
          <w:rFonts w:ascii="Cambria" w:hAnsi="Cambria"/>
          <w:b w:val="0"/>
          <w:i w:val="0"/>
          <w:color w:val="000000"/>
        </w:rPr>
        <w:t xml:space="preserve"> También puede llegar </w:t>
      </w:r>
      <w:r>
        <w:rPr>
          <w:rFonts w:ascii="Cambria" w:hAnsi="Cambria"/>
          <w:b/>
          <w:i w:val="0"/>
          <w:color w:val="000000"/>
        </w:rPr>
        <w:t>por contigüidad</w:t>
      </w:r>
      <w:r>
        <w:rPr>
          <w:rFonts w:ascii="Cambria" w:hAnsi="Cambria"/>
          <w:b w:val="0"/>
          <w:i w:val="0"/>
          <w:color w:val="000000"/>
        </w:rPr>
        <w:t xml:space="preserve"> (otitis, sinusitis, mastoiditis) o </w:t>
      </w:r>
      <w:r>
        <w:rPr>
          <w:rFonts w:ascii="Cambria" w:hAnsi="Cambria"/>
          <w:b/>
          <w:i w:val="0"/>
          <w:color w:val="000000"/>
        </w:rPr>
        <w:t>por una vía directa</w:t>
      </w:r>
      <w:r>
        <w:rPr>
          <w:rFonts w:ascii="Cambria" w:hAnsi="Cambria"/>
          <w:b w:val="0"/>
          <w:i w:val="0"/>
          <w:color w:val="000000"/>
        </w:rPr>
        <w:t xml:space="preserve">: fístula de LCR tras una fractura de la base del cráneo, implante coclear o neurocirugía. En el espacio subaracnoideo las bacterias proliferan y desencadenan una respuesta inflamatoria intensa con reclutamiento de neutrófilos. Esa respuesta es la que produce </w:t>
      </w:r>
      <w:r>
        <w:rPr>
          <w:rFonts w:ascii="Cambria" w:hAnsi="Cambria"/>
          <w:b/>
          <w:i w:val="0"/>
          <w:color w:val="000000"/>
        </w:rPr>
        <w:t>edema cerebral, hipertensión intracraneal (HTIC), vasculitis e infartos, trombosis de senos venosos, hidrocefalia y daño coclear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 w:val="0"/>
          <w:i w:val="0"/>
          <w:color w:val="000000"/>
        </w:rPr>
        <w:t xml:space="preserve">En modelos experimentales, el pronóstico de la MBA depende de la intensidad de la inflamación subaracnoidea, y la </w:t>
      </w:r>
      <w:r>
        <w:rPr>
          <w:rFonts w:ascii="Cambria" w:hAnsi="Cambria"/>
          <w:b/>
          <w:i w:val="0"/>
          <w:color w:val="000000"/>
        </w:rPr>
        <w:t>lisis bacteriana que provoca el propio antibiótico</w:t>
      </w:r>
      <w:r>
        <w:rPr>
          <w:rFonts w:ascii="Cambria" w:hAnsi="Cambria"/>
          <w:b w:val="0"/>
          <w:i w:val="0"/>
          <w:color w:val="000000"/>
        </w:rPr>
        <w:t xml:space="preserve"> la amplifica. Por eso en los grandes ensayos la dexametasona se dio antes o con la primera dosis de antibiótico (ESCMID 2016).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Clínica.</w:t>
      </w:r>
      <w:r>
        <w:rPr>
          <w:rFonts w:ascii="Cambria" w:hAnsi="Cambria"/>
          <w:b w:val="0"/>
          <w:i w:val="0"/>
          <w:color w:val="000000"/>
        </w:rPr>
        <w:t xml:space="preserve"> La </w:t>
      </w:r>
      <w:r>
        <w:rPr>
          <w:rFonts w:ascii="Cambria" w:hAnsi="Cambria"/>
          <w:b/>
          <w:i w:val="0"/>
          <w:color w:val="000000"/>
        </w:rPr>
        <w:t>combinación de alarma</w:t>
      </w:r>
      <w:r>
        <w:rPr>
          <w:rFonts w:ascii="Cambria" w:hAnsi="Cambria"/>
          <w:b w:val="0"/>
          <w:i w:val="0"/>
          <w:color w:val="000000"/>
        </w:rPr>
        <w:t xml:space="preserve"> de la NICE es </w:t>
      </w:r>
      <w:r>
        <w:rPr>
          <w:rFonts w:ascii="Cambria" w:hAnsi="Cambria"/>
          <w:b/>
          <w:i w:val="0"/>
          <w:color w:val="000000"/>
        </w:rPr>
        <w:t>FIEBRE + CEFALEA + RIGIDEZ DE NUCA + ALTERACIÓN DEL NIVEL DE CONSCIENCIA O DE LA COGNICIÓN (confusión, delirium)</w:t>
      </w:r>
      <w:r>
        <w:rPr>
          <w:rFonts w:ascii="Cambria" w:hAnsi="Cambria"/>
          <w:b w:val="0"/>
          <w:i w:val="0"/>
          <w:color w:val="000000"/>
        </w:rPr>
        <w:t xml:space="preserve">. Con las cuatro se debe </w:t>
      </w:r>
      <w:r>
        <w:rPr>
          <w:rFonts w:ascii="Cambria" w:hAnsi="Cambria"/>
          <w:b/>
          <w:i w:val="0"/>
          <w:color w:val="000000"/>
        </w:rPr>
        <w:t>sospechar con fuerza</w:t>
      </w:r>
      <w:r>
        <w:rPr>
          <w:rFonts w:ascii="Cambria" w:hAnsi="Cambria"/>
          <w:b w:val="0"/>
          <w:i w:val="0"/>
          <w:color w:val="000000"/>
        </w:rPr>
        <w:t xml:space="preserve"> una MBA, aunque la sospecha fuerte también puede basarse en la valoración clínica sin la combinación completa (NICE 1.1.4‑1.1.5).</w:t>
      </w:r>
    </w:p>
    <w:p>
      <w:pPr>
        <w:pStyle w:val="ListParagraph"/>
        <w:keepLines/>
        <w:numPr>
          <w:ilvl w:val="0"/>
          <w:numId w:val="1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La ausencia de los signos clásicos NO descarta la MBA</w:t>
      </w:r>
      <w:r>
        <w:rPr>
          <w:rFonts w:ascii="Cambria" w:hAnsi="Cambria"/>
          <w:b w:val="0"/>
          <w:i w:val="0"/>
          <w:color w:val="000000"/>
        </w:rPr>
        <w:t xml:space="preserve"> (ESCMID, grado A). </w:t>
      </w:r>
      <w:r>
        <w:rPr>
          <w:rFonts w:ascii="Cambria" w:hAnsi="Cambria"/>
          <w:b w:val="0"/>
          <w:i w:val="0"/>
          <w:color w:val="000000"/>
        </w:rPr>
        <w:t xml:space="preserve">La tríada clásica (fiebre, rigidez de nuca y alteración de la consciencia) solo está en el </w:t>
      </w:r>
      <w:r>
        <w:rPr>
          <w:rFonts w:ascii="Cambria" w:hAnsi="Cambria"/>
          <w:b/>
          <w:i w:val="0"/>
          <w:color w:val="000000"/>
        </w:rPr>
        <w:t>41‑51 %</w:t>
      </w:r>
      <w:r>
        <w:rPr>
          <w:rFonts w:ascii="Cambria" w:hAnsi="Cambria"/>
          <w:b w:val="0"/>
          <w:i w:val="0"/>
          <w:color w:val="000000"/>
        </w:rPr>
        <w:t xml:space="preserve"> de los adultos (ESCMID; 44 % según la SEMES 2012; ~40 % según la SEN 2025, que añade que el 95 % tiene al menos dos de sus elementos). Para predecir pleocitosis, la sensibilidad es baja: </w:t>
      </w:r>
      <w:r>
        <w:rPr>
          <w:rFonts w:ascii="Cambria" w:hAnsi="Cambria"/>
          <w:b/>
          <w:i w:val="0"/>
          <w:color w:val="000000"/>
        </w:rPr>
        <w:t>rigidez de nuca 31 %, Kernig 11 %, Brudzinski 9 %</w:t>
      </w:r>
      <w:r>
        <w:rPr>
          <w:rFonts w:ascii="Cambria" w:hAnsi="Cambria"/>
          <w:b w:val="0"/>
          <w:i w:val="0"/>
          <w:color w:val="000000"/>
        </w:rPr>
        <w:t xml:space="preserve"> (ESCMID).</w:t>
      </w:r>
    </w:p>
    <w:p>
      <w:pPr>
        <w:pStyle w:val="ListParagraph"/>
        <w:keepLines/>
        <w:numPr>
          <w:ilvl w:val="0"/>
          <w:numId w:val="10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Frecuencia de cada dato (SEN 2025): cefalea intensa 84 %, fiebre &gt;38 °C 74 %, rigidez de nuca 74 %, GCS &lt;14 71 %, náuseas 62 %; con menos frecuencia, crisis 23 %, afasia o déficit motor focal 22 %, coma 13 %, pares craneales 9 %, exantema 8 % y papiledema 4 %. Suele instaurarse en </w:t>
      </w:r>
      <w:r>
        <w:rPr>
          <w:rFonts w:ascii="Cambria" w:hAnsi="Cambria"/>
          <w:b/>
          <w:i w:val="0"/>
          <w:color w:val="000000"/>
        </w:rPr>
        <w:t>24‑72 h</w:t>
      </w:r>
      <w:r>
        <w:rPr>
          <w:rFonts w:ascii="Cambria" w:hAnsi="Cambria"/>
          <w:b w:val="0"/>
          <w:i w:val="0"/>
          <w:color w:val="000000"/>
        </w:rPr>
        <w:t>, aunque la meningocócica puede ser fulminante en pocas horas (síndrome de Waterhouse-Friderichsen).</w:t>
      </w:r>
    </w:p>
    <w:p>
      <w:pPr>
        <w:pStyle w:val="ListParagraph"/>
        <w:keepNext/>
        <w:keepLines/>
        <w:numPr>
          <w:ilvl w:val="0"/>
          <w:numId w:val="1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Pistas de etiología</w:t>
      </w:r>
      <w:r>
        <w:rPr>
          <w:rFonts w:ascii="Cambria" w:hAnsi="Cambria"/>
          <w:b w:val="0"/>
          <w:i w:val="0"/>
          <w:color w:val="000000"/>
        </w:rPr>
        <w:t xml:space="preserve"> (SEN 2025):</w:t>
      </w:r>
    </w:p>
    <w:p>
      <w:pPr>
        <w:pStyle w:val="ListParagraph"/>
        <w:keepLines/>
        <w:numPr>
          <w:ilvl w:val="0"/>
          <w:numId w:val="11"/>
        </w:numPr>
        <w:spacing w:after="4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Ictus isquémico</w:t>
      </w:r>
      <w:r>
        <w:rPr>
          <w:rFonts w:ascii="Cambria" w:hAnsi="Cambria"/>
          <w:b w:val="0"/>
          <w:i w:val="0"/>
          <w:color w:val="000000"/>
        </w:rPr>
        <w:t xml:space="preserve"> (16 %), </w:t>
      </w:r>
      <w:r>
        <w:rPr>
          <w:rFonts w:ascii="Cambria" w:hAnsi="Cambria"/>
          <w:b/>
          <w:i w:val="0"/>
          <w:color w:val="000000"/>
        </w:rPr>
        <w:t>laberintitis purulenta con hipoacusia</w:t>
      </w:r>
      <w:r>
        <w:rPr>
          <w:rFonts w:ascii="Cambria" w:hAnsi="Cambria"/>
          <w:b w:val="0"/>
          <w:i w:val="0"/>
          <w:color w:val="000000"/>
        </w:rPr>
        <w:t xml:space="preserve"> y crisis algo más frecuentes → </w:t>
      </w:r>
      <w:r>
        <w:rPr>
          <w:rFonts w:ascii="Cambria" w:hAnsi="Cambria"/>
          <w:b/>
          <w:i w:val="0"/>
          <w:color w:val="000000"/>
        </w:rPr>
        <w:t>neumococo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1"/>
        </w:numPr>
        <w:spacing w:after="4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Romboencefalitis</w:t>
      </w:r>
      <w:r>
        <w:rPr>
          <w:rFonts w:ascii="Cambria" w:hAnsi="Cambria"/>
          <w:b w:val="0"/>
          <w:i w:val="0"/>
          <w:color w:val="000000"/>
        </w:rPr>
        <w:t xml:space="preserve"> (ataxia, pares craneales, nistagmo) o </w:t>
      </w:r>
      <w:r>
        <w:rPr>
          <w:rFonts w:ascii="Cambria" w:hAnsi="Cambria"/>
          <w:b/>
          <w:i w:val="0"/>
          <w:color w:val="000000"/>
        </w:rPr>
        <w:t>focalidad precoz</w:t>
      </w:r>
      <w:r>
        <w:rPr>
          <w:rFonts w:ascii="Cambria" w:hAnsi="Cambria"/>
          <w:b w:val="0"/>
          <w:i w:val="0"/>
          <w:color w:val="000000"/>
        </w:rPr>
        <w:t xml:space="preserve"> → </w:t>
      </w:r>
      <w:r>
        <w:rPr>
          <w:rFonts w:ascii="Cambria" w:hAnsi="Cambria"/>
          <w:b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1"/>
        </w:numPr>
        <w:spacing w:after="4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Exantema petequial o púrpura</w:t>
      </w:r>
      <w:r>
        <w:rPr>
          <w:rFonts w:ascii="Cambria" w:hAnsi="Cambria"/>
          <w:b w:val="0"/>
          <w:i w:val="0"/>
          <w:color w:val="000000"/>
        </w:rPr>
        <w:t xml:space="preserve"> → </w:t>
      </w:r>
      <w:r>
        <w:rPr>
          <w:rFonts w:ascii="Cambria" w:hAnsi="Cambria"/>
          <w:b/>
          <w:i w:val="0"/>
          <w:color w:val="000000"/>
        </w:rPr>
        <w:t>meningococo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1"/>
        </w:numPr>
        <w:spacing w:after="4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Artritis</w:t>
      </w:r>
      <w:r>
        <w:rPr>
          <w:rFonts w:ascii="Cambria" w:hAnsi="Cambria"/>
          <w:b w:val="0"/>
          <w:i w:val="0"/>
          <w:color w:val="000000"/>
        </w:rPr>
        <w:t xml:space="preserve"> (7 % de las MBA; dos tercios son meningocócicas) → </w:t>
      </w:r>
      <w:r>
        <w:rPr>
          <w:rFonts w:ascii="Cambria" w:hAnsi="Cambria"/>
          <w:b/>
          <w:i w:val="0"/>
          <w:color w:val="000000"/>
        </w:rPr>
        <w:t>meningococo</w:t>
      </w:r>
      <w:r>
        <w:rPr>
          <w:rFonts w:ascii="Cambria" w:hAnsi="Cambria"/>
          <w:b w:val="0"/>
          <w:i w:val="0"/>
          <w:color w:val="000000"/>
        </w:rPr>
        <w:t xml:space="preserve">; también </w:t>
      </w:r>
      <w:r>
        <w:rPr>
          <w:rFonts w:ascii="Cambria" w:hAnsi="Cambria"/>
          <w:b w:val="0"/>
          <w:i/>
          <w:color w:val="000000"/>
        </w:rPr>
        <w:t>Borrelia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 w:val="0"/>
          <w:i/>
          <w:color w:val="000000"/>
        </w:rPr>
        <w:t>Brucella</w:t>
      </w:r>
      <w:r>
        <w:rPr>
          <w:rFonts w:ascii="Cambria" w:hAnsi="Cambria"/>
          <w:b w:val="0"/>
          <w:i w:val="0"/>
          <w:color w:val="000000"/>
        </w:rPr>
        <w:t>. El líquido articular puede dar el germen.</w:t>
      </w:r>
    </w:p>
    <w:p>
      <w:pPr>
        <w:pStyle w:val="ListParagraph"/>
        <w:keepLines/>
        <w:numPr>
          <w:ilvl w:val="0"/>
          <w:numId w:val="1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Petequias o púrpura</w:t>
      </w:r>
      <w:r>
        <w:rPr>
          <w:rFonts w:ascii="Cambria" w:hAnsi="Cambria"/>
          <w:b w:val="0"/>
          <w:i w:val="0"/>
          <w:color w:val="000000"/>
        </w:rPr>
        <w:t xml:space="preserve">: aparecen en el </w:t>
      </w:r>
      <w:r>
        <w:rPr>
          <w:rFonts w:ascii="Cambria" w:hAnsi="Cambria"/>
          <w:b/>
          <w:i w:val="0"/>
          <w:color w:val="000000"/>
        </w:rPr>
        <w:t>20‑52 %</w:t>
      </w:r>
      <w:r>
        <w:rPr>
          <w:rFonts w:ascii="Cambria" w:hAnsi="Cambria"/>
          <w:b w:val="0"/>
          <w:i w:val="0"/>
          <w:color w:val="000000"/>
        </w:rPr>
        <w:t xml:space="preserve"> de los adultos con MBA y, cuando están, </w:t>
      </w:r>
      <w:r>
        <w:rPr>
          <w:rFonts w:ascii="Cambria" w:hAnsi="Cambria"/>
          <w:b/>
          <w:i w:val="0"/>
          <w:color w:val="000000"/>
        </w:rPr>
        <w:t>son meningocócicas en &gt;90 %</w:t>
      </w:r>
      <w:r>
        <w:rPr>
          <w:rFonts w:ascii="Cambria" w:hAnsi="Cambria"/>
          <w:b w:val="0"/>
          <w:i w:val="0"/>
          <w:color w:val="000000"/>
        </w:rPr>
        <w:t xml:space="preserve"> (ESCMID). </w:t>
      </w:r>
      <w:r>
        <w:rPr>
          <w:rFonts w:ascii="Cambria" w:hAnsi="Cambria"/>
          <w:b/>
          <w:i w:val="0"/>
          <w:color w:val="000000"/>
        </w:rPr>
        <w:t>No descartar la enfermedad meningocócica por la ausencia de exantema</w:t>
      </w:r>
      <w:r>
        <w:rPr>
          <w:rFonts w:ascii="Cambria" w:hAnsi="Cambria"/>
          <w:b w:val="0"/>
          <w:i w:val="0"/>
          <w:color w:val="000000"/>
        </w:rPr>
        <w:t xml:space="preserve"> (NICE 1.1.10).</w:t>
      </w:r>
    </w:p>
    <w:p>
      <w:pPr>
        <w:pStyle w:val="ListParagraph"/>
        <w:keepLines/>
        <w:numPr>
          <w:ilvl w:val="0"/>
          <w:numId w:val="10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Buscar en la exploración (SEMES 2012): </w:t>
      </w:r>
      <w:r>
        <w:rPr>
          <w:rFonts w:ascii="Cambria" w:hAnsi="Cambria"/>
          <w:b/>
          <w:i w:val="0"/>
          <w:color w:val="000000"/>
        </w:rPr>
        <w:t>estabilidad hemodinámica y constantes</w:t>
      </w:r>
      <w:r>
        <w:rPr>
          <w:rFonts w:ascii="Cambria" w:hAnsi="Cambria"/>
          <w:b w:val="0"/>
          <w:i w:val="0"/>
          <w:color w:val="000000"/>
        </w:rPr>
        <w:t xml:space="preserve"> (PA, temperatura, FC y FR), </w:t>
      </w:r>
      <w:r>
        <w:rPr>
          <w:rFonts w:ascii="Cambria" w:hAnsi="Cambria"/>
          <w:b/>
          <w:i w:val="0"/>
          <w:color w:val="000000"/>
        </w:rPr>
        <w:t>focos asociados</w:t>
      </w:r>
      <w:r>
        <w:rPr>
          <w:rFonts w:ascii="Cambria" w:hAnsi="Cambria"/>
          <w:b w:val="0"/>
          <w:i w:val="0"/>
          <w:color w:val="000000"/>
        </w:rPr>
        <w:t xml:space="preserve"> (otitis, sinusitis, neumonía, endocarditis), </w:t>
      </w:r>
      <w:r>
        <w:rPr>
          <w:rFonts w:ascii="Cambria" w:hAnsi="Cambria"/>
          <w:b/>
          <w:i w:val="0"/>
          <w:color w:val="000000"/>
        </w:rPr>
        <w:t>lesiones cutáneas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nivel de consciencia (GCS)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focalidad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/>
          <w:i w:val="0"/>
          <w:color w:val="000000"/>
        </w:rPr>
        <w:t>datos de HTIC</w:t>
      </w:r>
      <w:r>
        <w:rPr>
          <w:rFonts w:ascii="Cambria" w:hAnsi="Cambria"/>
          <w:b w:val="0"/>
          <w:i w:val="0"/>
          <w:color w:val="000000"/>
        </w:rPr>
        <w:t xml:space="preserve"> (papiledema, HTA, bradicardia). Hacer otoscopia y fondo de ojo.</w:t>
      </w:r>
    </w:p>
    <w:p>
      <w:pPr>
        <w:pStyle w:val="ListParagraph"/>
        <w:keepLines/>
        <w:numPr>
          <w:ilvl w:val="0"/>
          <w:numId w:val="10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Presentaciones atípicas que hacen perder el diagnóstico (NICE, tabla 2; SEMES 2012): en el </w:t>
      </w:r>
      <w:r>
        <w:rPr>
          <w:rFonts w:ascii="Cambria" w:hAnsi="Cambria"/>
          <w:b/>
          <w:i w:val="0"/>
          <w:color w:val="000000"/>
        </w:rPr>
        <w:t>anciano</w:t>
      </w:r>
      <w:r>
        <w:rPr>
          <w:rFonts w:ascii="Cambria" w:hAnsi="Cambria"/>
          <w:b w:val="0"/>
          <w:i w:val="0"/>
          <w:color w:val="000000"/>
        </w:rPr>
        <w:t xml:space="preserve">, menos fiebre y rigidez, y la meningitis se confunde con un delirium; en el </w:t>
      </w:r>
      <w:r>
        <w:rPr>
          <w:rFonts w:ascii="Cambria" w:hAnsi="Cambria"/>
          <w:b/>
          <w:i w:val="0"/>
          <w:color w:val="000000"/>
        </w:rPr>
        <w:t>joven</w:t>
      </w:r>
      <w:r>
        <w:rPr>
          <w:rFonts w:ascii="Cambria" w:hAnsi="Cambria"/>
          <w:b w:val="0"/>
          <w:i w:val="0"/>
          <w:color w:val="000000"/>
        </w:rPr>
        <w:t xml:space="preserve">, la alteración de conducta se atribuye a alcohol o drogas; en el </w:t>
      </w:r>
      <w:r>
        <w:rPr>
          <w:rFonts w:ascii="Cambria" w:hAnsi="Cambria"/>
          <w:b/>
          <w:i w:val="0"/>
          <w:color w:val="000000"/>
        </w:rPr>
        <w:t>neutropénico</w:t>
      </w:r>
      <w:r>
        <w:rPr>
          <w:rFonts w:ascii="Cambria" w:hAnsi="Cambria"/>
          <w:b w:val="0"/>
          <w:i w:val="0"/>
          <w:color w:val="000000"/>
        </w:rPr>
        <w:t xml:space="preserve">, la reacción inflamatoria es escasa. La rigidez de nuca es difícil de valorar si hay demencia o artrosis cervical. </w:t>
      </w:r>
      <w:r>
        <w:rPr>
          <w:rFonts w:ascii="Cambria" w:hAnsi="Cambria"/>
          <w:b/>
          <w:i w:val="0"/>
          <w:color w:val="000000"/>
        </w:rPr>
        <w:t>La fiebre puede faltar</w:t>
      </w:r>
      <w:r>
        <w:rPr>
          <w:rFonts w:ascii="Cambria" w:hAnsi="Cambria"/>
          <w:b w:val="0"/>
          <w:i w:val="0"/>
          <w:color w:val="000000"/>
        </w:rPr>
        <w:t xml:space="preserve"> en ancianos, inmunodeprimidos, pacientes en shock o que toman antitérmicos, y la rigidez de nuca en niños, ancianos e inmunodeprimidos (SEN 2025).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Diagnóstico.</w:t>
      </w:r>
      <w:r>
        <w:rPr>
          <w:rFonts w:ascii="Cambria" w:hAnsi="Cambria"/>
          <w:b w:val="0"/>
          <w:i w:val="0"/>
          <w:color w:val="000000"/>
        </w:rPr>
        <w:t xml:space="preserve"> Se confirma con la </w:t>
      </w:r>
      <w:r>
        <w:rPr>
          <w:rFonts w:ascii="Cambria" w:hAnsi="Cambria"/>
          <w:b/>
          <w:i w:val="0"/>
          <w:color w:val="000000"/>
        </w:rPr>
        <w:t>combinación de clínica + analítica de sangre + LCR</w:t>
      </w:r>
      <w:r>
        <w:rPr>
          <w:rFonts w:ascii="Cambria" w:hAnsi="Cambria"/>
          <w:b w:val="0"/>
          <w:i w:val="0"/>
          <w:color w:val="000000"/>
        </w:rPr>
        <w:t xml:space="preserve"> (NICE 1.4.2). El estudio del LCR incluye </w:t>
      </w:r>
      <w:r>
        <w:rPr>
          <w:rFonts w:ascii="Cambria" w:hAnsi="Cambria"/>
          <w:b/>
          <w:i w:val="0"/>
          <w:color w:val="000000"/>
        </w:rPr>
        <w:t>Gram, cultivo y PCR</w:t>
      </w:r>
      <w:r>
        <w:rPr>
          <w:rFonts w:ascii="Cambria" w:hAnsi="Cambria"/>
          <w:b w:val="0"/>
          <w:i w:val="0"/>
          <w:color w:val="000000"/>
        </w:rPr>
        <w:t>; la PCR es especialmente útil cuando el Gram o el cultivo son negativos y su rendimiento no se altera por el antibiótico previo (SEN 2025, cap. 40, §1.5).</w:t>
      </w:r>
    </w:p>
    <w:p>
      <w:pPr>
        <w:jc w:val="both"/>
      </w:pPr>
      <w:r>
        <w:rPr>
          <w:rFonts w:ascii="Cambria" w:hAnsi="Cambria"/>
          <w:b w:val="0"/>
          <w:i w:val="0"/>
          <w:color w:val="000000"/>
        </w:rPr>
        <w:t xml:space="preserve">Diagnóstico diferencial: la mayoría de los pacientes con sospecha de MBA acaba con otro diagnóstico, sobre todo </w:t>
      </w:r>
      <w:r>
        <w:rPr>
          <w:rFonts w:ascii="Cambria" w:hAnsi="Cambria"/>
          <w:b/>
          <w:i w:val="0"/>
          <w:color w:val="000000"/>
        </w:rPr>
        <w:t>meningitis vírica</w:t>
      </w:r>
      <w:r>
        <w:rPr>
          <w:rFonts w:ascii="Cambria" w:hAnsi="Cambria"/>
          <w:b w:val="0"/>
          <w:i w:val="0"/>
          <w:color w:val="000000"/>
        </w:rPr>
        <w:t xml:space="preserve"> (ESCMID), con LCR habitualmente linfocitario y glucorraquia normal o ligeramente disminuida (SEN 2025, cap. 42, §5.1). Muchos signos de la MBA aparecen también en </w:t>
      </w:r>
      <w:r>
        <w:rPr>
          <w:rFonts w:ascii="Cambria" w:hAnsi="Cambria"/>
          <w:b/>
          <w:i w:val="0"/>
          <w:color w:val="000000"/>
        </w:rPr>
        <w:t>otras sepsis, hemorragia o isquemia intracraneal y neumonía</w:t>
      </w:r>
      <w:r>
        <w:rPr>
          <w:rFonts w:ascii="Cambria" w:hAnsi="Cambria"/>
          <w:b w:val="0"/>
          <w:i w:val="0"/>
          <w:color w:val="000000"/>
        </w:rPr>
        <w:t xml:space="preserve"> (NICE 1.1.17). La SEN 2025 añade la meningitis vírica (que en las primeras 24 h puede tener predominio de neutrófilos), la tuberculosa y la fúngica (de curso subagudo), las infecciones parameníngeas, las rickettsiosis, la meningitis carcinomatosa y la </w:t>
      </w:r>
      <w:r>
        <w:rPr>
          <w:rFonts w:ascii="Cambria" w:hAnsi="Cambria"/>
          <w:b/>
          <w:i w:val="0"/>
          <w:color w:val="000000"/>
        </w:rPr>
        <w:t>meningitis aséptica por fármacos</w:t>
      </w:r>
      <w:r>
        <w:rPr>
          <w:rFonts w:ascii="Cambria" w:hAnsi="Cambria"/>
          <w:b w:val="0"/>
          <w:i w:val="0"/>
          <w:color w:val="000000"/>
        </w:rPr>
        <w:t xml:space="preserve"> (AINE, antibióticos, quimioterapia intratecal e </w:t>
      </w:r>
      <w:r>
        <w:rPr>
          <w:rFonts w:ascii="Cambria" w:hAnsi="Cambria"/>
          <w:b/>
          <w:i w:val="0"/>
          <w:color w:val="000000"/>
        </w:rPr>
        <w:t>inhibidores de puntos de control inmunitario</w:t>
      </w:r>
      <w:r>
        <w:rPr>
          <w:rFonts w:ascii="Cambria" w:hAnsi="Cambria"/>
          <w:b w:val="0"/>
          <w:i w:val="0"/>
          <w:color w:val="000000"/>
        </w:rPr>
        <w:t xml:space="preserve">). La </w:t>
      </w:r>
      <w:r>
        <w:rPr>
          <w:rFonts w:ascii="Cambria" w:hAnsi="Cambria"/>
          <w:b/>
          <w:i w:val="0"/>
          <w:color w:val="000000"/>
        </w:rPr>
        <w:t>meningitis asociada a cuidados sanitarios</w:t>
      </w:r>
      <w:r>
        <w:rPr>
          <w:rFonts w:ascii="Cambria" w:hAnsi="Cambria"/>
          <w:b w:val="0"/>
          <w:i w:val="0"/>
          <w:color w:val="000000"/>
        </w:rPr>
        <w:t xml:space="preserve"> (neurocirugía, derivaciones de LCR, traumatismo penetrante) tiene otra etiología (estafilococos, bacilos gramnegativos) y otra pauta empírica (SEN 2025; ver capítulo 6).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2. Epidemiología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Incidencia</w:t>
      </w:r>
      <w:r>
        <w:rPr>
          <w:rFonts w:ascii="Cambria" w:hAnsi="Cambria"/>
          <w:b w:val="0"/>
          <w:i w:val="0"/>
          <w:color w:val="000000"/>
        </w:rPr>
        <w:t xml:space="preserve"> de MBA en adultos: </w:t>
      </w:r>
      <w:r>
        <w:rPr>
          <w:rFonts w:ascii="Cambria" w:hAnsi="Cambria"/>
          <w:b/>
          <w:i w:val="0"/>
          <w:color w:val="000000"/>
        </w:rPr>
        <w:t>4‑8 casos/100.000 habitantes/año</w:t>
      </w:r>
      <w:r>
        <w:rPr>
          <w:rFonts w:ascii="Cambria" w:hAnsi="Cambria"/>
          <w:b w:val="0"/>
          <w:i w:val="0"/>
          <w:color w:val="000000"/>
        </w:rPr>
        <w:t xml:space="preserve">, el </w:t>
      </w:r>
      <w:r>
        <w:rPr>
          <w:rFonts w:ascii="Cambria" w:hAnsi="Cambria"/>
          <w:b/>
          <w:i w:val="0"/>
          <w:color w:val="000000"/>
        </w:rPr>
        <w:t xml:space="preserve">60‑80 % por </w:t>
      </w:r>
      <w:r>
        <w:rPr>
          <w:rFonts w:ascii="Cambria" w:hAnsi="Cambria"/>
          <w:b/>
          <w:i/>
          <w:color w:val="000000"/>
        </w:rPr>
        <w:t>S. pneumoniae</w:t>
      </w:r>
      <w:r>
        <w:rPr>
          <w:rFonts w:ascii="Cambria" w:hAnsi="Cambria"/>
          <w:b/>
          <w:i w:val="0"/>
          <w:color w:val="000000"/>
        </w:rPr>
        <w:t xml:space="preserve"> y </w:t>
      </w:r>
      <w:r>
        <w:rPr>
          <w:rFonts w:ascii="Cambria" w:hAnsi="Cambria"/>
          <w:b/>
          <w:i/>
          <w:color w:val="000000"/>
        </w:rPr>
        <w:t>N. meningitidis</w:t>
      </w:r>
      <w:r>
        <w:rPr>
          <w:rFonts w:ascii="Cambria" w:hAnsi="Cambria"/>
          <w:b w:val="0"/>
          <w:i w:val="0"/>
          <w:color w:val="000000"/>
        </w:rPr>
        <w:t xml:space="preserve"> (SEMES 2012). </w:t>
      </w:r>
      <w:r>
        <w:rPr>
          <w:rFonts w:ascii="Cambria" w:hAnsi="Cambria"/>
          <w:b/>
          <w:i w:val="0"/>
          <w:color w:val="000000"/>
        </w:rPr>
        <w:t>La mayoría de las meningitis que llegan a urgencias son víricas</w:t>
      </w:r>
      <w:r>
        <w:rPr>
          <w:rFonts w:ascii="Cambria" w:hAnsi="Cambria"/>
          <w:b w:val="0"/>
          <w:i w:val="0"/>
          <w:color w:val="000000"/>
        </w:rPr>
        <w:t xml:space="preserve"> (SEMES 2012).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Tras las vacunas conjugadas, </w:t>
      </w:r>
      <w:r>
        <w:rPr>
          <w:rFonts w:ascii="Cambria" w:hAnsi="Cambria"/>
          <w:b/>
          <w:i/>
          <w:color w:val="000000"/>
        </w:rPr>
        <w:t>H. influenzae</w:t>
      </w:r>
      <w:r>
        <w:rPr>
          <w:rFonts w:ascii="Cambria" w:hAnsi="Cambria"/>
          <w:b/>
          <w:i w:val="0"/>
          <w:color w:val="000000"/>
        </w:rPr>
        <w:t xml:space="preserve"> tipo b ha prácticamente desaparecido</w:t>
      </w:r>
      <w:r>
        <w:rPr>
          <w:rFonts w:ascii="Cambria" w:hAnsi="Cambria"/>
          <w:b w:val="0"/>
          <w:i w:val="0"/>
          <w:color w:val="000000"/>
        </w:rPr>
        <w:t xml:space="preserve"> y la MBA </w:t>
      </w:r>
      <w:r>
        <w:rPr>
          <w:rFonts w:ascii="Cambria" w:hAnsi="Cambria"/>
          <w:b/>
          <w:i w:val="0"/>
          <w:color w:val="000000"/>
        </w:rPr>
        <w:t>afecta hoy más a adultos que a niños</w:t>
      </w:r>
      <w:r>
        <w:rPr>
          <w:rFonts w:ascii="Cambria" w:hAnsi="Cambria"/>
          <w:b w:val="0"/>
          <w:i w:val="0"/>
          <w:color w:val="000000"/>
        </w:rPr>
        <w:t xml:space="preserve">. El meningococo del adulto es sobre todo del </w:t>
      </w:r>
      <w:r>
        <w:rPr>
          <w:rFonts w:ascii="Cambria" w:hAnsi="Cambria"/>
          <w:b/>
          <w:i w:val="0"/>
          <w:color w:val="000000"/>
        </w:rPr>
        <w:t>serogrupo B</w:t>
      </w:r>
      <w:r>
        <w:rPr>
          <w:rFonts w:ascii="Cambria" w:hAnsi="Cambria"/>
          <w:b w:val="0"/>
          <w:i w:val="0"/>
          <w:color w:val="000000"/>
        </w:rPr>
        <w:t xml:space="preserve"> (ESCMID).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La </w:t>
      </w:r>
      <w:r>
        <w:rPr>
          <w:rFonts w:ascii="Cambria" w:hAnsi="Cambria"/>
          <w:b/>
          <w:i w:val="0"/>
          <w:color w:val="000000"/>
        </w:rPr>
        <w:t>enfermedad meningocócica</w:t>
      </w:r>
      <w:r>
        <w:rPr>
          <w:rFonts w:ascii="Cambria" w:hAnsi="Cambria"/>
          <w:b w:val="0"/>
          <w:i w:val="0"/>
          <w:color w:val="000000"/>
        </w:rPr>
        <w:t xml:space="preserve"> bajó </w:t>
      </w:r>
      <w:r>
        <w:rPr>
          <w:rFonts w:ascii="Cambria" w:hAnsi="Cambria"/>
          <w:b/>
          <w:i w:val="0"/>
          <w:color w:val="000000"/>
        </w:rPr>
        <w:t>más de un 50 % en España en 2020‑2022</w:t>
      </w:r>
      <w:r>
        <w:rPr>
          <w:rFonts w:ascii="Cambria" w:hAnsi="Cambria"/>
          <w:b w:val="0"/>
          <w:i w:val="0"/>
          <w:color w:val="000000"/>
        </w:rPr>
        <w:t>, con las medidas de protección de la pandemia de COVID-19 (SEN 2025).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Mortalidad</w:t>
      </w:r>
      <w:r>
        <w:rPr>
          <w:rFonts w:ascii="Cambria" w:hAnsi="Cambria"/>
          <w:b w:val="0"/>
          <w:i w:val="0"/>
          <w:color w:val="000000"/>
        </w:rPr>
        <w:t xml:space="preserve"> de la MBA del adulto: </w:t>
      </w:r>
      <w:r>
        <w:rPr>
          <w:rFonts w:ascii="Cambria" w:hAnsi="Cambria"/>
          <w:b/>
          <w:i w:val="0"/>
          <w:color w:val="000000"/>
        </w:rPr>
        <w:t>hasta el 18‑25 %</w:t>
      </w:r>
      <w:r>
        <w:rPr>
          <w:rFonts w:ascii="Cambria" w:hAnsi="Cambria"/>
          <w:b w:val="0"/>
          <w:i w:val="0"/>
          <w:color w:val="000000"/>
        </w:rPr>
        <w:t xml:space="preserve"> (SEMES 2012); </w:t>
      </w:r>
      <w:r>
        <w:rPr>
          <w:rFonts w:ascii="Cambria" w:hAnsi="Cambria"/>
          <w:b/>
          <w:i w:val="0"/>
          <w:color w:val="000000"/>
        </w:rPr>
        <w:t>en torno al 30 %</w:t>
      </w:r>
      <w:r>
        <w:rPr>
          <w:rFonts w:ascii="Cambria" w:hAnsi="Cambria"/>
          <w:b w:val="0"/>
          <w:i w:val="0"/>
          <w:color w:val="000000"/>
        </w:rPr>
        <w:t xml:space="preserve"> según la SEN 2025.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Factores de mal pronóstico</w:t>
      </w:r>
      <w:r>
        <w:rPr>
          <w:rFonts w:ascii="Cambria" w:hAnsi="Cambria"/>
          <w:b w:val="0"/>
          <w:i w:val="0"/>
          <w:color w:val="000000"/>
        </w:rPr>
        <w:t xml:space="preserve"> (SEN 2025): </w:t>
      </w:r>
      <w:r>
        <w:rPr>
          <w:rFonts w:ascii="Cambria" w:hAnsi="Cambria"/>
          <w:b/>
          <w:i w:val="0"/>
          <w:color w:val="000000"/>
        </w:rPr>
        <w:t>edad avanzada</w:t>
      </w:r>
      <w:r>
        <w:rPr>
          <w:rFonts w:ascii="Cambria" w:hAnsi="Cambria"/>
          <w:b w:val="0"/>
          <w:i w:val="0"/>
          <w:color w:val="000000"/>
        </w:rPr>
        <w:t xml:space="preserve">, otitis o sinusitis, </w:t>
      </w:r>
      <w:r>
        <w:rPr>
          <w:rFonts w:ascii="Cambria" w:hAnsi="Cambria"/>
          <w:b/>
          <w:i w:val="0"/>
          <w:color w:val="000000"/>
        </w:rPr>
        <w:t>GCS bajo al ingreso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taquicardia</w:t>
      </w:r>
      <w:r>
        <w:rPr>
          <w:rFonts w:ascii="Cambria" w:hAnsi="Cambria"/>
          <w:b w:val="0"/>
          <w:i w:val="0"/>
          <w:color w:val="000000"/>
        </w:rPr>
        <w:t xml:space="preserve"> o compromiso hemodinámico, hemocultivos positivos, VSG alta, </w:t>
      </w:r>
      <w:r>
        <w:rPr>
          <w:rFonts w:ascii="Cambria" w:hAnsi="Cambria"/>
          <w:b/>
          <w:i w:val="0"/>
          <w:color w:val="000000"/>
        </w:rPr>
        <w:t>trombopenia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LCR con &lt;100 células/µL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/>
          <w:i w:val="0"/>
          <w:color w:val="000000"/>
        </w:rPr>
        <w:t>crisis en las primeras 24 h</w:t>
      </w:r>
      <w:r>
        <w:rPr>
          <w:rFonts w:ascii="Cambria" w:hAnsi="Cambria"/>
          <w:b w:val="0"/>
          <w:i w:val="0"/>
          <w:color w:val="000000"/>
        </w:rPr>
        <w:t xml:space="preserve"> o estado epiléptico.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Secuelas</w:t>
      </w:r>
      <w:r>
        <w:rPr>
          <w:rFonts w:ascii="Cambria" w:hAnsi="Cambria"/>
          <w:b w:val="0"/>
          <w:i w:val="0"/>
          <w:color w:val="000000"/>
        </w:rPr>
        <w:t xml:space="preserve"> (ESCMID): </w:t>
      </w:r>
      <w:r>
        <w:rPr>
          <w:rFonts w:ascii="Cambria" w:hAnsi="Cambria"/>
          <w:b/>
          <w:i w:val="0"/>
          <w:color w:val="000000"/>
        </w:rPr>
        <w:t>un tercio de los supervivientes</w:t>
      </w:r>
      <w:r>
        <w:rPr>
          <w:rFonts w:ascii="Cambria" w:hAnsi="Cambria"/>
          <w:b w:val="0"/>
          <w:i w:val="0"/>
          <w:color w:val="000000"/>
        </w:rPr>
        <w:t xml:space="preserve"> tiene quejas persistentes. Hay </w:t>
      </w:r>
      <w:r>
        <w:rPr>
          <w:rFonts w:ascii="Cambria" w:hAnsi="Cambria"/>
          <w:b/>
          <w:i w:val="0"/>
          <w:color w:val="000000"/>
        </w:rPr>
        <w:t>hipoacusia neurosensorial en el 5‑35 %</w:t>
      </w:r>
      <w:r>
        <w:rPr>
          <w:rFonts w:ascii="Cambria" w:hAnsi="Cambria"/>
          <w:b w:val="0"/>
          <w:i w:val="0"/>
          <w:color w:val="000000"/>
        </w:rPr>
        <w:t xml:space="preserve"> (bilateral grave en el 4 %) y, en adultos, </w:t>
      </w:r>
      <w:r>
        <w:rPr>
          <w:rFonts w:ascii="Cambria" w:hAnsi="Cambria"/>
          <w:b/>
          <w:i w:val="0"/>
          <w:color w:val="000000"/>
        </w:rPr>
        <w:t>déficit cognitivo en el 32 %</w:t>
      </w:r>
      <w:r>
        <w:rPr>
          <w:rFonts w:ascii="Cambria" w:hAnsi="Cambria"/>
          <w:b w:val="0"/>
          <w:i w:val="0"/>
          <w:color w:val="000000"/>
        </w:rPr>
        <w:t xml:space="preserve"> frente al 6 % de los controles, sobre todo enlentecimiento. </w:t>
      </w:r>
      <w:r>
        <w:rPr>
          <w:rFonts w:ascii="Cambria" w:hAnsi="Cambria"/>
          <w:b w:val="0"/>
          <w:i/>
          <w:color w:val="000000"/>
        </w:rPr>
        <w:t>La SEN 2025 cifra las secuelas auditivas o vestibulares en el 10‑30 %.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Evolución hospitalaria</w:t>
      </w:r>
      <w:r>
        <w:rPr>
          <w:rFonts w:ascii="Cambria" w:hAnsi="Cambria"/>
          <w:b w:val="0"/>
          <w:i w:val="0"/>
          <w:color w:val="000000"/>
        </w:rPr>
        <w:t xml:space="preserve"> (ESCMID): </w:t>
      </w:r>
      <w:r>
        <w:rPr>
          <w:rFonts w:ascii="Cambria" w:hAnsi="Cambria"/>
          <w:b/>
          <w:i w:val="0"/>
          <w:color w:val="000000"/>
        </w:rPr>
        <w:t>la mitad de los adultos desarrolla focalidad</w:t>
      </w:r>
      <w:r>
        <w:rPr>
          <w:rFonts w:ascii="Cambria" w:hAnsi="Cambria"/>
          <w:b w:val="0"/>
          <w:i w:val="0"/>
          <w:color w:val="000000"/>
        </w:rPr>
        <w:t xml:space="preserve"> durante el ingreso y </w:t>
      </w:r>
      <w:r>
        <w:rPr>
          <w:rFonts w:ascii="Cambria" w:hAnsi="Cambria"/>
          <w:b/>
          <w:i w:val="0"/>
          <w:color w:val="000000"/>
        </w:rPr>
        <w:t>un tercio, insuficiencia hemodinámica o respiratoria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Recurrencia</w:t>
      </w:r>
      <w:r>
        <w:rPr>
          <w:rFonts w:ascii="Cambria" w:hAnsi="Cambria"/>
          <w:b w:val="0"/>
          <w:i w:val="0"/>
          <w:color w:val="000000"/>
        </w:rPr>
        <w:t xml:space="preserve">: </w:t>
      </w:r>
      <w:r>
        <w:rPr>
          <w:rFonts w:ascii="Cambria" w:hAnsi="Cambria"/>
          <w:b/>
          <w:i w:val="0"/>
          <w:color w:val="000000"/>
        </w:rPr>
        <w:t>1‑5 %</w:t>
      </w:r>
      <w:r>
        <w:rPr>
          <w:rFonts w:ascii="Cambria" w:hAnsi="Cambria"/>
          <w:b w:val="0"/>
          <w:i w:val="0"/>
          <w:color w:val="000000"/>
        </w:rPr>
        <w:t xml:space="preserve"> tras una meningitis neumocócica (ESCMID).</w:t>
      </w:r>
    </w:p>
    <w:p>
      <w:pPr>
        <w:pStyle w:val="ListParagraph"/>
        <w:keepLines/>
        <w:numPr>
          <w:ilvl w:val="0"/>
          <w:numId w:val="1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Tiempo hasta el antibiótico: </w:t>
      </w:r>
      <w:r>
        <w:rPr>
          <w:rFonts w:ascii="Cambria" w:hAnsi="Cambria"/>
          <w:b/>
          <w:i w:val="0"/>
          <w:color w:val="000000"/>
        </w:rPr>
        <w:t>retrasarlo se asocia con fuerza a muerte y mal pronóstico, y el retraso suele deberse a la TC antes de la PL</w:t>
      </w:r>
      <w:r>
        <w:rPr>
          <w:rFonts w:ascii="Cambria" w:hAnsi="Cambria"/>
          <w:b w:val="0"/>
          <w:i w:val="0"/>
          <w:color w:val="000000"/>
        </w:rPr>
        <w:t xml:space="preserve"> (ESCMID). En la revisión de la NICE, dar el antibiótico en cuanto se sospecha redujo la mortalidad en adultos, y el deterioro funcional cuando se comparó con retrasos &gt;6 h.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3. Etiología</w:t>
      </w:r>
    </w:p>
    <w:p>
      <w:pPr>
        <w:keepLines/>
        <w:jc w:val="both"/>
      </w:pPr>
      <w:r>
        <w:rPr>
          <w:rFonts w:ascii="Cambria" w:hAnsi="Cambria"/>
          <w:b/>
          <w:i/>
          <w:color w:val="000000"/>
        </w:rPr>
        <w:t>Streptococcus pneumoniae</w:t>
      </w:r>
      <w:r>
        <w:rPr>
          <w:rFonts w:ascii="Cambria" w:hAnsi="Cambria"/>
          <w:b w:val="0"/>
          <w:i w:val="0"/>
          <w:color w:val="000000"/>
        </w:rPr>
        <w:t xml:space="preserve"> es la primera causa en el adulto, seguido de </w:t>
      </w:r>
      <w:r>
        <w:rPr>
          <w:rFonts w:ascii="Cambria" w:hAnsi="Cambria"/>
          <w:b/>
          <w:i/>
          <w:color w:val="000000"/>
        </w:rPr>
        <w:t>Neisseria meningitidis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/>
          <w:i/>
          <w:color w:val="000000"/>
        </w:rPr>
        <w:t>Listeria monocytogenes</w:t>
      </w:r>
      <w:r>
        <w:rPr>
          <w:rFonts w:ascii="Cambria" w:hAnsi="Cambria"/>
          <w:b w:val="0"/>
          <w:i w:val="0"/>
          <w:color w:val="000000"/>
        </w:rPr>
        <w:t xml:space="preserve"> es la </w:t>
      </w:r>
      <w:r>
        <w:rPr>
          <w:rFonts w:ascii="Cambria" w:hAnsi="Cambria"/>
          <w:b/>
          <w:i w:val="0"/>
          <w:color w:val="000000"/>
        </w:rPr>
        <w:t>tercera</w:t>
      </w:r>
      <w:r>
        <w:rPr>
          <w:rFonts w:ascii="Cambria" w:hAnsi="Cambria"/>
          <w:b w:val="0"/>
          <w:i w:val="0"/>
          <w:color w:val="000000"/>
        </w:rPr>
        <w:t xml:space="preserve"> (sobre todo en ancianos e inmunodeprimidos). </w:t>
      </w:r>
      <w:r>
        <w:rPr>
          <w:rFonts w:ascii="Cambria" w:hAnsi="Cambria"/>
          <w:b/>
          <w:i/>
          <w:color w:val="000000"/>
        </w:rPr>
        <w:t>H. influenzae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/>
          <w:i/>
          <w:color w:val="000000"/>
        </w:rPr>
        <w:t>S. aureus</w:t>
      </w:r>
      <w:r>
        <w:rPr>
          <w:rFonts w:ascii="Cambria" w:hAnsi="Cambria"/>
          <w:b w:val="0"/>
          <w:i w:val="0"/>
          <w:color w:val="000000"/>
        </w:rPr>
        <w:t xml:space="preserve"> causan cada uno el 1‑2 %; </w:t>
      </w:r>
      <w:r>
        <w:rPr>
          <w:rFonts w:ascii="Cambria" w:hAnsi="Cambria"/>
          <w:b w:val="0"/>
          <w:i/>
          <w:color w:val="000000"/>
        </w:rPr>
        <w:t>H. influenzae</w:t>
      </w:r>
      <w:r>
        <w:rPr>
          <w:rFonts w:ascii="Cambria" w:hAnsi="Cambria"/>
          <w:b w:val="0"/>
          <w:i w:val="0"/>
          <w:color w:val="000000"/>
        </w:rPr>
        <w:t xml:space="preserve"> se asocia a otitis o sinusitis y </w:t>
      </w:r>
      <w:r>
        <w:rPr>
          <w:rFonts w:ascii="Cambria" w:hAnsi="Cambria"/>
          <w:b w:val="0"/>
          <w:i/>
          <w:color w:val="000000"/>
        </w:rPr>
        <w:t>S. aureus</w:t>
      </w:r>
      <w:r>
        <w:rPr>
          <w:rFonts w:ascii="Cambria" w:hAnsi="Cambria"/>
          <w:b w:val="0"/>
          <w:i w:val="0"/>
          <w:color w:val="000000"/>
        </w:rPr>
        <w:t xml:space="preserve"> a endocarditis (ESCMID).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Series europeas de adultos recogidas por la ESCMID (4.060 casos): </w:t>
      </w:r>
      <w:r>
        <w:rPr>
          <w:rFonts w:ascii="Cambria" w:hAnsi="Cambria"/>
          <w:b/>
          <w:i w:val="0"/>
          <w:color w:val="000000"/>
        </w:rPr>
        <w:t xml:space="preserve">neumococo 53 %, meningococo 27 %, </w:t>
      </w:r>
      <w:r>
        <w:rPr>
          <w:rFonts w:ascii="Cambria" w:hAnsi="Cambria"/>
          <w:b/>
          <w:i/>
          <w:color w:val="000000"/>
        </w:rPr>
        <w:t>Listeria</w:t>
      </w:r>
      <w:r>
        <w:rPr>
          <w:rFonts w:ascii="Cambria" w:hAnsi="Cambria"/>
          <w:b/>
          <w:i w:val="0"/>
          <w:color w:val="000000"/>
        </w:rPr>
        <w:t xml:space="preserve"> 4 %, </w:t>
      </w:r>
      <w:r>
        <w:rPr>
          <w:rFonts w:ascii="Cambria" w:hAnsi="Cambria"/>
          <w:b/>
          <w:i/>
          <w:color w:val="000000"/>
        </w:rPr>
        <w:t>H. influenzae</w:t>
      </w:r>
      <w:r>
        <w:rPr>
          <w:rFonts w:ascii="Cambria" w:hAnsi="Cambria"/>
          <w:b/>
          <w:i w:val="0"/>
          <w:color w:val="000000"/>
        </w:rPr>
        <w:t xml:space="preserve"> 3 %</w:t>
      </w:r>
      <w:r>
        <w:rPr>
          <w:rFonts w:ascii="Cambria" w:hAnsi="Cambria"/>
          <w:b w:val="0"/>
          <w:i w:val="0"/>
          <w:color w:val="000000"/>
        </w:rPr>
        <w:t xml:space="preserve"> y otros 13 %. La SEMES 2012 sitúa </w:t>
      </w:r>
      <w:r>
        <w:rPr>
          <w:rFonts w:ascii="Cambria" w:hAnsi="Cambria"/>
          <w:b w:val="0"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 xml:space="preserve"> en el 4‑8 %. Según la SEN 2025, neumococo y meningococo suman el 80 % de las MBA del adulto; </w:t>
      </w:r>
      <w:r>
        <w:rPr>
          <w:rFonts w:ascii="Cambria" w:hAnsi="Cambria"/>
          <w:b w:val="0"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 xml:space="preserve"> va en aumento por el envejecimiento y la inmunosupresión; el </w:t>
      </w:r>
      <w:r>
        <w:rPr>
          <w:rFonts w:ascii="Cambria" w:hAnsi="Cambria"/>
          <w:b/>
          <w:i w:val="0"/>
          <w:color w:val="000000"/>
        </w:rPr>
        <w:t>estreptococo del grupo B</w:t>
      </w:r>
      <w:r>
        <w:rPr>
          <w:rFonts w:ascii="Cambria" w:hAnsi="Cambria"/>
          <w:b w:val="0"/>
          <w:i w:val="0"/>
          <w:color w:val="000000"/>
        </w:rPr>
        <w:t xml:space="preserve"> (</w:t>
      </w:r>
      <w:r>
        <w:rPr>
          <w:rFonts w:ascii="Cambria" w:hAnsi="Cambria"/>
          <w:b w:val="0"/>
          <w:i/>
          <w:color w:val="000000"/>
        </w:rPr>
        <w:t>S. agalactiae</w:t>
      </w:r>
      <w:r>
        <w:rPr>
          <w:rFonts w:ascii="Cambria" w:hAnsi="Cambria"/>
          <w:b w:val="0"/>
          <w:i w:val="0"/>
          <w:color w:val="000000"/>
        </w:rPr>
        <w:t xml:space="preserve">) es frecuente en </w:t>
      </w:r>
      <w:r>
        <w:rPr>
          <w:rFonts w:ascii="Cambria" w:hAnsi="Cambria"/>
          <w:b/>
          <w:i w:val="0"/>
          <w:color w:val="000000"/>
        </w:rPr>
        <w:t>&gt;50 años con enfermedades debilitantes</w:t>
      </w:r>
      <w:r>
        <w:rPr>
          <w:rFonts w:ascii="Cambria" w:hAnsi="Cambria"/>
          <w:b w:val="0"/>
          <w:i w:val="0"/>
          <w:color w:val="000000"/>
        </w:rPr>
        <w:t xml:space="preserve">; y </w:t>
      </w:r>
      <w:r>
        <w:rPr>
          <w:rFonts w:ascii="Cambria" w:hAnsi="Cambria"/>
          <w:b w:val="0"/>
          <w:i/>
          <w:color w:val="000000"/>
        </w:rPr>
        <w:t>H. influenzae</w:t>
      </w:r>
      <w:r>
        <w:rPr>
          <w:rFonts w:ascii="Cambria" w:hAnsi="Cambria"/>
          <w:b w:val="0"/>
          <w:i w:val="0"/>
          <w:color w:val="000000"/>
        </w:rPr>
        <w:t xml:space="preserve"> queda para ancianos con enfermedad respiratoria y niños no vacunados.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288"/>
        <w:gridCol w:w="2665"/>
        <w:gridCol w:w="1644"/>
      </w:tblGrid>
      <w:tr>
        <w:trPr>
          <w:cantSplit/>
          <w:tblHeader/>
        </w:trPr>
        <w:tc>
          <w:tcPr>
            <w:tcW w:type="dxa" w:w="1814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Patógeno</w:t>
            </w:r>
          </w:p>
        </w:tc>
        <w:tc>
          <w:tcPr>
            <w:tcW w:type="dxa" w:w="3288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Factores de riesgo</w:t>
            </w:r>
          </w:p>
        </w:tc>
        <w:tc>
          <w:tcPr>
            <w:tcW w:type="dxa" w:w="2665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Pistas clínicas</w:t>
            </w:r>
          </w:p>
        </w:tc>
        <w:tc>
          <w:tcPr>
            <w:tcW w:type="dxa" w:w="1644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Gram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NEUMOCOCO</w:t>
            </w:r>
          </w:p>
        </w:tc>
        <w:tc>
          <w:tcPr>
            <w:tcW w:type="dxa" w:w="328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Fractura de base de cráneo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,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implante coclear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y cirugía ORL (SEN 2025, tabla 2);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fístula de LCR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, asplenia, enolismo, diabetes, cáncer, VIH, hipogammaglobulinemia, nefropatía o hepatopatía crónica (ESCMID; SEMES)</w:t>
            </w:r>
          </w:p>
        </w:tc>
        <w:tc>
          <w:tcPr>
            <w:tcW w:type="dxa" w:w="2665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Otitis, sinusitis o neumonía asociadas; laberintitis con hipoacusia; ictus (SEN 2025)</w:t>
            </w:r>
          </w:p>
        </w:tc>
        <w:tc>
          <w:tcPr>
            <w:tcW w:type="dxa" w:w="164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Diplococos grampositivos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MENINGOCOCO</w:t>
            </w:r>
          </w:p>
        </w:tc>
        <w:tc>
          <w:tcPr>
            <w:tcW w:type="dxa" w:w="328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A menudo ninguno; contacto con un caso o brote;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déficit de complemento o tratamiento con inhibidores del complemento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; asplenia; estudiantes en residencias; no vacunado (NICE 1.1.14; ESCMID)</w:t>
            </w:r>
          </w:p>
        </w:tc>
        <w:tc>
          <w:tcPr>
            <w:tcW w:type="dxa" w:w="2665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Petequias / púrpura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; artritis (SEN 2025)</w:t>
            </w:r>
          </w:p>
        </w:tc>
        <w:tc>
          <w:tcPr>
            <w:tcW w:type="dxa" w:w="164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Diplococos gramnegativos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LISTERIA</w:t>
            </w:r>
          </w:p>
        </w:tc>
        <w:tc>
          <w:tcPr>
            <w:tcW w:type="dxa" w:w="328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&gt;50 años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; embarazo; inmunosupresión celular (corticoides, trasplante, cáncer sólido o hematológico, VIH); diabetes; enolismo; cirrosis; nefropatía o hepatopatía (NICE; SEMES)</w:t>
            </w:r>
          </w:p>
        </w:tc>
        <w:tc>
          <w:tcPr>
            <w:tcW w:type="dxa" w:w="2665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Romboencefalitis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(ataxia, pares craneales bajos); focalidad precoz (SEN 2025)</w:t>
            </w:r>
          </w:p>
        </w:tc>
        <w:tc>
          <w:tcPr>
            <w:tcW w:type="dxa" w:w="164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Bacilos/cocobacilos grampositivos</w:t>
            </w:r>
          </w:p>
        </w:tc>
      </w:tr>
      <w:tr>
        <w:trPr>
          <w:cantSplit/>
        </w:trPr>
        <w:tc>
          <w:tcPr>
            <w:tcW w:type="dxa" w:w="181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H. INFLUENZAE</w:t>
            </w:r>
          </w:p>
        </w:tc>
        <w:tc>
          <w:tcPr>
            <w:tcW w:type="dxa" w:w="328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Infección ORL; déficit de inmunidad humoral; diabetes; enolismo; asplenia; mieloma (ESCMID)</w:t>
            </w:r>
          </w:p>
        </w:tc>
        <w:tc>
          <w:tcPr>
            <w:tcW w:type="dxa" w:w="2665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Otitis, sinusitis, faringitis</w:t>
            </w:r>
          </w:p>
        </w:tc>
        <w:tc>
          <w:tcPr>
            <w:tcW w:type="dxa" w:w="164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Cocobacilos gramnegativos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keepNext/>
        <w:keepLines/>
        <w:jc w:val="both"/>
      </w:pPr>
      <w:r>
        <w:rPr>
          <w:rFonts w:ascii="Cambria" w:hAnsi="Cambria"/>
          <w:b/>
          <w:i w:val="0"/>
          <w:color w:val="000000"/>
        </w:rPr>
        <w:t>Situaciones especiales</w:t>
      </w:r>
      <w:r>
        <w:rPr>
          <w:rFonts w:ascii="Cambria" w:hAnsi="Cambria"/>
          <w:b w:val="0"/>
          <w:i w:val="0"/>
          <w:color w:val="000000"/>
        </w:rPr>
        <w:t xml:space="preserve"> (SEMES 2012, además de lo esperable por la edad):</w:t>
      </w:r>
    </w:p>
    <w:p>
      <w:pPr>
        <w:pStyle w:val="ListParagraph"/>
        <w:keepLines/>
        <w:numPr>
          <w:ilvl w:val="0"/>
          <w:numId w:val="1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Neutropenia</w:t>
      </w:r>
      <w:r>
        <w:rPr>
          <w:rFonts w:ascii="Cambria" w:hAnsi="Cambria"/>
          <w:b w:val="0"/>
          <w:i w:val="0"/>
          <w:color w:val="000000"/>
        </w:rPr>
        <w:t xml:space="preserve">: enterobacterias, </w:t>
      </w:r>
      <w:r>
        <w:rPr>
          <w:rFonts w:ascii="Cambria" w:hAnsi="Cambria"/>
          <w:b w:val="0"/>
          <w:i/>
          <w:color w:val="000000"/>
        </w:rPr>
        <w:t>Pseudomonas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 w:val="0"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>, anaerobios.</w:t>
      </w:r>
    </w:p>
    <w:p>
      <w:pPr>
        <w:pStyle w:val="ListParagraph"/>
        <w:keepLines/>
        <w:numPr>
          <w:ilvl w:val="0"/>
          <w:numId w:val="1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Esplenectomía</w:t>
      </w:r>
      <w:r>
        <w:rPr>
          <w:rFonts w:ascii="Cambria" w:hAnsi="Cambria"/>
          <w:b w:val="0"/>
          <w:i w:val="0"/>
          <w:color w:val="000000"/>
        </w:rPr>
        <w:t xml:space="preserve">: neumococo y otros encapsulados, </w:t>
      </w:r>
      <w:r>
        <w:rPr>
          <w:rFonts w:ascii="Cambria" w:hAnsi="Cambria"/>
          <w:b w:val="0"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Enfermedad crónica debilitante</w:t>
      </w:r>
      <w:r>
        <w:rPr>
          <w:rFonts w:ascii="Cambria" w:hAnsi="Cambria"/>
          <w:b w:val="0"/>
          <w:i w:val="0"/>
          <w:color w:val="000000"/>
        </w:rPr>
        <w:t xml:space="preserve"> (diabetes, insuficiencia renal, alcoholismo, cáncer, corticoides, hepatopatía): enterobacterias, </w:t>
      </w:r>
      <w:r>
        <w:rPr>
          <w:rFonts w:ascii="Cambria" w:hAnsi="Cambria"/>
          <w:b w:val="0"/>
          <w:i/>
          <w:color w:val="000000"/>
        </w:rPr>
        <w:t>Pseudomonas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 w:val="0"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 xml:space="preserve">, meningococo, neumococo, </w:t>
      </w:r>
      <w:r>
        <w:rPr>
          <w:rFonts w:ascii="Cambria" w:hAnsi="Cambria"/>
          <w:b w:val="0"/>
          <w:i/>
          <w:color w:val="000000"/>
        </w:rPr>
        <w:t>M. tuberculosis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 w:val="0"/>
          <w:i/>
          <w:color w:val="000000"/>
        </w:rPr>
        <w:t>H. influenzae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 w:val="0"/>
          <w:i w:val="0"/>
          <w:color w:val="000000"/>
        </w:rPr>
        <w:t xml:space="preserve">La SEN 2025 añade a los </w:t>
      </w:r>
      <w:r>
        <w:rPr>
          <w:rFonts w:ascii="Cambria" w:hAnsi="Cambria"/>
          <w:b/>
          <w:i w:val="0"/>
          <w:color w:val="000000"/>
        </w:rPr>
        <w:t>bacilos gramnegativos</w:t>
      </w:r>
      <w:r>
        <w:rPr>
          <w:rFonts w:ascii="Cambria" w:hAnsi="Cambria"/>
          <w:b w:val="0"/>
          <w:i w:val="0"/>
          <w:color w:val="000000"/>
        </w:rPr>
        <w:t xml:space="preserve"> (</w:t>
      </w:r>
      <w:r>
        <w:rPr>
          <w:rFonts w:ascii="Cambria" w:hAnsi="Cambria"/>
          <w:b w:val="0"/>
          <w:i/>
          <w:color w:val="000000"/>
        </w:rPr>
        <w:t>P. aeruginosa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 w:val="0"/>
          <w:i/>
          <w:color w:val="000000"/>
        </w:rPr>
        <w:t>Klebsiella</w:t>
      </w:r>
      <w:r>
        <w:rPr>
          <w:rFonts w:ascii="Cambria" w:hAnsi="Cambria"/>
          <w:b w:val="0"/>
          <w:i w:val="0"/>
          <w:color w:val="000000"/>
        </w:rPr>
        <w:t xml:space="preserve">) en la </w:t>
      </w:r>
      <w:r>
        <w:rPr>
          <w:rFonts w:ascii="Cambria" w:hAnsi="Cambria"/>
          <w:b/>
          <w:i w:val="0"/>
          <w:color w:val="000000"/>
        </w:rPr>
        <w:t>estrongiloidiasis diseminada</w:t>
      </w:r>
      <w:r>
        <w:rPr>
          <w:rFonts w:ascii="Cambria" w:hAnsi="Cambria"/>
          <w:b w:val="0"/>
          <w:i w:val="0"/>
          <w:color w:val="000000"/>
        </w:rPr>
        <w:t xml:space="preserve"> y a las enterobacterias en la diabetes, la cirrosis, el alcoholismo y las infecciones urinarias.</w:t>
      </w:r>
    </w:p>
    <w:p>
      <w:pPr>
        <w:pStyle w:val="ListParagraph"/>
        <w:keepLines/>
        <w:numPr>
          <w:ilvl w:val="0"/>
          <w:numId w:val="1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Fístula de LCR</w:t>
      </w:r>
      <w:r>
        <w:rPr>
          <w:rFonts w:ascii="Cambria" w:hAnsi="Cambria"/>
          <w:b w:val="0"/>
          <w:i w:val="0"/>
          <w:color w:val="000000"/>
        </w:rPr>
        <w:t>: neumococo.</w:t>
      </w:r>
    </w:p>
    <w:p>
      <w:pPr>
        <w:pStyle w:val="ListParagraph"/>
        <w:keepLines/>
        <w:numPr>
          <w:ilvl w:val="0"/>
          <w:numId w:val="1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Neurocirugía</w:t>
      </w:r>
      <w:r>
        <w:rPr>
          <w:rFonts w:ascii="Cambria" w:hAnsi="Cambria"/>
          <w:b w:val="0"/>
          <w:i w:val="0"/>
          <w:color w:val="000000"/>
        </w:rPr>
        <w:t xml:space="preserve">: </w:t>
      </w:r>
      <w:r>
        <w:rPr>
          <w:rFonts w:ascii="Cambria" w:hAnsi="Cambria"/>
          <w:b w:val="0"/>
          <w:i/>
          <w:color w:val="000000"/>
        </w:rPr>
        <w:t>S. aureus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 w:val="0"/>
          <w:i/>
          <w:color w:val="000000"/>
        </w:rPr>
        <w:t>S. epidermidis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 w:val="0"/>
          <w:i/>
          <w:color w:val="000000"/>
        </w:rPr>
        <w:t>P. aeruginosa</w:t>
      </w:r>
      <w:r>
        <w:rPr>
          <w:rFonts w:ascii="Cambria" w:hAnsi="Cambria"/>
          <w:b w:val="0"/>
          <w:i w:val="0"/>
          <w:color w:val="000000"/>
        </w:rPr>
        <w:t>, enterobacterias.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Tras las vacunas antineumocócicas conjugadas se ha observado en adultos un </w:t>
      </w:r>
      <w:r>
        <w:rPr>
          <w:rFonts w:ascii="Cambria" w:hAnsi="Cambria"/>
          <w:b/>
          <w:i w:val="0"/>
          <w:color w:val="000000"/>
        </w:rPr>
        <w:t>reemplazo de serotipos</w:t>
      </w:r>
      <w:r>
        <w:rPr>
          <w:rFonts w:ascii="Cambria" w:hAnsi="Cambria"/>
          <w:b w:val="0"/>
          <w:i w:val="0"/>
          <w:color w:val="000000"/>
        </w:rPr>
        <w:t>, por lo que la vigilancia sigue siendo necesaria (ESCMID, con datos de Barcelona).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4. Valoración inicial: tiempos y secuencia en urgencias</w:t>
      </w:r>
    </w:p>
    <w:p>
      <w:pPr>
        <w:keepNext/>
        <w:keepLines/>
        <w:jc w:val="both"/>
      </w:pPr>
      <w:r>
        <w:rPr>
          <w:rFonts w:ascii="Cambria" w:hAnsi="Cambria"/>
          <w:b/>
          <w:i w:val="0"/>
          <w:color w:val="000000"/>
        </w:rPr>
        <w:t>LA MBA ES UNA EMERGENCIA TIEMPO-DEPENDIENTE: ANTIBIÓTICO IV EN MENOS DE 1 HORA DESDE LA LLEGADA</w:t>
      </w:r>
      <w:r>
        <w:rPr>
          <w:rFonts w:ascii="Cambria" w:hAnsi="Cambria"/>
          <w:b w:val="0"/>
          <w:i w:val="0"/>
          <w:color w:val="000000"/>
        </w:rPr>
        <w:t xml:space="preserve"> (ESCMID, grado A; NICE 1.4.1). </w:t>
      </w:r>
      <w:r>
        <w:rPr>
          <w:rFonts w:ascii="Cambria" w:hAnsi="Cambria"/>
          <w:b w:val="0"/>
          <w:i/>
          <w:color w:val="000000"/>
        </w:rPr>
        <w:t>La SEMES 2012 pedía analítica, cultivos y primera dosis de antibiótico en 15‑30 min.</w:t>
      </w:r>
    </w:p>
    <w:p>
      <w:pPr>
        <w:pStyle w:val="ListParagraph"/>
        <w:keepNext/>
        <w:keepLines/>
        <w:numPr>
          <w:ilvl w:val="0"/>
          <w:numId w:val="14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Estabilizar</w:t>
      </w:r>
      <w:r>
        <w:rPr>
          <w:rFonts w:ascii="Cambria" w:hAnsi="Cambria"/>
          <w:b w:val="0"/>
          <w:i w:val="0"/>
          <w:color w:val="000000"/>
        </w:rPr>
        <w:t xml:space="preserve"> y buscar datos de sepsis.</w:t>
      </w:r>
    </w:p>
    <w:p>
      <w:pPr>
        <w:pStyle w:val="ListParagraph"/>
        <w:keepNext/>
        <w:keepLines/>
        <w:numPr>
          <w:ilvl w:val="0"/>
          <w:numId w:val="14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Extraer hemocultivos y analítica ANTES del antibiótico</w:t>
      </w:r>
      <w:r>
        <w:rPr>
          <w:rFonts w:ascii="Cambria" w:hAnsi="Cambria"/>
          <w:b w:val="0"/>
          <w:i w:val="0"/>
          <w:color w:val="000000"/>
        </w:rPr>
        <w:t xml:space="preserve"> (ESCMID, grado A; NICE 1.6.1), y antes de la PL (SEN 2025).</w:t>
      </w:r>
    </w:p>
    <w:p>
      <w:pPr>
        <w:pStyle w:val="ListParagraph"/>
        <w:keepNext/>
        <w:keepLines/>
        <w:numPr>
          <w:ilvl w:val="0"/>
          <w:numId w:val="14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Hacer la PL antes del antibiótico SOLO si es segura y no lo retrasa</w:t>
      </w:r>
      <w:r>
        <w:rPr>
          <w:rFonts w:ascii="Cambria" w:hAnsi="Cambria"/>
          <w:b w:val="0"/>
          <w:i w:val="0"/>
          <w:color w:val="000000"/>
        </w:rPr>
        <w:t xml:space="preserve"> de forma relevante (NICE 1.4.9). Si no, se inicia el tratamiento y se hace la PL en cuanto sea posible (NICE 1.4.10). </w:t>
      </w:r>
      <w:r>
        <w:rPr>
          <w:rFonts w:ascii="Cambria" w:hAnsi="Cambria"/>
          <w:b w:val="0"/>
          <w:i w:val="0"/>
          <w:color w:val="000000"/>
        </w:rPr>
        <w:t>La NICE admite, según el juicio clínico, retrasar el antibiótico "ligeramente más de 1 hora" si así se puede hacer antes la PL.</w:t>
      </w:r>
    </w:p>
    <w:p>
      <w:pPr>
        <w:pStyle w:val="ListParagraph"/>
        <w:keepNext/>
        <w:keepLines/>
        <w:numPr>
          <w:ilvl w:val="0"/>
          <w:numId w:val="14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Si la PL se va a retrasar (por ejemplo, por la TC), iniciar el tratamiento empírico de inmediato ante la sospecha clínica, tras los hemocultivos, aunque el diagnóstico no esté confirmado</w:t>
      </w:r>
      <w:r>
        <w:rPr>
          <w:rFonts w:ascii="Cambria" w:hAnsi="Cambria"/>
          <w:b w:val="0"/>
          <w:i w:val="0"/>
          <w:color w:val="000000"/>
        </w:rPr>
        <w:t xml:space="preserve"> (ESCMID, grado A).</w:t>
      </w:r>
    </w:p>
    <w:p>
      <w:pPr>
        <w:pStyle w:val="ListParagraph"/>
        <w:keepNext w:val="0"/>
        <w:keepLines/>
        <w:numPr>
          <w:ilvl w:val="0"/>
          <w:numId w:val="14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Dexametasona con o justo antes de la primera dosis de antibiótico</w:t>
      </w:r>
      <w:r>
        <w:rPr>
          <w:rFonts w:ascii="Cambria" w:hAnsi="Cambria"/>
          <w:b w:val="0"/>
          <w:i w:val="0"/>
          <w:color w:val="000000"/>
        </w:rPr>
        <w:t>, sin retrasar el antibiótico por ella (SEN 2025; ESCMID; NICE 1.8.5).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4.1. ¿TC craneal ANTES de la punción lumbar?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SEN 2025</w:t>
      </w:r>
      <w:r>
        <w:rPr>
          <w:rFonts w:ascii="Cambria" w:hAnsi="Cambria"/>
          <w:b w:val="0"/>
          <w:i w:val="0"/>
          <w:color w:val="000000"/>
        </w:rPr>
        <w:t xml:space="preserve"> (</w:t>
      </w:r>
      <w:r>
        <w:rPr>
          <w:rFonts w:ascii="Cambria" w:hAnsi="Cambria"/>
          <w:b w:val="0"/>
          <w:i/>
          <w:color w:val="000000"/>
        </w:rPr>
        <w:t>Manual del Residente de Neurología</w:t>
      </w:r>
      <w:r>
        <w:rPr>
          <w:rFonts w:ascii="Cambria" w:hAnsi="Cambria"/>
          <w:b w:val="0"/>
          <w:i w:val="0"/>
          <w:color w:val="000000"/>
        </w:rPr>
        <w:t xml:space="preserve">, cap. 40, §1.5, p. 622): </w:t>
      </w:r>
      <w:r>
        <w:rPr>
          <w:rFonts w:ascii="Cambria" w:hAnsi="Cambria"/>
          <w:b/>
          <w:i w:val="0"/>
          <w:color w:val="000000"/>
        </w:rPr>
        <w:t>recomienda neuroimagen antes de la PL</w:t>
      </w:r>
      <w:r>
        <w:rPr>
          <w:rFonts w:ascii="Cambria" w:hAnsi="Cambria"/>
          <w:b w:val="0"/>
          <w:i w:val="0"/>
          <w:color w:val="000000"/>
        </w:rPr>
        <w:t xml:space="preserve">, generalmente TC craneal, pero </w:t>
      </w:r>
      <w:r>
        <w:rPr>
          <w:rFonts w:ascii="Cambria" w:hAnsi="Cambria"/>
          <w:b/>
          <w:i w:val="0"/>
          <w:color w:val="000000"/>
        </w:rPr>
        <w:t>solo la considera obligatoria ante la posibilidad de una lesión intracerebral con riesgo de herniación tras la PL</w:t>
      </w:r>
      <w:r>
        <w:rPr>
          <w:rFonts w:ascii="Cambria" w:hAnsi="Cambria"/>
          <w:b w:val="0"/>
          <w:i w:val="0"/>
          <w:color w:val="000000"/>
        </w:rPr>
        <w:t>. Enumera los siguientes criterios: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Focalidad neurológica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Bajo nivel de consciencia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Crisis epilépticas asociadas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Papiledema u otros datos de hipertensión intracraneal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Inmunosupresión</w:t>
      </w:r>
      <w:r>
        <w:rPr>
          <w:rFonts w:ascii="Cambria" w:hAnsi="Cambria"/>
          <w:b w:val="0"/>
          <w:i w:val="0"/>
          <w:color w:val="000000"/>
        </w:rPr>
        <w:t xml:space="preserve"> que pueda facilitar la presencia de abscesos cerebrales.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Proceso oncológico activo conocido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Sospecha de absceso epidural espinal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15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Plaquetopenia o diátesis hemorrágica</w:t>
      </w:r>
      <w:r>
        <w:rPr>
          <w:rFonts w:ascii="Cambria" w:hAnsi="Cambria"/>
          <w:b w:val="0"/>
          <w:i w:val="0"/>
          <w:color w:val="000000"/>
        </w:rPr>
        <w:t>, incluido el tratamiento anticoagulante.</w:t>
      </w:r>
    </w:p>
    <w:p>
      <w:pPr>
        <w:keepNext/>
        <w:keepLines/>
        <w:jc w:val="both"/>
      </w:pPr>
      <w:r>
        <w:rPr>
          <w:rFonts w:ascii="Cambria" w:hAnsi="Cambria"/>
          <w:b/>
          <w:i w:val="0"/>
          <w:color w:val="000000"/>
        </w:rPr>
        <w:t>LA NEUROIMAGEN NUNCA DEBE RETRASAR EL INICIO DEL ANTIBIÓTICO</w:t>
      </w:r>
      <w:r>
        <w:rPr>
          <w:rFonts w:ascii="Cambria" w:hAnsi="Cambria"/>
          <w:b w:val="0"/>
          <w:i w:val="0"/>
          <w:color w:val="000000"/>
        </w:rPr>
        <w:t xml:space="preserve"> (SEN 2025). Si se necesita imagen, </w:t>
      </w:r>
      <w:r>
        <w:rPr>
          <w:rFonts w:ascii="Cambria" w:hAnsi="Cambria"/>
          <w:b/>
          <w:i w:val="0"/>
          <w:color w:val="000000"/>
        </w:rPr>
        <w:t>extraer sangre, administrar antibióticos y estabilizar al paciente antes de realizarla</w:t>
      </w:r>
      <w:r>
        <w:rPr>
          <w:rFonts w:ascii="Cambria" w:hAnsi="Cambria"/>
          <w:b w:val="0"/>
          <w:i w:val="0"/>
          <w:color w:val="000000"/>
        </w:rPr>
        <w:t xml:space="preserve"> (NICE 1.4.8).</w:t>
      </w:r>
    </w:p>
    <w:p>
      <w:pPr>
        <w:keepNext/>
        <w:keepLines/>
        <w:jc w:val="both"/>
      </w:pPr>
      <w:r>
        <w:rPr>
          <w:rFonts w:ascii="Cambria" w:hAnsi="Cambria"/>
          <w:b/>
          <w:i w:val="0"/>
          <w:color w:val="000000"/>
        </w:rPr>
        <w:t>Matices de NICE NG240 (2024):</w:t>
      </w:r>
    </w:p>
    <w:p>
      <w:pPr>
        <w:pStyle w:val="ListParagraph"/>
        <w:keepLines/>
        <w:numPr>
          <w:ilvl w:val="0"/>
          <w:numId w:val="16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La neuroimagen antes de la PL </w:t>
      </w:r>
      <w:r>
        <w:rPr>
          <w:rFonts w:ascii="Cambria" w:hAnsi="Cambria"/>
          <w:b/>
          <w:i w:val="0"/>
          <w:color w:val="000000"/>
        </w:rPr>
        <w:t>no debe hacerse de rutina</w:t>
      </w:r>
      <w:r>
        <w:rPr>
          <w:rFonts w:ascii="Cambria" w:hAnsi="Cambria"/>
          <w:b w:val="0"/>
          <w:i w:val="0"/>
          <w:color w:val="000000"/>
        </w:rPr>
        <w:t xml:space="preserve"> (1.4.6). La indica si hay </w:t>
      </w:r>
      <w:r>
        <w:rPr>
          <w:rFonts w:ascii="Cambria" w:hAnsi="Cambria"/>
          <w:b/>
          <w:i w:val="0"/>
          <w:color w:val="000000"/>
        </w:rPr>
        <w:t>factores de riesgo de lesión ocupante de espacio en evolución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focalidad neurológica nueva (incluidas crisis o posturas anómalas)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reacciones pupilares anormales</w:t>
      </w:r>
      <w:r>
        <w:rPr>
          <w:rFonts w:ascii="Cambria" w:hAnsi="Cambria"/>
          <w:b w:val="0"/>
          <w:i w:val="0"/>
          <w:color w:val="000000"/>
        </w:rPr>
        <w:t xml:space="preserve">, o </w:t>
      </w:r>
      <w:r>
        <w:rPr>
          <w:rFonts w:ascii="Cambria" w:hAnsi="Cambria"/>
          <w:b/>
          <w:i w:val="0"/>
          <w:color w:val="000000"/>
        </w:rPr>
        <w:t>GCS ≤9 o descenso progresivo y sostenido, o rápido, del nivel de consciencia</w:t>
      </w:r>
      <w:r>
        <w:rPr>
          <w:rFonts w:ascii="Cambria" w:hAnsi="Cambria"/>
          <w:b w:val="0"/>
          <w:i w:val="0"/>
          <w:color w:val="000000"/>
        </w:rPr>
        <w:t xml:space="preserve"> (1.4.7).</w:t>
      </w:r>
    </w:p>
    <w:p>
      <w:pPr>
        <w:pStyle w:val="ListParagraph"/>
        <w:keepLines/>
        <w:numPr>
          <w:ilvl w:val="0"/>
          <w:numId w:val="16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Con estos factores, </w:t>
      </w:r>
      <w:r>
        <w:rPr>
          <w:rFonts w:ascii="Cambria" w:hAnsi="Cambria"/>
          <w:b/>
          <w:i w:val="0"/>
          <w:color w:val="000000"/>
        </w:rPr>
        <w:t>no realizar la PL hasta que se hayan resuelto</w:t>
      </w:r>
      <w:r>
        <w:rPr>
          <w:rFonts w:ascii="Cambria" w:hAnsi="Cambria"/>
          <w:b w:val="0"/>
          <w:i w:val="0"/>
          <w:color w:val="000000"/>
        </w:rPr>
        <w:t xml:space="preserve"> (1.4.7). El </w:t>
      </w:r>
      <w:r>
        <w:rPr>
          <w:rFonts w:ascii="Cambria" w:hAnsi="Cambria"/>
          <w:b/>
          <w:i w:val="0"/>
          <w:color w:val="000000"/>
        </w:rPr>
        <w:t>riesgo hemorrágico debe tratarse y estabilizarse antes de la PL</w:t>
      </w:r>
      <w:r>
        <w:rPr>
          <w:rFonts w:ascii="Cambria" w:hAnsi="Cambria"/>
          <w:b w:val="0"/>
          <w:i w:val="0"/>
          <w:color w:val="000000"/>
        </w:rPr>
        <w:t xml:space="preserve"> (1.4.11); NICE no lo enumera como indicación de neuroimagen. Ver §4.2.</w:t>
      </w:r>
    </w:p>
    <w:p>
      <w:pPr>
        <w:pStyle w:val="ListParagraph"/>
        <w:keepLines/>
        <w:numPr>
          <w:ilvl w:val="0"/>
          <w:numId w:val="16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Si la PL es segura y no retrasa de forma clínicamente relevante el antibiótico, hacerla antes de iniciarlo; si ya se ha administrado, realizarla cuanto antes, siempre que sea segura (1.4.9‑1.4.10).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4.2. Contraindicaciones de la punción lumbar</w:t>
      </w:r>
    </w:p>
    <w:p>
      <w:pPr>
        <w:pStyle w:val="ListParagraph"/>
        <w:keepLines/>
        <w:numPr>
          <w:ilvl w:val="0"/>
          <w:numId w:val="17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Signos de HTIC o riesgo de herniación</w:t>
      </w:r>
      <w:r>
        <w:rPr>
          <w:rFonts w:ascii="Cambria" w:hAnsi="Cambria"/>
          <w:b w:val="0"/>
          <w:i w:val="0"/>
          <w:color w:val="000000"/>
        </w:rPr>
        <w:t xml:space="preserve"> (los criterios de imagen de arriba; hidrocefalia obstructiva, edema cerebral, lesión ocupante de espacio): primero la imagen y no puncionar hasta resolverlos (NICE 1.4.7, 1.4.12).</w:t>
      </w:r>
    </w:p>
    <w:p>
      <w:pPr>
        <w:pStyle w:val="ListParagraph"/>
        <w:keepLines/>
        <w:numPr>
          <w:ilvl w:val="0"/>
          <w:numId w:val="17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Púrpura extensa o en rápida progresión</w:t>
      </w:r>
      <w:r>
        <w:rPr>
          <w:rFonts w:ascii="Cambria" w:hAnsi="Cambria"/>
          <w:b w:val="0"/>
          <w:i w:val="0"/>
          <w:color w:val="000000"/>
        </w:rPr>
        <w:t xml:space="preserve"> (NICE 1.4.12).</w:t>
      </w:r>
    </w:p>
    <w:p>
      <w:pPr>
        <w:pStyle w:val="ListParagraph"/>
        <w:keepLines/>
        <w:numPr>
          <w:ilvl w:val="0"/>
          <w:numId w:val="17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Coagulopatía o trombopenia</w:t>
      </w:r>
      <w:r>
        <w:rPr>
          <w:rFonts w:ascii="Cambria" w:hAnsi="Cambria"/>
          <w:b w:val="0"/>
          <w:i w:val="0"/>
          <w:color w:val="000000"/>
        </w:rPr>
        <w:t xml:space="preserve"> (por ejemplo, anticoagulación reciente) (SEN 2025; ESCMID). </w:t>
      </w:r>
      <w:r>
        <w:rPr>
          <w:rFonts w:ascii="Cambria" w:hAnsi="Cambria"/>
          <w:b w:val="0"/>
          <w:i/>
          <w:color w:val="000000"/>
        </w:rPr>
        <w:t>La SEMES 2012 pide un Quick &gt;50‑60 %.</w:t>
      </w:r>
    </w:p>
    <w:p>
      <w:pPr>
        <w:pStyle w:val="ListParagraph"/>
        <w:keepLines/>
        <w:numPr>
          <w:ilvl w:val="0"/>
          <w:numId w:val="17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Sospecha de absceso epidural espinal</w:t>
      </w:r>
      <w:r>
        <w:rPr>
          <w:rFonts w:ascii="Cambria" w:hAnsi="Cambria"/>
          <w:b w:val="0"/>
          <w:i w:val="0"/>
          <w:color w:val="000000"/>
        </w:rPr>
        <w:t xml:space="preserve"> (SEN 2025).</w:t>
      </w:r>
    </w:p>
    <w:p>
      <w:pPr>
        <w:pStyle w:val="ListParagraph"/>
        <w:keepLines/>
        <w:numPr>
          <w:ilvl w:val="0"/>
          <w:numId w:val="17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Infección en el punto de punción</w:t>
      </w:r>
      <w:r>
        <w:rPr>
          <w:rFonts w:ascii="Cambria" w:hAnsi="Cambria"/>
          <w:b w:val="0"/>
          <w:i w:val="0"/>
          <w:color w:val="000000"/>
        </w:rPr>
        <w:t xml:space="preserve"> (NICE; ESCMID).</w:t>
      </w:r>
    </w:p>
    <w:p>
      <w:pPr>
        <w:pStyle w:val="ListParagraph"/>
        <w:keepLines/>
        <w:numPr>
          <w:ilvl w:val="0"/>
          <w:numId w:val="17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Inestabilidad</w:t>
      </w:r>
      <w:r>
        <w:rPr>
          <w:rFonts w:ascii="Cambria" w:hAnsi="Cambria"/>
          <w:b w:val="0"/>
          <w:i w:val="0"/>
          <w:color w:val="000000"/>
        </w:rPr>
        <w:t>: tratar y estabilizar antes una vía aérea no protegida, compromiso respiratorio, shock o crisis no controladas (NICE 1.4.11; ESCMID).</w:t>
      </w:r>
    </w:p>
    <w:p>
      <w:pPr>
        <w:keepLines w:val="0"/>
        <w:jc w:val="both"/>
      </w:pPr>
      <w:r>
        <w:rPr>
          <w:b/>
          <w:i w:val="0"/>
        </w:rPr>
        <w:t>Una neuroimagen normal o una aguja fina no bastan para considerar segura la PL si persisten factores de riesgo</w:t>
      </w:r>
      <w:r>
        <w:rPr>
          <w:b w:val="0"/>
          <w:i w:val="0"/>
        </w:rPr>
        <w:t xml:space="preserve">: mantener la valoración clínica y las contraindicaciones anteriores (SEN 2025, cap. 40, §1.5; NICE 1.4.7 y 1.4.11‑1.4.12). El desarrollo de cefalea pospunción, hematoma, infección y herniación está en el documento independiente </w:t>
      </w:r>
      <w:hyperlink r:id="rId12">
        <w:r>
          <w:rPr>
            <w:b w:val="0"/>
            <w:i w:val="0"/>
            <w:color w:val="185C91"/>
            <w:u w:val="single"/>
          </w:rPr>
          <w:t>Complicaciones de la punción lumbar</w:t>
        </w:r>
      </w:hyperlink>
      <w:r>
        <w:rPr>
          <w:b w:val="0"/>
          <w:i w:val="0"/>
        </w:rPr>
        <w:t>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5. Pruebas complementarias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5.1. Sangre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2 HEMOCULTIVOS antes del antibiótico</w:t>
      </w:r>
      <w:r>
        <w:rPr>
          <w:rFonts w:ascii="Cambria" w:hAnsi="Cambria"/>
          <w:b w:val="0"/>
          <w:i w:val="0"/>
          <w:color w:val="000000"/>
        </w:rPr>
        <w:t xml:space="preserve"> (ESCMID, grado A). </w:t>
      </w:r>
      <w:r>
        <w:rPr>
          <w:rFonts w:ascii="Cambria" w:hAnsi="Cambria"/>
          <w:b w:val="0"/>
          <w:i w:val="0"/>
          <w:color w:val="000000"/>
        </w:rPr>
        <w:t xml:space="preserve">Positivos en el 50‑90 % de las MBA (SEN 2025). Desglose por germen (ESCMID): ~75 % en la neumocócica, 50‑90 % en la de </w:t>
      </w:r>
      <w:r>
        <w:rPr>
          <w:rFonts w:ascii="Cambria" w:hAnsi="Cambria"/>
          <w:b w:val="0"/>
          <w:i/>
          <w:color w:val="000000"/>
        </w:rPr>
        <w:t>H. influenzae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/>
          <w:i w:val="0"/>
          <w:color w:val="000000"/>
        </w:rPr>
        <w:t>40‑60 % en la meningocócica</w:t>
      </w:r>
      <w:r>
        <w:rPr>
          <w:rFonts w:ascii="Cambria" w:hAnsi="Cambria"/>
          <w:b w:val="0"/>
          <w:i w:val="0"/>
          <w:color w:val="000000"/>
        </w:rPr>
        <w:t>. El antibiótico previo reduce su rendimiento en ~20 % (ESCMID).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Casi la mitad de los pacientes tiene una </w:t>
      </w:r>
      <w:r>
        <w:rPr>
          <w:rFonts w:ascii="Cambria" w:hAnsi="Cambria"/>
          <w:b/>
          <w:i w:val="0"/>
          <w:color w:val="000000"/>
        </w:rPr>
        <w:t>condición predisponente</w:t>
      </w:r>
      <w:r>
        <w:rPr>
          <w:rFonts w:ascii="Cambria" w:hAnsi="Cambria"/>
          <w:b w:val="0"/>
          <w:i w:val="0"/>
          <w:color w:val="000000"/>
        </w:rPr>
        <w:t xml:space="preserve"> que pide otras pruebas (SEN 2025): foco parameníngeo (sinusitis, otomastoiditis, absceso epidural, empiema subdural), traumatismo craneal o neurocirugía recientes, infección a distancia (neumonía, endocarditis), inmunosupresión (alcoholismo, esplenectomía, diabetes, VIH) o neoplasia.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Hemograma</w:t>
      </w:r>
      <w:r>
        <w:rPr>
          <w:rFonts w:ascii="Cambria" w:hAnsi="Cambria"/>
          <w:b w:val="0"/>
          <w:i w:val="0"/>
          <w:color w:val="000000"/>
        </w:rPr>
        <w:t xml:space="preserve">: valorar leucocitosis, desviación izquierda, neutropenia y plaquetas (SEMES 2012). La </w:t>
      </w:r>
      <w:r>
        <w:rPr>
          <w:rFonts w:ascii="Cambria" w:hAnsi="Cambria"/>
          <w:b/>
          <w:i w:val="0"/>
          <w:color w:val="000000"/>
        </w:rPr>
        <w:t>trombopenia es un factor de mal pronóstico</w:t>
      </w:r>
      <w:r>
        <w:rPr>
          <w:rFonts w:ascii="Cambria" w:hAnsi="Cambria"/>
          <w:b w:val="0"/>
          <w:i w:val="0"/>
          <w:color w:val="000000"/>
        </w:rPr>
        <w:t xml:space="preserve"> (SEN 2025).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Coagulación</w:t>
      </w:r>
      <w:r>
        <w:rPr>
          <w:rFonts w:ascii="Cambria" w:hAnsi="Cambria"/>
          <w:b w:val="0"/>
          <w:i w:val="0"/>
          <w:color w:val="000000"/>
        </w:rPr>
        <w:t>: descartar coagulopatía (SEMES 2012).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Bioquímica</w:t>
      </w:r>
      <w:r>
        <w:rPr>
          <w:rFonts w:ascii="Cambria" w:hAnsi="Cambria"/>
          <w:b w:val="0"/>
          <w:i w:val="0"/>
          <w:color w:val="000000"/>
        </w:rPr>
        <w:t xml:space="preserve">: electrolitos (hiponatremia por SIADH), creatinina y </w:t>
      </w:r>
      <w:r>
        <w:rPr>
          <w:rFonts w:ascii="Cambria" w:hAnsi="Cambria"/>
          <w:b/>
          <w:i w:val="0"/>
          <w:color w:val="000000"/>
        </w:rPr>
        <w:t>glucemia inmediatamente antes de la PL</w:t>
      </w:r>
      <w:r>
        <w:rPr>
          <w:rFonts w:ascii="Cambria" w:hAnsi="Cambria"/>
          <w:b w:val="0"/>
          <w:i w:val="0"/>
          <w:color w:val="000000"/>
        </w:rPr>
        <w:t xml:space="preserve"> para calcular el cociente glucosa LCR/sangre (NICE 1.4.13; SEMES 2012).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PCR (proteína C reactiva) o procalcitonina</w:t>
      </w:r>
      <w:r>
        <w:rPr>
          <w:rFonts w:ascii="Cambria" w:hAnsi="Cambria"/>
          <w:b w:val="0"/>
          <w:i w:val="0"/>
          <w:color w:val="000000"/>
        </w:rPr>
        <w:t xml:space="preserve"> (NICE 1.4.4). </w:t>
      </w:r>
      <w:r>
        <w:rPr>
          <w:rFonts w:ascii="Cambria" w:hAnsi="Cambria"/>
          <w:b/>
          <w:i/>
          <w:color w:val="000000"/>
        </w:rPr>
        <w:t>Una PCR, una PCT o una leucocitosis normales NO descartan la MBA</w:t>
      </w:r>
      <w:r>
        <w:rPr>
          <w:rFonts w:ascii="Cambria" w:hAnsi="Cambria"/>
          <w:b w:val="0"/>
          <w:i w:val="0"/>
          <w:color w:val="000000"/>
        </w:rPr>
        <w:t xml:space="preserve"> (NICE 1.4.5). </w:t>
      </w:r>
      <w:r>
        <w:rPr>
          <w:rFonts w:ascii="Cambria" w:hAnsi="Cambria"/>
          <w:b w:val="0"/>
          <w:i w:val="0"/>
          <w:color w:val="000000"/>
        </w:rPr>
        <w:t>La ESCMID añade que se asocian a infección bacteriana pero no permiten hacer el diagnóstico, y que pierden valor si hay otro foco (neumonía, sepsis). La NICE prefiere la PCR (la PCT no fue claramente superior y es más cara). Orientativo según la SEMES 2012: PCR &gt;10 mg/dL o PCT &gt;0,5 ng/mL hacen más probable la MBA, y PCT &gt;2 ng/mL se asocia a MBA con bacteriemia y riesgo de sepsis grave.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PCR (reacción en cadena de la polimerasa) en sangre total para meningococo y neumococo</w:t>
      </w:r>
      <w:r>
        <w:rPr>
          <w:rFonts w:ascii="Cambria" w:hAnsi="Cambria"/>
          <w:b w:val="0"/>
          <w:i w:val="0"/>
          <w:color w:val="000000"/>
        </w:rPr>
        <w:t xml:space="preserve"> (NICE 1.4.4). </w:t>
      </w:r>
      <w:r>
        <w:rPr>
          <w:rFonts w:ascii="Cambria" w:hAnsi="Cambria"/>
          <w:b/>
          <w:i w:val="0"/>
          <w:color w:val="000000"/>
        </w:rPr>
        <w:t>Lactato</w:t>
      </w:r>
      <w:r>
        <w:rPr>
          <w:rFonts w:ascii="Cambria" w:hAnsi="Cambria"/>
          <w:b w:val="0"/>
          <w:i w:val="0"/>
          <w:color w:val="000000"/>
        </w:rPr>
        <w:t xml:space="preserve"> si se sospecha enfermedad meningocócica (NICE 1.5.3).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SEROLOGÍA DE VIH EN TODOS LOS ADULTOS</w:t>
      </w:r>
      <w:r>
        <w:rPr>
          <w:rFonts w:ascii="Cambria" w:hAnsi="Cambria"/>
          <w:b w:val="0"/>
          <w:i w:val="0"/>
          <w:color w:val="000000"/>
        </w:rPr>
        <w:t xml:space="preserve"> con MBA o enfermedad meningocócica (NICE 1.10.1).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Frotis faríngeo para cultivo de meningococo</w:t>
      </w:r>
      <w:r>
        <w:rPr>
          <w:rFonts w:ascii="Cambria" w:hAnsi="Cambria"/>
          <w:b w:val="0"/>
          <w:i w:val="0"/>
          <w:color w:val="000000"/>
        </w:rPr>
        <w:t>, preferiblemente antes del antibiótico (NICE 1.4.3), para tipar la cepa y orientar el manejo de contactos y brotes.</w:t>
      </w:r>
    </w:p>
    <w:p>
      <w:pPr>
        <w:pStyle w:val="ListParagraph"/>
        <w:keepLines/>
        <w:numPr>
          <w:ilvl w:val="0"/>
          <w:numId w:val="1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Radiografía de tórax</w:t>
      </w:r>
      <w:r>
        <w:rPr>
          <w:rFonts w:ascii="Cambria" w:hAnsi="Cambria"/>
          <w:b w:val="0"/>
          <w:i w:val="0"/>
          <w:color w:val="000000"/>
        </w:rPr>
        <w:t xml:space="preserve"> y cultivos de focos sospechosos (SEMES 2012).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5.2. LCR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Medir la presión de apertura</w:t>
      </w:r>
      <w:r>
        <w:rPr>
          <w:rFonts w:ascii="Cambria" w:hAnsi="Cambria"/>
          <w:b w:val="0"/>
          <w:i w:val="0"/>
          <w:color w:val="000000"/>
        </w:rPr>
        <w:t xml:space="preserve"> y pedir </w:t>
      </w:r>
      <w:r>
        <w:rPr>
          <w:rFonts w:ascii="Cambria" w:hAnsi="Cambria"/>
          <w:b/>
          <w:i w:val="0"/>
          <w:color w:val="000000"/>
        </w:rPr>
        <w:t>recuento celular con fórmula, proteínas, glucosa, lactato, Gram, cultivo y PCR múltiple</w:t>
      </w:r>
      <w:r>
        <w:rPr>
          <w:rFonts w:ascii="Cambria" w:hAnsi="Cambria"/>
          <w:b w:val="0"/>
          <w:i w:val="0"/>
          <w:color w:val="000000"/>
        </w:rPr>
        <w:t xml:space="preserve"> (ESCMID, grado A; NICE 1.4.14). </w:t>
      </w:r>
      <w:r>
        <w:rPr>
          <w:rFonts w:ascii="Cambria" w:hAnsi="Cambria"/>
          <w:b/>
          <w:i w:val="0"/>
          <w:color w:val="000000"/>
        </w:rPr>
        <w:t>Guardar el LCR sobrante</w:t>
      </w:r>
      <w:r>
        <w:rPr>
          <w:rFonts w:ascii="Cambria" w:hAnsi="Cambria"/>
          <w:b w:val="0"/>
          <w:i w:val="0"/>
          <w:color w:val="000000"/>
        </w:rPr>
        <w:t xml:space="preserve"> por si hacen falta más pruebas (NICE 1.4.15). La NICE pide la citobioquímica disponible en </w:t>
      </w:r>
      <w:r>
        <w:rPr>
          <w:rFonts w:ascii="Cambria" w:hAnsi="Cambria"/>
          <w:b/>
          <w:i w:val="0"/>
          <w:color w:val="000000"/>
        </w:rPr>
        <w:t>&lt;4 h</w:t>
      </w:r>
      <w:r>
        <w:rPr>
          <w:rFonts w:ascii="Cambria" w:hAnsi="Cambria"/>
          <w:b w:val="0"/>
          <w:i w:val="0"/>
          <w:color w:val="000000"/>
        </w:rPr>
        <w:t xml:space="preserve"> (1.4.16). Ampliar el estudio etiológico según el contexto clínico (ver capítulo 2).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>LCR normal (SEMES 2012): claro, presión de apertura de 5‑20 cm H₂O, &lt;5 células/mm³ (mononucleares), glucosa al 60‑80 % de la glucemia y proteínas de 15‑45 mg/dL. Con 5‑10 células/mm³ ya hay que considerar que puede ser patológico.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3713"/>
        <w:gridCol w:w="3713"/>
      </w:tblGrid>
      <w:tr>
        <w:trPr>
          <w:cantSplit/>
          <w:tblHeader/>
        </w:trPr>
        <w:tc>
          <w:tcPr>
            <w:tcW w:type="dxa" w:w="1984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Parámetro</w:t>
            </w:r>
          </w:p>
        </w:tc>
        <w:tc>
          <w:tcPr>
            <w:tcW w:type="dxa" w:w="3713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MBA</w:t>
            </w:r>
          </w:p>
        </w:tc>
        <w:tc>
          <w:tcPr>
            <w:tcW w:type="dxa" w:w="3713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Meningoencefalitis vírica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Presión de apertura</w:t>
            </w:r>
          </w:p>
        </w:tc>
        <w:tc>
          <w:tcPr>
            <w:tcW w:type="dxa" w:w="3713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&gt;20 cm H₂O</w:t>
            </w:r>
          </w:p>
        </w:tc>
        <w:tc>
          <w:tcPr>
            <w:tcW w:type="dxa" w:w="3713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Normal o elevada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Leucocitos en el LCR</w:t>
            </w:r>
          </w:p>
        </w:tc>
        <w:tc>
          <w:tcPr>
            <w:tcW w:type="dxa" w:w="3713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Habitualmente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100‑1.000/µL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, de predominio polinuclear</w:t>
            </w:r>
          </w:p>
        </w:tc>
        <w:tc>
          <w:tcPr>
            <w:tcW w:type="dxa" w:w="3713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Habitualmente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10‑500/µL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, de predominio linfocitario*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Glucosa</w:t>
            </w:r>
          </w:p>
        </w:tc>
        <w:tc>
          <w:tcPr>
            <w:tcW w:type="dxa" w:w="3713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&lt;45 mg/dL o &lt;40 % de la glucemia simultánea</w:t>
            </w:r>
          </w:p>
        </w:tc>
        <w:tc>
          <w:tcPr>
            <w:tcW w:type="dxa" w:w="3713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Normal o ligeramente disminuida</w:t>
            </w:r>
          </w:p>
        </w:tc>
      </w:tr>
      <w:tr>
        <w:trPr>
          <w:cantSplit/>
        </w:trPr>
        <w:tc>
          <w:tcPr>
            <w:tcW w:type="dxa" w:w="198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Proteínas</w:t>
            </w:r>
          </w:p>
        </w:tc>
        <w:tc>
          <w:tcPr>
            <w:tcW w:type="dxa" w:w="3713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&gt;50 mg/dL</w:t>
            </w:r>
          </w:p>
        </w:tc>
        <w:tc>
          <w:tcPr>
            <w:tcW w:type="dxa" w:w="3713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40‑120 mg/dL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Fuente: SEN 2025, cap. 40, §1.5, p. 622, y cap. 42, §5.1, pp. 651‑652. Son perfiles orientativos, con solapamiento. </w:t>
      </w:r>
      <w:r>
        <w:rPr>
          <w:rFonts w:ascii="Cambria" w:hAnsi="Cambria"/>
          <w:b w:val="0"/>
          <w:i w:val="0"/>
          <w:color w:val="000000"/>
        </w:rPr>
        <w:t>*</w:t>
      </w:r>
      <w:r>
        <w:rPr>
          <w:rFonts w:ascii="Cambria" w:hAnsi="Cambria"/>
          <w:b w:val="0"/>
          <w:i w:val="0"/>
          <w:color w:val="000000"/>
        </w:rPr>
        <w:t>En fases precoces de infección vírica puede haber LCR normal o predominio neutrofílico; con Listeria el LCR puede ser linfocitario. Ver capítulo 2.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Perfil de la MBA según la SEN 2025</w:t>
      </w:r>
      <w:r>
        <w:rPr>
          <w:rFonts w:ascii="Cambria" w:hAnsi="Cambria"/>
          <w:b w:val="0"/>
          <w:i w:val="0"/>
          <w:color w:val="000000"/>
        </w:rPr>
        <w:t xml:space="preserve">: presión de apertura </w:t>
      </w:r>
      <w:r>
        <w:rPr>
          <w:rFonts w:ascii="Cambria" w:hAnsi="Cambria"/>
          <w:b/>
          <w:i w:val="0"/>
          <w:color w:val="000000"/>
        </w:rPr>
        <w:t>&gt;20 cm H₂O</w:t>
      </w:r>
      <w:r>
        <w:rPr>
          <w:rFonts w:ascii="Cambria" w:hAnsi="Cambria"/>
          <w:b w:val="0"/>
          <w:i w:val="0"/>
          <w:color w:val="000000"/>
        </w:rPr>
        <w:t xml:space="preserve">, </w:t>
      </w:r>
      <w:r>
        <w:rPr>
          <w:rFonts w:ascii="Cambria" w:hAnsi="Cambria"/>
          <w:b/>
          <w:i w:val="0"/>
          <w:color w:val="000000"/>
        </w:rPr>
        <w:t>100‑1.000 células/µL</w:t>
      </w:r>
      <w:r>
        <w:rPr>
          <w:rFonts w:ascii="Cambria" w:hAnsi="Cambria"/>
          <w:b w:val="0"/>
          <w:i w:val="0"/>
          <w:color w:val="000000"/>
        </w:rPr>
        <w:t xml:space="preserve"> de predominio polinuclear, </w:t>
      </w:r>
      <w:r>
        <w:rPr>
          <w:rFonts w:ascii="Cambria" w:hAnsi="Cambria"/>
          <w:b/>
          <w:i w:val="0"/>
          <w:color w:val="000000"/>
        </w:rPr>
        <w:t>glucosa &lt;45 mg/dL o &lt;40 % de la glucemia y proteínas &gt;50 mg/dL</w:t>
      </w:r>
      <w:r>
        <w:rPr>
          <w:rFonts w:ascii="Cambria" w:hAnsi="Cambria"/>
          <w:b w:val="0"/>
          <w:i w:val="0"/>
          <w:color w:val="000000"/>
        </w:rPr>
        <w:t xml:space="preserve">, presentes en más del 90 % de los pacientes. </w:t>
      </w:r>
      <w:r>
        <w:rPr>
          <w:rFonts w:ascii="Cambria" w:hAnsi="Cambria"/>
          <w:b/>
          <w:i w:val="0"/>
          <w:color w:val="000000"/>
        </w:rPr>
        <w:t>Hacen especialmente probable la MBA</w:t>
      </w:r>
      <w:r>
        <w:rPr>
          <w:rFonts w:ascii="Cambria" w:hAnsi="Cambria"/>
          <w:b w:val="0"/>
          <w:i w:val="0"/>
          <w:color w:val="000000"/>
        </w:rPr>
        <w:t xml:space="preserve">: glucosa &lt;45 mg/dL, </w:t>
      </w:r>
      <w:r>
        <w:rPr>
          <w:rFonts w:ascii="Cambria" w:hAnsi="Cambria"/>
          <w:b/>
          <w:i w:val="0"/>
          <w:color w:val="000000"/>
        </w:rPr>
        <w:t>proteínas &gt;220 mg/dL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/>
          <w:i w:val="0"/>
          <w:color w:val="000000"/>
        </w:rPr>
        <w:t>&gt;2.000 células/µL</w:t>
      </w:r>
      <w:r>
        <w:rPr>
          <w:rFonts w:ascii="Cambria" w:hAnsi="Cambria"/>
          <w:b w:val="0"/>
          <w:i w:val="0"/>
          <w:color w:val="000000"/>
        </w:rPr>
        <w:t xml:space="preserve"> (o &gt;1.180 polinucleares/µL). </w:t>
      </w:r>
      <w:r>
        <w:rPr>
          <w:rFonts w:ascii="Cambria" w:hAnsi="Cambria"/>
          <w:b w:val="0"/>
          <w:i/>
          <w:color w:val="000000"/>
        </w:rPr>
        <w:t>Con Listeria el LCR puede ser linfocitario (SEN 2025).</w:t>
      </w:r>
    </w:p>
    <w:p>
      <w:pPr>
        <w:keepNext/>
        <w:keepLines/>
        <w:jc w:val="both"/>
      </w:pPr>
      <w:r>
        <w:rPr>
          <w:rFonts w:ascii="Cambria" w:hAnsi="Cambria"/>
          <w:b/>
          <w:i w:val="0"/>
          <w:color w:val="000000"/>
        </w:rPr>
        <w:t>Rendimiento de las pruebas del LCR</w:t>
      </w:r>
      <w:r>
        <w:rPr>
          <w:rFonts w:ascii="Cambria" w:hAnsi="Cambria"/>
          <w:b w:val="0"/>
          <w:i w:val="0"/>
          <w:color w:val="000000"/>
        </w:rPr>
        <w:t xml:space="preserve"> (ESCMID 2016, salvo donde se indica):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44"/>
        <w:gridCol w:w="3572"/>
        <w:gridCol w:w="4195"/>
      </w:tblGrid>
      <w:tr>
        <w:trPr>
          <w:cantSplit/>
          <w:tblHeader/>
        </w:trPr>
        <w:tc>
          <w:tcPr>
            <w:tcW w:type="dxa" w:w="1644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Prueba</w:t>
            </w:r>
          </w:p>
        </w:tc>
        <w:tc>
          <w:tcPr>
            <w:tcW w:type="dxa" w:w="3572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Rendimiento</w:t>
            </w:r>
          </w:p>
        </w:tc>
        <w:tc>
          <w:tcPr>
            <w:tcW w:type="dxa" w:w="4195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Comentario</w:t>
            </w:r>
          </w:p>
        </w:tc>
      </w:tr>
      <w:tr>
        <w:trPr>
          <w:cantSplit/>
        </w:trPr>
        <w:tc>
          <w:tcPr>
            <w:tcW w:type="dxa" w:w="164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Cultivo</w:t>
            </w:r>
          </w:p>
        </w:tc>
        <w:tc>
          <w:tcPr>
            <w:tcW w:type="dxa" w:w="357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Positivo en el 60‑90 %</w:t>
            </w:r>
          </w:p>
        </w:tc>
        <w:tc>
          <w:tcPr>
            <w:tcW w:type="dxa" w:w="4195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El antibiótico previo lo reduce un 10‑20 %</w:t>
            </w:r>
          </w:p>
        </w:tc>
      </w:tr>
      <w:tr>
        <w:trPr>
          <w:cantSplit/>
        </w:trPr>
        <w:tc>
          <w:tcPr>
            <w:tcW w:type="dxa" w:w="164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Gram</w:t>
            </w:r>
          </w:p>
        </w:tc>
        <w:tc>
          <w:tcPr>
            <w:tcW w:type="dxa" w:w="357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Especificidad ~100 %. Sensibilidad: neumococo 90 %, meningococo 70‑90 %, 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H. influenzae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50 %, </w:t>
            </w:r>
            <w:r>
              <w:rPr>
                <w:rFonts w:ascii="Calibri" w:hAnsi="Calibri"/>
                <w:b/>
                <w:i/>
                <w:color w:val="000000"/>
                <w:sz w:val="21"/>
              </w:rPr>
              <w:t>Listeria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 xml:space="preserve"> 25‑35 %</w:t>
            </w:r>
          </w:p>
        </w:tc>
        <w:tc>
          <w:tcPr>
            <w:tcW w:type="dxa" w:w="4195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Apenas pierde rendimiento con antibiótico previo</w:t>
            </w:r>
          </w:p>
        </w:tc>
      </w:tr>
      <w:tr>
        <w:trPr>
          <w:cantSplit/>
        </w:trPr>
        <w:tc>
          <w:tcPr>
            <w:tcW w:type="dxa" w:w="164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PCR</w:t>
            </w:r>
          </w:p>
        </w:tc>
        <w:tc>
          <w:tcPr>
            <w:tcW w:type="dxa" w:w="357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Sensibilidad: neumococo 79‑100 %, meningococo 91‑100 %, 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H. influenzae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67‑100 %; especificidad 95‑100 %</w:t>
            </w:r>
          </w:p>
        </w:tc>
        <w:tc>
          <w:tcPr>
            <w:tcW w:type="dxa" w:w="4195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Muy útil si se dio antibiótico antes de la PL (la SEN 2025 dice que este no influye en su rendimiento);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no da antibiograma</w:t>
            </w:r>
          </w:p>
        </w:tc>
      </w:tr>
      <w:tr>
        <w:trPr>
          <w:cantSplit/>
        </w:trPr>
        <w:tc>
          <w:tcPr>
            <w:tcW w:type="dxa" w:w="164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Lactato</w:t>
            </w:r>
          </w:p>
        </w:tc>
        <w:tc>
          <w:tcPr>
            <w:tcW w:type="dxa" w:w="357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Mejor que el recuento celular para separar MBA de meningitis aséptica</w:t>
            </w:r>
          </w:p>
        </w:tc>
        <w:tc>
          <w:tcPr>
            <w:tcW w:type="dxa" w:w="4195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Sensibilidad del 98 % sin antibiótico previo y del 49 % con él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; también sube en la encefalitis herpética y tras crisis. 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Especialmente útil tras neurocirugía, donde la pleocitosis es la norma (SEN 2025; capítulo 6)</w:t>
            </w:r>
          </w:p>
        </w:tc>
      </w:tr>
      <w:tr>
        <w:trPr>
          <w:cantSplit/>
        </w:trPr>
        <w:tc>
          <w:tcPr>
            <w:tcW w:type="dxa" w:w="164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Antígeno neumocócico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2025)</w:t>
            </w:r>
          </w:p>
        </w:tc>
        <w:tc>
          <w:tcPr>
            <w:tcW w:type="dxa" w:w="357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Sensibilidad y especificidad del 95‑99 %, con falsos negativos</w:t>
            </w:r>
          </w:p>
        </w:tc>
        <w:tc>
          <w:tcPr>
            <w:tcW w:type="dxa" w:w="4195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La SEN 2025 no precisa la técnica</w:t>
            </w:r>
          </w:p>
        </w:tc>
      </w:tr>
      <w:tr>
        <w:trPr>
          <w:cantSplit/>
        </w:trPr>
        <w:tc>
          <w:tcPr>
            <w:tcW w:type="dxa" w:w="164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Aglutinación con látex</w:t>
            </w:r>
          </w:p>
        </w:tc>
        <w:tc>
          <w:tcPr>
            <w:tcW w:type="dxa" w:w="357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No recomendada</w:t>
            </w:r>
          </w:p>
        </w:tc>
        <w:tc>
          <w:tcPr>
            <w:tcW w:type="dxa" w:w="4195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No aporta nada si hay Gram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>La SEN 2025 da dos datos sobre el cultivo difíciles de conciliar: que el rendimiento del cultivo y del Gram "se mantiene durante las primeras 24 horas" tras empezar el antibiótico y que, con antibiótico previo, el cultivo desciende "a un 10‑20 %". La ESCMID habla de una reducción del 10‑20 %. La conclusión práctica es la misma: cultivos antes del antibiótico, pero sin retrasarlo por la PL.</w:t>
      </w:r>
    </w:p>
    <w:p>
      <w:pPr>
        <w:pStyle w:val="ListParagraph"/>
        <w:keepLines/>
        <w:numPr>
          <w:ilvl w:val="0"/>
          <w:numId w:val="19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Un LCR completamente normal es muy raro pero existe (ESCMID): el 17 % de las neumocócicas tiene &lt;100 células/mm³, el 19 % de las meningocócicas &lt;1.000 (sobre todo si hay shock séptico) y </w:t>
      </w:r>
      <w:r>
        <w:rPr>
          <w:rFonts w:ascii="Cambria" w:hAnsi="Cambria"/>
          <w:b/>
          <w:i w:val="0"/>
          <w:color w:val="000000"/>
        </w:rPr>
        <w:t xml:space="preserve">en la meningitis por </w:t>
      </w:r>
      <w:r>
        <w:rPr>
          <w:rFonts w:ascii="Cambria" w:hAnsi="Cambria"/>
          <w:b/>
          <w:i/>
          <w:color w:val="000000"/>
        </w:rPr>
        <w:t>Listeria</w:t>
      </w:r>
      <w:r>
        <w:rPr>
          <w:rFonts w:ascii="Cambria" w:hAnsi="Cambria"/>
          <w:b/>
          <w:i w:val="0"/>
          <w:color w:val="000000"/>
        </w:rPr>
        <w:t xml:space="preserve"> el LCR no es típico de MBA en el 26 %</w:t>
      </w:r>
      <w:r>
        <w:rPr>
          <w:rFonts w:ascii="Cambria" w:hAnsi="Cambria"/>
          <w:b w:val="0"/>
          <w:i w:val="0"/>
          <w:color w:val="000000"/>
        </w:rPr>
        <w:t>. La SEMES 2012 cifra en hasta un 5 % las MBA con LCR "normal" en fases precoces.</w:t>
      </w:r>
    </w:p>
    <w:p>
      <w:pPr>
        <w:pStyle w:val="ListParagraph"/>
        <w:keepLines/>
        <w:numPr>
          <w:ilvl w:val="0"/>
          <w:numId w:val="19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Ante sospecha clínica con un LCR no concluyente: ingreso en observación y repetir la PL a las 8‑12 h</w:t>
      </w:r>
      <w:r>
        <w:rPr>
          <w:rFonts w:ascii="Cambria" w:hAnsi="Cambria"/>
          <w:b w:val="0"/>
          <w:i w:val="0"/>
          <w:color w:val="000000"/>
        </w:rPr>
        <w:t>, cubriendo empíricamente mientras tanto (SEMES 2012).</w:t>
      </w:r>
    </w:p>
    <w:p>
      <w:pPr>
        <w:pStyle w:val="ListParagraph"/>
        <w:keepLines/>
        <w:numPr>
          <w:ilvl w:val="0"/>
          <w:numId w:val="19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PL traumática</w:t>
      </w:r>
      <w:r>
        <w:rPr>
          <w:rFonts w:ascii="Cambria" w:hAnsi="Cambria"/>
          <w:b w:val="0"/>
          <w:i w:val="0"/>
          <w:color w:val="000000"/>
        </w:rPr>
        <w:t xml:space="preserve"> (SEMES 2012, p. 150): si el hemograma es normal, restar </w:t>
      </w:r>
      <w:r>
        <w:rPr>
          <w:rFonts w:ascii="Cambria" w:hAnsi="Cambria"/>
          <w:b/>
          <w:i w:val="0"/>
          <w:color w:val="000000"/>
        </w:rPr>
        <w:t>1 leucocito por cada 700 hematíes</w:t>
      </w:r>
      <w:r>
        <w:rPr>
          <w:rFonts w:ascii="Cambria" w:hAnsi="Cambria"/>
          <w:b w:val="0"/>
          <w:i w:val="0"/>
          <w:color w:val="000000"/>
        </w:rPr>
        <w:t>; si está alterado, usar la fórmula de corrección con los recuentos de sangre y LCR (capítulo 2).</w:t>
      </w:r>
    </w:p>
    <w:p>
      <w:pPr>
        <w:pStyle w:val="ListParagraph"/>
        <w:keepLines/>
        <w:numPr>
          <w:ilvl w:val="0"/>
          <w:numId w:val="19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Si el LCR es anormal, hay que considerar también causas víricas, micobacterianas, fúngicas o no infecciosas (NICE 1.4.19).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5.3. Neuroimagen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La TC o la RM son </w:t>
      </w:r>
      <w:r>
        <w:rPr>
          <w:rFonts w:ascii="Cambria" w:hAnsi="Cambria"/>
          <w:b/>
          <w:i w:val="0"/>
          <w:color w:val="000000"/>
        </w:rPr>
        <w:t>normales o muestran un realce leptomeníngeo difuso inespecífico</w:t>
      </w:r>
      <w:r>
        <w:rPr>
          <w:rFonts w:ascii="Cambria" w:hAnsi="Cambria"/>
          <w:b w:val="0"/>
          <w:i w:val="0"/>
          <w:color w:val="000000"/>
        </w:rPr>
        <w:t xml:space="preserve">. Sirven para buscar </w:t>
      </w:r>
      <w:r>
        <w:rPr>
          <w:rFonts w:ascii="Cambria" w:hAnsi="Cambria"/>
          <w:b/>
          <w:i w:val="0"/>
          <w:color w:val="000000"/>
        </w:rPr>
        <w:t>complicaciones</w:t>
      </w:r>
      <w:r>
        <w:rPr>
          <w:rFonts w:ascii="Cambria" w:hAnsi="Cambria"/>
          <w:b w:val="0"/>
          <w:i w:val="0"/>
          <w:color w:val="000000"/>
        </w:rPr>
        <w:t xml:space="preserve"> (edema cerebral, hidrocefalia, infartos, trombosis venosa) y </w:t>
      </w:r>
      <w:r>
        <w:rPr>
          <w:rFonts w:ascii="Cambria" w:hAnsi="Cambria"/>
          <w:b/>
          <w:i w:val="0"/>
          <w:color w:val="000000"/>
        </w:rPr>
        <w:t>focos</w:t>
      </w:r>
      <w:r>
        <w:rPr>
          <w:rFonts w:ascii="Cambria" w:hAnsi="Cambria"/>
          <w:b w:val="0"/>
          <w:i w:val="0"/>
          <w:color w:val="000000"/>
        </w:rPr>
        <w:t xml:space="preserve"> (otitis, sinusitis, absceso cerebral, empiema subdural) (SEN 2025). Ante un deterioro durante el ingreso, mejor RM (ESCMID; §8.2).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6. Tratamiento antibiótico empírico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Principios: </w:t>
      </w:r>
      <w:r>
        <w:rPr>
          <w:rFonts w:ascii="Cambria" w:hAnsi="Cambria"/>
          <w:b/>
          <w:i w:val="0"/>
          <w:color w:val="000000"/>
        </w:rPr>
        <w:t>antibiótico IV en &lt;1 h</w:t>
      </w:r>
      <w:r>
        <w:rPr>
          <w:rFonts w:ascii="Cambria" w:hAnsi="Cambria"/>
          <w:b w:val="0"/>
          <w:i w:val="0"/>
          <w:color w:val="000000"/>
        </w:rPr>
        <w:t xml:space="preserve">, a </w:t>
      </w:r>
      <w:r>
        <w:rPr>
          <w:rFonts w:ascii="Cambria" w:hAnsi="Cambria"/>
          <w:b/>
          <w:i w:val="0"/>
          <w:color w:val="000000"/>
        </w:rPr>
        <w:t>dosis meníngeas</w:t>
      </w:r>
      <w:r>
        <w:rPr>
          <w:rFonts w:ascii="Cambria" w:hAnsi="Cambria"/>
          <w:b w:val="0"/>
          <w:i w:val="0"/>
          <w:color w:val="000000"/>
        </w:rPr>
        <w:t xml:space="preserve">, preguntando por </w:t>
      </w:r>
      <w:r>
        <w:rPr>
          <w:rFonts w:ascii="Cambria" w:hAnsi="Cambria"/>
          <w:b/>
          <w:i w:val="0"/>
          <w:color w:val="000000"/>
        </w:rPr>
        <w:t>alergias</w:t>
      </w:r>
      <w:r>
        <w:rPr>
          <w:rFonts w:ascii="Cambria" w:hAnsi="Cambria"/>
          <w:b w:val="0"/>
          <w:i w:val="0"/>
          <w:color w:val="000000"/>
        </w:rPr>
        <w:t xml:space="preserve"> y </w:t>
      </w:r>
      <w:r>
        <w:rPr>
          <w:rFonts w:ascii="Cambria" w:hAnsi="Cambria"/>
          <w:b/>
          <w:i w:val="0"/>
          <w:color w:val="000000"/>
        </w:rPr>
        <w:t>eligiendo la pauta según la edad, los factores de riesgo y la resistencia local</w:t>
      </w:r>
      <w:r>
        <w:rPr>
          <w:rFonts w:ascii="Cambria" w:hAnsi="Cambria"/>
          <w:b w:val="0"/>
          <w:i w:val="0"/>
          <w:color w:val="000000"/>
        </w:rPr>
        <w:t xml:space="preserve"> (ESCMID, grado A). </w:t>
      </w:r>
      <w:r>
        <w:rPr>
          <w:rFonts w:ascii="Cambria" w:hAnsi="Cambria"/>
          <w:b/>
          <w:i w:val="0"/>
          <w:color w:val="000000"/>
        </w:rPr>
        <w:t>Consultar con Infecciosas o Microbiología</w:t>
      </w:r>
      <w:r>
        <w:rPr>
          <w:rFonts w:ascii="Cambria" w:hAnsi="Cambria"/>
          <w:b w:val="0"/>
          <w:i w:val="0"/>
          <w:color w:val="000000"/>
        </w:rPr>
        <w:t xml:space="preserve"> (NICE 1.6.4), sobre todo si hay viaje reciente al extranjero (riesgo de resistencias) o colonización por enterobacterias resistentes a cefalosporinas. </w:t>
      </w:r>
      <w:r>
        <w:rPr>
          <w:rFonts w:ascii="Cambria" w:hAnsi="Cambria"/>
          <w:b w:val="0"/>
          <w:i/>
          <w:color w:val="000000"/>
        </w:rPr>
        <w:t>Una MBA "decapitada" (antibiótico previo) se trata igual que una MBA (SEMES 2012).</w:t>
      </w:r>
    </w:p>
    <w:p>
      <w:pPr>
        <w:keepLines w:val="0"/>
        <w:jc w:val="both"/>
      </w:pPr>
      <w:r>
        <w:rPr>
          <w:b w:val="0"/>
          <w:i/>
        </w:rPr>
        <w:t>Nota previa pendiente de contraste: «Según Mensa se debe administrar el ATB en los primeros 30 min tras el diagnóstico». Esa afirmación no figura en los extractos aportados para esta revisión; se conserva identificada como no verificada.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6.1. Adulto ≤50 años SIN factores de riesgo (o fractura de base de cráneo)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Cubrir neumococo y meningococo (+ </w:t>
      </w:r>
      <w:r>
        <w:rPr>
          <w:rFonts w:ascii="Cambria" w:hAnsi="Cambria"/>
          <w:b w:val="0"/>
          <w:i/>
          <w:color w:val="000000"/>
        </w:rPr>
        <w:t>H. influenzae</w:t>
      </w:r>
      <w:r>
        <w:rPr>
          <w:rFonts w:ascii="Cambria" w:hAnsi="Cambria"/>
          <w:b w:val="0"/>
          <w:i w:val="0"/>
          <w:color w:val="000000"/>
        </w:rPr>
        <w:t xml:space="preserve"> en la fractura de base de cráneo).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PRIMERA ELECCIÓN</w:t>
      </w:r>
      <w:r>
        <w:rPr>
          <w:rFonts w:ascii="Cambria" w:hAnsi="Cambria"/>
          <w:b w:val="0"/>
          <w:i w:val="0"/>
          <w:color w:val="000000"/>
        </w:rPr>
        <w:t xml:space="preserve"> (SEN 2025): </w:t>
      </w:r>
      <w:r>
        <w:rPr>
          <w:rFonts w:ascii="Cambria" w:hAnsi="Cambria"/>
          <w:b/>
          <w:i w:val="0"/>
          <w:color w:val="000000"/>
        </w:rPr>
        <w:t>VANCOMICINA + CEFALOSPORINA DE 3.ª GENERACIÓN (C3G)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2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CEFTRIAXONA 2 g IV cada 12 h</w:t>
      </w:r>
      <w:r>
        <w:rPr>
          <w:rFonts w:ascii="Cambria" w:hAnsi="Cambria"/>
          <w:b w:val="0"/>
          <w:i w:val="0"/>
          <w:color w:val="000000"/>
        </w:rPr>
        <w:t xml:space="preserve"> o </w:t>
      </w:r>
      <w:r>
        <w:rPr>
          <w:rFonts w:ascii="Cambria" w:hAnsi="Cambria"/>
          <w:b/>
          <w:i w:val="0"/>
          <w:color w:val="000000"/>
        </w:rPr>
        <w:t>CEFOTAXIMA 2 g IV cada 4 h</w:t>
      </w:r>
      <w:r>
        <w:rPr>
          <w:rFonts w:ascii="Cambria" w:hAnsi="Cambria"/>
          <w:b w:val="0"/>
          <w:i w:val="0"/>
          <w:color w:val="000000"/>
        </w:rPr>
        <w:t xml:space="preserve"> (SEN 2025, tabla 4; la ESCMID admite cefotaxima cada 4‑6 h),</w:t>
      </w:r>
    </w:p>
    <w:p>
      <w:pPr>
        <w:pStyle w:val="ListParagraph"/>
        <w:keepLines/>
        <w:numPr>
          <w:ilvl w:val="0"/>
          <w:numId w:val="2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+ VANCOMICINA IV</w:t>
      </w:r>
      <w:r>
        <w:rPr>
          <w:rFonts w:ascii="Cambria" w:hAnsi="Cambria"/>
          <w:b w:val="0"/>
          <w:i w:val="0"/>
          <w:color w:val="000000"/>
        </w:rPr>
        <w:t xml:space="preserve">, con la referencia de </w:t>
      </w:r>
      <w:r>
        <w:rPr>
          <w:rFonts w:ascii="Cambria" w:hAnsi="Cambria"/>
          <w:b/>
          <w:i w:val="0"/>
          <w:color w:val="000000"/>
        </w:rPr>
        <w:t>2‑3 g/día repartidos cada 6‑12 h</w:t>
      </w:r>
      <w:r>
        <w:rPr>
          <w:rFonts w:ascii="Cambria" w:hAnsi="Cambria"/>
          <w:b w:val="0"/>
          <w:i w:val="0"/>
          <w:color w:val="000000"/>
        </w:rPr>
        <w:t xml:space="preserve"> de la tabla general de dosis (SEN 2025, tabla 4, p. 624). Ajustar la pauta al paciente y a las concentraciones séricas; la ESCMID fija un </w:t>
      </w:r>
      <w:r>
        <w:rPr>
          <w:rFonts w:ascii="Cambria" w:hAnsi="Cambria"/>
          <w:b/>
          <w:i w:val="0"/>
          <w:color w:val="000000"/>
        </w:rPr>
        <w:t>valle de 15‑20 µg/mL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 w:val="0"/>
          <w:i w:val="0"/>
          <w:color w:val="000000"/>
        </w:rPr>
        <w:t>La ESCMID 2016, tabla 4.1, ofrece una pauta por peso para la MBA comunitaria: 10‑20 mg/kg IV cada 8‑12 h. La SEN 2025 especifica 15 mg/kg cada 8‑12 h en su tabla de meningitis nosocomial y de situaciones como fractura de base de cráneo (tabla 5); son tablas con ámbitos distintos.</w:t>
      </w:r>
    </w:p>
    <w:p>
      <w:pPr>
        <w:keepLines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La vancomicina cubre el neumococo con sensibilidad disminuida a la C3G (resistencia local a ampicilina en neumococo: ≈29 %; a cefotaxima: ≈12 %, ambos con puntos de corte meníngeos; datos hospitalarios de 2024, no exclusivos de infecciones del SNC). La SEN 2025 la justifica por la frecuencia creciente del neumococo resistente a penicilina (aunque en su tabla por edades, entre los 16 y los 50 años, la condiciona a que sea "zona de resistencias"). La ESCMID la indica (o la rifampicina) </w:t>
      </w:r>
      <w:r>
        <w:rPr>
          <w:rFonts w:ascii="Cambria" w:hAnsi="Cambria"/>
          <w:b/>
          <w:i w:val="0"/>
          <w:color w:val="000000"/>
        </w:rPr>
        <w:t>cuando hay riesgo de sensibilidad disminuida del neumococo</w:t>
      </w:r>
      <w:r>
        <w:rPr>
          <w:rFonts w:ascii="Cambria" w:hAnsi="Cambria"/>
          <w:b w:val="0"/>
          <w:i w:val="0"/>
          <w:color w:val="000000"/>
        </w:rPr>
        <w:t xml:space="preserve">, y cita a </w:t>
      </w:r>
      <w:r>
        <w:rPr>
          <w:rFonts w:ascii="Cambria" w:hAnsi="Cambria"/>
          <w:b/>
          <w:i w:val="0"/>
          <w:color w:val="000000"/>
        </w:rPr>
        <w:t>España entre los países con un 20‑50 % de sensibilidad disminuida a penicilina</w:t>
      </w:r>
      <w:r>
        <w:rPr>
          <w:rFonts w:ascii="Cambria" w:hAnsi="Cambria"/>
          <w:b w:val="0"/>
          <w:i w:val="0"/>
          <w:color w:val="000000"/>
        </w:rPr>
        <w:t xml:space="preserve"> (datos del ECDC de 2011). </w:t>
      </w:r>
      <w:r>
        <w:rPr>
          <w:rFonts w:ascii="Cambria" w:hAnsi="Cambria"/>
          <w:b/>
          <w:i w:val="0"/>
          <w:color w:val="000000"/>
        </w:rPr>
        <w:t>Se retira cuando el antibiograma confirma sensibilidad a la C3G</w:t>
      </w:r>
      <w:r>
        <w:rPr>
          <w:rFonts w:ascii="Cambria" w:hAnsi="Cambria"/>
          <w:b w:val="0"/>
          <w:i w:val="0"/>
          <w:color w:val="000000"/>
        </w:rPr>
        <w:t xml:space="preserve"> (SEN 2025). La NICE no incluye vancomicina empírica porque en Reino Unido la resistencia es baja.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Alternativas de la ESCMID (tabla 4.1): ceftriaxona </w:t>
      </w:r>
      <w:r>
        <w:rPr>
          <w:rFonts w:ascii="Cambria" w:hAnsi="Cambria"/>
          <w:b/>
          <w:i w:val="0"/>
          <w:color w:val="000000"/>
        </w:rPr>
        <w:t>4 g cada 24 h</w:t>
      </w:r>
      <w:r>
        <w:rPr>
          <w:rFonts w:ascii="Cambria" w:hAnsi="Cambria"/>
          <w:b w:val="0"/>
          <w:i w:val="0"/>
          <w:color w:val="000000"/>
        </w:rPr>
        <w:t xml:space="preserve"> en lugar de 2 g cada 12 h, y </w:t>
      </w:r>
      <w:r>
        <w:rPr>
          <w:rFonts w:ascii="Cambria" w:hAnsi="Cambria"/>
          <w:b/>
          <w:i w:val="0"/>
          <w:color w:val="000000"/>
        </w:rPr>
        <w:t>rifampicina 300 mg cada 12 h en lugar de la vancomicina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ALERGIA A BETALACTÁMICOS</w:t>
      </w:r>
      <w:r>
        <w:rPr>
          <w:rFonts w:ascii="Cambria" w:hAnsi="Cambria"/>
          <w:b w:val="0"/>
          <w:i w:val="0"/>
          <w:color w:val="000000"/>
        </w:rPr>
        <w:t xml:space="preserve"> (NICE 1.6.16): preguntar por la reacción y </w:t>
      </w:r>
      <w:r>
        <w:rPr>
          <w:rFonts w:ascii="Cambria" w:hAnsi="Cambria"/>
          <w:b/>
          <w:i w:val="0"/>
          <w:color w:val="000000"/>
        </w:rPr>
        <w:t>consultar con Infecciosas</w:t>
      </w:r>
      <w:r>
        <w:rPr>
          <w:rFonts w:ascii="Cambria" w:hAnsi="Cambria"/>
          <w:b w:val="0"/>
          <w:i w:val="0"/>
          <w:color w:val="000000"/>
        </w:rPr>
        <w:t xml:space="preserve">. Si no fue grave, considerar </w:t>
      </w:r>
      <w:r>
        <w:rPr>
          <w:rFonts w:ascii="Cambria" w:hAnsi="Cambria"/>
          <w:b/>
          <w:i w:val="0"/>
          <w:color w:val="000000"/>
        </w:rPr>
        <w:t>ceftriaxona o cefotaxima</w:t>
      </w:r>
      <w:r>
        <w:rPr>
          <w:rFonts w:ascii="Cambria" w:hAnsi="Cambria"/>
          <w:b w:val="0"/>
          <w:i w:val="0"/>
          <w:color w:val="000000"/>
        </w:rPr>
        <w:t xml:space="preserve">; si fue grave, considerar </w:t>
      </w:r>
      <w:r>
        <w:rPr>
          <w:rFonts w:ascii="Cambria" w:hAnsi="Cambria"/>
          <w:b/>
          <w:i w:val="0"/>
          <w:color w:val="000000"/>
        </w:rPr>
        <w:t>cloranfenicol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 w:val="0"/>
          <w:i w:val="0"/>
          <w:color w:val="000000"/>
        </w:rPr>
        <w:t>La NICE considera graves la anafilaxia, la dificultad respiratoria y el angioedema. Esta recomendación no fija una dosis de cloranfenicol; la pauta debe concretarse con el especialista.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 xml:space="preserve">6.2. Adulto &gt;50 años o con factores de riesgo de </w:t>
      </w:r>
      <w:r>
        <w:rPr>
          <w:rFonts w:ascii="Calibri" w:hAnsi="Calibri"/>
          <w:b/>
          <w:i/>
          <w:color w:val="000000"/>
        </w:rPr>
        <w:t>Listeria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PRIMERA ELECCIÓN</w:t>
      </w:r>
      <w:r>
        <w:rPr>
          <w:rFonts w:ascii="Cambria" w:hAnsi="Cambria"/>
          <w:b w:val="0"/>
          <w:i w:val="0"/>
          <w:color w:val="000000"/>
        </w:rPr>
        <w:t xml:space="preserve"> (SEN 2025; ESCMID, tabla 4.1): </w:t>
      </w:r>
      <w:r>
        <w:rPr>
          <w:rFonts w:ascii="Cambria" w:hAnsi="Cambria"/>
          <w:b/>
          <w:i w:val="0"/>
          <w:color w:val="000000"/>
        </w:rPr>
        <w:t>VANCOMICINA + C3G + AMPICILINA 2 g IV cada 4 h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 w:val="0"/>
          <w:i/>
          <w:color w:val="000000"/>
        </w:rPr>
        <w:t>La SEN 2025 la indica en los &gt;50 años, la inmunodepresión y el etilismo.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Factores de riesgo de Listeria: </w:t>
      </w:r>
      <w:r>
        <w:rPr>
          <w:rFonts w:ascii="Cambria" w:hAnsi="Cambria"/>
          <w:b/>
          <w:i w:val="0"/>
          <w:color w:val="000000"/>
        </w:rPr>
        <w:t>&gt;50 años</w:t>
      </w:r>
      <w:r>
        <w:rPr>
          <w:rFonts w:ascii="Cambria" w:hAnsi="Cambria"/>
          <w:b w:val="0"/>
          <w:i w:val="0"/>
          <w:color w:val="000000"/>
        </w:rPr>
        <w:t xml:space="preserve">, embarazo, inmunosupresión (corticoides, trasplante, cáncer, VIH), diabetes, alcoholismo, nefropatía o hepatopatía (NICE; SEMES). </w:t>
      </w:r>
      <w:r>
        <w:rPr>
          <w:rFonts w:ascii="Cambria" w:hAnsi="Cambria"/>
          <w:b/>
          <w:i w:val="0"/>
          <w:color w:val="000000"/>
        </w:rPr>
        <w:t>Listeria es intrínsecamente resistente a las cefalosporinas.</w:t>
      </w:r>
      <w:r>
        <w:rPr>
          <w:rFonts w:ascii="Cambria" w:hAnsi="Cambria"/>
          <w:b w:val="0"/>
          <w:i w:val="0"/>
          <w:color w:val="000000"/>
        </w:rPr>
        <w:t xml:space="preserve"> La ESCMID advierte de que en una serie holandesa el 1,5 % de los &lt;50 años sin factores de riesgo tuvo Listeria: quien quiera cubrir esa posibilidad puede añadir ampicilina a todos los adultos. La NICE no fija un corte de edad (añade amoxicilina IV si hay factores de riesgo, entre ellos la edad muy avanzada).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ALERGIA A BETALACTÁMICOS CON RIESGO DE LISTERIA</w:t>
      </w:r>
      <w:r>
        <w:rPr>
          <w:rFonts w:ascii="Cambria" w:hAnsi="Cambria"/>
          <w:b w:val="0"/>
          <w:i w:val="0"/>
          <w:color w:val="000000"/>
        </w:rPr>
        <w:t xml:space="preserve"> (NICE 1.6.16): considerar </w:t>
      </w:r>
      <w:r>
        <w:rPr>
          <w:rFonts w:ascii="Cambria" w:hAnsi="Cambria"/>
          <w:b/>
          <w:i w:val="0"/>
          <w:color w:val="000000"/>
        </w:rPr>
        <w:t>COTRIMOXAZOL + C3G</w:t>
      </w:r>
      <w:r>
        <w:rPr>
          <w:rFonts w:ascii="Cambria" w:hAnsi="Cambria"/>
          <w:b w:val="0"/>
          <w:i w:val="0"/>
          <w:color w:val="000000"/>
        </w:rPr>
        <w:t xml:space="preserve"> si la reacción no fue grave, o </w:t>
      </w:r>
      <w:r>
        <w:rPr>
          <w:rFonts w:ascii="Cambria" w:hAnsi="Cambria"/>
          <w:b/>
          <w:i w:val="0"/>
          <w:color w:val="000000"/>
        </w:rPr>
        <w:t>COTRIMOXAZOL + CLORANFENICOL</w:t>
      </w:r>
      <w:r>
        <w:rPr>
          <w:rFonts w:ascii="Cambria" w:hAnsi="Cambria"/>
          <w:b w:val="0"/>
          <w:i w:val="0"/>
          <w:color w:val="000000"/>
        </w:rPr>
        <w:t xml:space="preserve"> si fue grave, con Infecciosas. </w:t>
      </w:r>
      <w:r>
        <w:rPr>
          <w:rFonts w:ascii="Cambria" w:hAnsi="Cambria"/>
          <w:b w:val="0"/>
          <w:i w:val="0"/>
          <w:color w:val="000000"/>
        </w:rPr>
        <w:t>Dosis meníngea de cotrimoxazol en SEN 2025, tabla 4: 15‑20 mg/kg/día de trimetoprim, repartidos cada 8 h; para el tratamiento inicial, vía IV.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6.3. Inmunodeprimido (neutropenia, trasplante, quimioterapia, inmunosupresión intensa)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PAUTA DE REFERENCIA</w:t>
      </w:r>
      <w:r>
        <w:rPr>
          <w:rFonts w:ascii="Cambria" w:hAnsi="Cambria"/>
          <w:b w:val="0"/>
          <w:i w:val="0"/>
          <w:color w:val="000000"/>
        </w:rPr>
        <w:t xml:space="preserve"> (SEN 2025, tabla 1, p. 620): </w:t>
      </w:r>
      <w:r>
        <w:rPr>
          <w:rFonts w:ascii="Cambria" w:hAnsi="Cambria"/>
          <w:b/>
          <w:i w:val="0"/>
          <w:color w:val="000000"/>
        </w:rPr>
        <w:t>VANCOMICINA + C3G + AMPICILINA</w:t>
      </w:r>
      <w:r>
        <w:rPr>
          <w:rFonts w:ascii="Cambria" w:hAnsi="Cambria"/>
          <w:b w:val="0"/>
          <w:i w:val="0"/>
          <w:color w:val="000000"/>
        </w:rPr>
        <w:t>, como en el apartado 6.2.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>La SEN 2025 agrupa la inmunodepresión con los mayores de 50 años y el etilismo; no define una pauta independiente para cada grado de inmunosupresión. Reconoce bacilos gramnegativos, incluidos Pseudomonas y Klebsiella, en enfermedades avanzadas (tabla 2). En estos pacientes, individualizar la cobertura con Infecciosas según los factores de riesgo y la resistencia local (ESCMID 2016; SEMES 2012), sin extrapolar automáticamente la pauta nosocomial a la comunitaria. La NICE NG240 excluye de su alcance a las personas con inmunodeficiencia.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6.4. Neurocirugía previa o traumatismo craneal penetrante</w:t>
      </w:r>
    </w:p>
    <w:p>
      <w:pPr>
        <w:keepLines/>
        <w:jc w:val="both"/>
      </w:pPr>
      <w:r>
        <w:rPr>
          <w:rFonts w:ascii="Cambria" w:hAnsi="Cambria"/>
          <w:b w:val="0"/>
          <w:i/>
          <w:color w:val="000000"/>
        </w:rPr>
        <w:t>Es meningitis asociada a cuidados sanitarios (ver capítulo 6).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PRIMERA ELECCIÓN</w:t>
      </w:r>
      <w:r>
        <w:rPr>
          <w:rFonts w:ascii="Cambria" w:hAnsi="Cambria"/>
          <w:b w:val="0"/>
          <w:i w:val="0"/>
          <w:color w:val="000000"/>
        </w:rPr>
        <w:t xml:space="preserve"> (SEN 2025, tabla 5): </w:t>
      </w:r>
      <w:r>
        <w:rPr>
          <w:rFonts w:ascii="Cambria" w:hAnsi="Cambria"/>
          <w:b/>
          <w:i w:val="0"/>
          <w:color w:val="000000"/>
        </w:rPr>
        <w:t>VANCOMICINA 15 mg/kg IV cada 8‑12 h + CEFTAZIDIMA 2 g IV cada 8 h, CEFEPIMA 2 g IV cada 8 h o MEROPENEM 2 g IV cada 8 h</w:t>
      </w:r>
      <w:r>
        <w:rPr>
          <w:rFonts w:ascii="Cambria" w:hAnsi="Cambria"/>
          <w:b w:val="0"/>
          <w:i w:val="0"/>
          <w:color w:val="000000"/>
        </w:rPr>
        <w:t xml:space="preserve">. Si hay alergia a betalactámicos: </w:t>
      </w:r>
      <w:r>
        <w:rPr>
          <w:rFonts w:ascii="Cambria" w:hAnsi="Cambria"/>
          <w:b/>
          <w:i w:val="0"/>
          <w:color w:val="000000"/>
        </w:rPr>
        <w:t>AZTREONAM 2 g IV cada 6‑8 h</w:t>
      </w:r>
      <w:r>
        <w:rPr>
          <w:rFonts w:ascii="Cambria" w:hAnsi="Cambria"/>
          <w:b w:val="0"/>
          <w:i w:val="0"/>
          <w:color w:val="000000"/>
        </w:rPr>
        <w:t xml:space="preserve"> (SEN 2025) o </w:t>
      </w:r>
      <w:r>
        <w:rPr>
          <w:rFonts w:ascii="Cambria" w:hAnsi="Cambria"/>
          <w:b/>
          <w:i w:val="0"/>
          <w:color w:val="000000"/>
        </w:rPr>
        <w:t>CIPROFLOXACINO 400 mg IV cada 8‑12 h</w:t>
      </w:r>
      <w:r>
        <w:rPr>
          <w:rFonts w:ascii="Cambria" w:hAnsi="Cambria"/>
          <w:b w:val="0"/>
          <w:i w:val="0"/>
          <w:color w:val="000000"/>
        </w:rPr>
        <w:t xml:space="preserve"> (SEN 2025) en lugar del betalactámico. </w:t>
      </w:r>
      <w:r>
        <w:rPr>
          <w:rFonts w:ascii="Cambria" w:hAnsi="Cambria"/>
          <w:b w:val="0"/>
          <w:i w:val="0"/>
          <w:color w:val="000000"/>
        </w:rPr>
        <w:t>La SEMES 2012 coincide (vancomicina + cefepima; alternativa vancomicina + meropenem). Duración, retirada de dispositivos y alternativas a la vancomicina: capítulo 6.</w:t>
      </w:r>
    </w:p>
    <w:p>
      <w:pPr>
        <w:pStyle w:val="Heading2"/>
        <w:keepLines/>
        <w:pageBreakBefore/>
      </w:pPr>
      <w:r>
        <w:rPr>
          <w:rFonts w:ascii="Calibri" w:hAnsi="Calibri"/>
          <w:b/>
          <w:i w:val="0"/>
          <w:color w:val="000000"/>
        </w:rPr>
        <w:t>6.5. ¿Aciclovir empírico?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NO DAR ACICLOVIR DE RUTINA ante toda sospecha de MBA</w:t>
      </w:r>
      <w:r>
        <w:rPr>
          <w:rFonts w:ascii="Cambria" w:hAnsi="Cambria"/>
          <w:b w:val="0"/>
          <w:i w:val="0"/>
          <w:color w:val="000000"/>
        </w:rPr>
        <w:t xml:space="preserve">; la NICE lo reserva para una </w:t>
      </w:r>
      <w:r>
        <w:rPr>
          <w:rFonts w:ascii="Cambria" w:hAnsi="Cambria"/>
          <w:b/>
          <w:i w:val="0"/>
          <w:color w:val="000000"/>
        </w:rPr>
        <w:t>sospecha fuerte de encefalitis por VHS</w:t>
      </w:r>
      <w:r>
        <w:rPr>
          <w:rFonts w:ascii="Cambria" w:hAnsi="Cambria"/>
          <w:b w:val="0"/>
          <w:i w:val="0"/>
          <w:color w:val="000000"/>
        </w:rPr>
        <w:t xml:space="preserve"> (1.6.7).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SI HAY SOSPECHA DE ENCEFALITIS VÍRICA:</w:t>
      </w:r>
      <w:r>
        <w:rPr>
          <w:rFonts w:ascii="Cambria" w:hAnsi="Cambria"/>
          <w:b w:val="0"/>
          <w:i w:val="0"/>
          <w:color w:val="000000"/>
        </w:rPr>
        <w:t xml:space="preserve"> iniciar </w:t>
      </w:r>
      <w:r>
        <w:rPr>
          <w:rFonts w:ascii="Cambria" w:hAnsi="Cambria"/>
          <w:b/>
          <w:i w:val="0"/>
          <w:color w:val="000000"/>
        </w:rPr>
        <w:t>ACICLOVIR 10 mg/kg IV cada 8 h</w:t>
      </w:r>
      <w:r>
        <w:rPr>
          <w:rFonts w:ascii="Cambria" w:hAnsi="Cambria"/>
          <w:b w:val="0"/>
          <w:i w:val="0"/>
          <w:color w:val="000000"/>
        </w:rPr>
        <w:t xml:space="preserve"> mientras se estudia la etiología (SEN 2025, cap. 42, §8; dosis también recogida por SEMES 2012). Valorar alteración del estado mental, crisis, focalidad y los hallazgos de LCR o neuroimagen. </w:t>
      </w:r>
      <w:r>
        <w:rPr>
          <w:rFonts w:ascii="Cambria" w:hAnsi="Cambria"/>
          <w:b/>
          <w:i w:val="0"/>
          <w:color w:val="000000"/>
        </w:rPr>
        <w:t>Una PCR inicial negativa no basta para suspenderlo si persiste una sospecha alta</w:t>
      </w:r>
      <w:r>
        <w:rPr>
          <w:rFonts w:ascii="Cambria" w:hAnsi="Cambria"/>
          <w:b w:val="0"/>
          <w:i w:val="0"/>
          <w:color w:val="000000"/>
        </w:rPr>
        <w:t>: ver los criterios de repetición y retirada en el capítulo 3 (SEN 2025, cap. 42, §5.1).</w:t>
      </w:r>
    </w:p>
    <w:p>
      <w:pPr>
        <w:keepLines/>
        <w:jc w:val="both"/>
      </w:pPr>
      <w:r>
        <w:rPr>
          <w:rFonts w:ascii="Cambria" w:hAnsi="Cambria"/>
          <w:b w:val="0"/>
          <w:i/>
          <w:color w:val="000000"/>
        </w:rPr>
        <w:t>La SEMES 2012 también lo añade si hay duda entre meningitis vírica y meningoencefalitis.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6.6. Dosis y penetración en el LCR (SEN 2025, tabla 4)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28"/>
        <w:gridCol w:w="5159"/>
        <w:gridCol w:w="2324"/>
      </w:tblGrid>
      <w:tr>
        <w:trPr>
          <w:cantSplit/>
          <w:tblHeader/>
        </w:trPr>
        <w:tc>
          <w:tcPr>
            <w:tcW w:type="dxa" w:w="1928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Antibiótico</w:t>
            </w:r>
          </w:p>
        </w:tc>
        <w:tc>
          <w:tcPr>
            <w:tcW w:type="dxa" w:w="5159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Dosis diaria del adulto (intervalo)</w:t>
            </w:r>
          </w:p>
        </w:tc>
        <w:tc>
          <w:tcPr>
            <w:tcW w:type="dxa" w:w="2324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Penetración en el LCR*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Ampicilina</w:t>
            </w:r>
          </w:p>
        </w:tc>
        <w:tc>
          <w:tcPr>
            <w:tcW w:type="dxa" w:w="515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12‑15 g/día (cada 4‑6 h)</w:t>
            </w:r>
          </w:p>
        </w:tc>
        <w:tc>
          <w:tcPr>
            <w:tcW w:type="dxa" w:w="232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Ceftriaxona</w:t>
            </w:r>
          </w:p>
        </w:tc>
        <w:tc>
          <w:tcPr>
            <w:tcW w:type="dxa" w:w="515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4 g/día (cada 12 h)</w:t>
            </w:r>
          </w:p>
        </w:tc>
        <w:tc>
          <w:tcPr>
            <w:tcW w:type="dxa" w:w="232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Cefotaxima</w:t>
            </w:r>
          </w:p>
        </w:tc>
        <w:tc>
          <w:tcPr>
            <w:tcW w:type="dxa" w:w="515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12 g/día (cada 4 h)</w:t>
            </w:r>
          </w:p>
        </w:tc>
        <w:tc>
          <w:tcPr>
            <w:tcW w:type="dxa" w:w="232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Ceftazidima</w:t>
            </w:r>
          </w:p>
        </w:tc>
        <w:tc>
          <w:tcPr>
            <w:tcW w:type="dxa" w:w="515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6 g/día (cada 8 h)</w:t>
            </w:r>
          </w:p>
        </w:tc>
        <w:tc>
          <w:tcPr>
            <w:tcW w:type="dxa" w:w="232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Cefepima</w:t>
            </w:r>
          </w:p>
        </w:tc>
        <w:tc>
          <w:tcPr>
            <w:tcW w:type="dxa" w:w="515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4‑6 g/día (cada 8‑12 h)</w:t>
            </w:r>
          </w:p>
        </w:tc>
        <w:tc>
          <w:tcPr>
            <w:tcW w:type="dxa" w:w="232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Cloxacilina</w:t>
            </w:r>
          </w:p>
        </w:tc>
        <w:tc>
          <w:tcPr>
            <w:tcW w:type="dxa" w:w="515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4‑6 g/día (cada 4‑6 h) </w:t>
            </w:r>
            <w:r>
              <w:rPr>
                <w:rFonts w:ascii="DejaVu Sans" w:hAnsi="DejaVu Sans"/>
                <w:b w:val="0"/>
                <w:i w:val="0"/>
                <w:color w:val="000000"/>
                <w:sz w:val="21"/>
              </w:rPr>
              <w:t>⚠️</w:t>
            </w:r>
          </w:p>
        </w:tc>
        <w:tc>
          <w:tcPr>
            <w:tcW w:type="dxa" w:w="232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Gentamicina</w:t>
            </w:r>
          </w:p>
        </w:tc>
        <w:tc>
          <w:tcPr>
            <w:tcW w:type="dxa" w:w="515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6 mg/kg/día (cada 8 h)</w:t>
            </w:r>
          </w:p>
        </w:tc>
        <w:tc>
          <w:tcPr>
            <w:tcW w:type="dxa" w:w="232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Linezolid</w:t>
            </w:r>
          </w:p>
        </w:tc>
        <w:tc>
          <w:tcPr>
            <w:tcW w:type="dxa" w:w="515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1.200 mg/día (cada 12 h)</w:t>
            </w:r>
          </w:p>
        </w:tc>
        <w:tc>
          <w:tcPr>
            <w:tcW w:type="dxa" w:w="232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Meropenem</w:t>
            </w:r>
          </w:p>
        </w:tc>
        <w:tc>
          <w:tcPr>
            <w:tcW w:type="dxa" w:w="515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6 g/día (cada 8 h)</w:t>
            </w:r>
          </w:p>
        </w:tc>
        <w:tc>
          <w:tcPr>
            <w:tcW w:type="dxa" w:w="232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++/+++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Metronidazol</w:t>
            </w:r>
          </w:p>
        </w:tc>
        <w:tc>
          <w:tcPr>
            <w:tcW w:type="dxa" w:w="515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1.500‑2.000 mg/día (cada 8 h)</w:t>
            </w:r>
          </w:p>
        </w:tc>
        <w:tc>
          <w:tcPr>
            <w:tcW w:type="dxa" w:w="232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Cotrimoxazol</w:t>
            </w:r>
          </w:p>
        </w:tc>
        <w:tc>
          <w:tcPr>
            <w:tcW w:type="dxa" w:w="515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15‑20 mg/kg/día de trimetoprim (cada 8 h)</w:t>
            </w:r>
          </w:p>
        </w:tc>
        <w:tc>
          <w:tcPr>
            <w:tcW w:type="dxa" w:w="232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++++</w:t>
            </w:r>
          </w:p>
        </w:tc>
      </w:tr>
      <w:tr>
        <w:trPr>
          <w:cantSplit/>
        </w:trPr>
        <w:tc>
          <w:tcPr>
            <w:tcW w:type="dxa" w:w="192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Vancomicina</w:t>
            </w:r>
          </w:p>
        </w:tc>
        <w:tc>
          <w:tcPr>
            <w:tcW w:type="dxa" w:w="515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2‑3 g/día (cada 6‑12 h)</w:t>
            </w:r>
          </w:p>
        </w:tc>
        <w:tc>
          <w:tcPr>
            <w:tcW w:type="dxa" w:w="232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+++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>*</w:t>
      </w:r>
      <w:r>
        <w:rPr>
          <w:rFonts w:ascii="Cambria" w:hAnsi="Cambria"/>
          <w:b w:val="0"/>
          <w:i w:val="0"/>
          <w:color w:val="000000"/>
        </w:rPr>
        <w:t>Porcentaje del nivel plasmático que se alcanza en el LCR con las meninges inflamadas: + &lt;5 %; ++ 5‑10 %; +++ 11‑19 %; ++++ ≥20 %. La inflamación meníngea aumenta la permeabilidad de la barrera hematoencefálica y deja pasar fármacos que en condiciones normales apenas penetran, como los betalactámicos (SEN 2025).</w:t>
      </w:r>
    </w:p>
    <w:p>
      <w:pPr>
        <w:pStyle w:val="ListParagraph"/>
        <w:keepLines/>
        <w:numPr>
          <w:ilvl w:val="0"/>
          <w:numId w:val="21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Vancomicina: distinguir la tabla general (2‑3 g/día cada 6‑12 h) de la tabla de meningitis nosocomial (15 mg/kg cada 8‑12 h); ambas son de la SEN 2025. La pauta por peso de la ESCMID para MBA comunitaria y su objetivo de concentraciones se indican en §6.1.</w:t>
      </w:r>
    </w:p>
    <w:p>
      <w:pPr>
        <w:pStyle w:val="ListParagraph"/>
        <w:keepLines/>
        <w:numPr>
          <w:ilvl w:val="0"/>
          <w:numId w:val="21"/>
        </w:numPr>
        <w:spacing w:after="80"/>
        <w:contextualSpacing w:val="0"/>
        <w:jc w:val="both"/>
      </w:pPr>
      <w:r>
        <w:rPr>
          <w:rFonts w:ascii="DejaVu Sans" w:hAnsi="DejaVu Sans"/>
          <w:b w:val="0"/>
          <w:i w:val="0"/>
          <w:color w:val="000000"/>
        </w:rPr>
        <w:t>⚠️</w:t>
      </w:r>
      <w:r>
        <w:rPr>
          <w:rFonts w:ascii="Cambria" w:hAnsi="Cambria"/>
          <w:b w:val="0"/>
          <w:i w:val="0"/>
          <w:color w:val="000000"/>
        </w:rPr>
        <w:t xml:space="preserve"> </w:t>
      </w:r>
      <w:r>
        <w:rPr>
          <w:rFonts w:ascii="Cambria" w:hAnsi="Cambria"/>
          <w:b/>
          <w:i w:val="0"/>
          <w:color w:val="000000"/>
        </w:rPr>
        <w:t>Cloxacilina</w:t>
      </w:r>
      <w:r>
        <w:rPr>
          <w:rFonts w:ascii="Cambria" w:hAnsi="Cambria"/>
          <w:b w:val="0"/>
          <w:i w:val="0"/>
          <w:color w:val="000000"/>
        </w:rPr>
        <w:t>: la dosis de la tabla (4‑6 g/día) es la mitad o un tercio de la que usa la SEMES 2012 en las infecciones estafilocócicas del SNC (2 g IV cada 4 h, 12 g/día). Dato dudoso: confirmar con Farmacia o Infecciosas.</w:t>
      </w:r>
    </w:p>
    <w:p>
      <w:pPr>
        <w:pStyle w:val="Heading1"/>
        <w:keepLines/>
        <w:pageBreakBefore/>
      </w:pPr>
      <w:r>
        <w:rPr>
          <w:rFonts w:ascii="Calibri" w:hAnsi="Calibri"/>
          <w:b/>
          <w:i w:val="0"/>
          <w:color w:val="000000"/>
        </w:rPr>
        <w:t>7. Tratamiento dirigido y duración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Ajustar según el </w:t>
      </w:r>
      <w:r>
        <w:rPr>
          <w:rFonts w:ascii="Cambria" w:hAnsi="Cambria"/>
          <w:b/>
          <w:i w:val="0"/>
          <w:color w:val="000000"/>
        </w:rPr>
        <w:t>Gram, la PCR múltiple, el cultivo y el antibiograma</w:t>
      </w:r>
      <w:r>
        <w:rPr>
          <w:rFonts w:ascii="Cambria" w:hAnsi="Cambria"/>
          <w:b w:val="0"/>
          <w:i w:val="0"/>
          <w:color w:val="000000"/>
        </w:rPr>
        <w:t xml:space="preserve"> (ESCMID, grado A). Si el germen es sensible, </w:t>
      </w:r>
      <w:r>
        <w:rPr>
          <w:rFonts w:ascii="Cambria" w:hAnsi="Cambria"/>
          <w:b/>
          <w:i w:val="0"/>
          <w:color w:val="000000"/>
        </w:rPr>
        <w:t>retirar la vancomicina</w:t>
      </w:r>
      <w:r>
        <w:rPr>
          <w:rFonts w:ascii="Cambria" w:hAnsi="Cambria"/>
          <w:b w:val="0"/>
          <w:i w:val="0"/>
          <w:color w:val="000000"/>
        </w:rPr>
        <w:t xml:space="preserve"> (y la ampicilina si no es </w:t>
      </w:r>
      <w:r>
        <w:rPr>
          <w:rFonts w:ascii="Cambria" w:hAnsi="Cambria"/>
          <w:b w:val="0"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>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5102"/>
        <w:gridCol w:w="2551"/>
      </w:tblGrid>
      <w:tr>
        <w:trPr>
          <w:cantSplit/>
          <w:tblHeader/>
        </w:trPr>
        <w:tc>
          <w:tcPr>
            <w:tcW w:type="dxa" w:w="1757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Germen</w:t>
            </w:r>
          </w:p>
        </w:tc>
        <w:tc>
          <w:tcPr>
            <w:tcW w:type="dxa" w:w="5102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Tratamiento dirigido</w:t>
            </w:r>
          </w:p>
        </w:tc>
        <w:tc>
          <w:tcPr>
            <w:tcW w:type="dxa" w:w="2551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DURACIÓN (según la pirámide)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Neumococo</w:t>
            </w:r>
          </w:p>
        </w:tc>
        <w:tc>
          <w:tcPr>
            <w:tcW w:type="dxa" w:w="510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Vancomicina + C3G, retirando la vancomicina si es sensible (SEN 2025); ajustar a la CMI cuando llegue (ESCMID)</w:t>
            </w:r>
          </w:p>
        </w:tc>
        <w:tc>
          <w:tcPr>
            <w:tcW w:type="dxa" w:w="2551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14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Meningococo</w:t>
            </w:r>
          </w:p>
        </w:tc>
        <w:tc>
          <w:tcPr>
            <w:tcW w:type="dxa" w:w="510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Penicilina G, ampicilina o C3G;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C3G o cefepima si se sospecha resistencia a penicilina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2025)</w:t>
            </w:r>
          </w:p>
        </w:tc>
        <w:tc>
          <w:tcPr>
            <w:tcW w:type="dxa" w:w="2551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7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H. influenzae</w:t>
            </w:r>
          </w:p>
        </w:tc>
        <w:tc>
          <w:tcPr>
            <w:tcW w:type="dxa" w:w="510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Ampicilina (SEN 2025); comprobar sensibilidad.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C3G si produce betalactamasa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(ESCMID 2016, tabla 4.2)</w:t>
            </w:r>
          </w:p>
        </w:tc>
        <w:tc>
          <w:tcPr>
            <w:tcW w:type="dxa" w:w="2551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7‑10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(ESCMID 2016, tabla 4.2)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Listeria</w:t>
            </w:r>
          </w:p>
        </w:tc>
        <w:tc>
          <w:tcPr>
            <w:tcW w:type="dxa" w:w="510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Ampicilina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(o penicilina G)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+ gentamicina o cotrimoxazol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; alternativa a la ampicilina: meropenem (SEN 2025)</w:t>
            </w:r>
          </w:p>
        </w:tc>
        <w:tc>
          <w:tcPr>
            <w:tcW w:type="dxa" w:w="2551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≥21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2025; ESCMID)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S. aureus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(y 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S. epidermidis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)</w:t>
            </w:r>
          </w:p>
        </w:tc>
        <w:tc>
          <w:tcPr>
            <w:tcW w:type="dxa" w:w="510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Vancomicina ± rifampicina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; alternativas según sensibilidad: cloxacilina, linezolid, meropenem, cotrimoxazol o clindamicina (SEN 2025, tabla 3); el texto añade daptomicina. Retirar el dispositivo si lo hay (capítulo 6)</w:t>
            </w:r>
          </w:p>
        </w:tc>
        <w:tc>
          <w:tcPr>
            <w:tcW w:type="dxa" w:w="2551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S. aureus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: ≥14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(ESCMID); para infección nosocomial o dispositivos, ver capítulo 6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Enterobacterias y otros bacilos gramnegativos</w:t>
            </w:r>
          </w:p>
        </w:tc>
        <w:tc>
          <w:tcPr>
            <w:tcW w:type="dxa" w:w="510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C3G (SEN 2025); valorar meropenem con Infecciosas mientras llega el antibiograma (NICE). Alergia: aztreonam 2 g cada 6‑8 h o ciprofloxacino 400 mg cada 8‑12 h (SEN 2025)</w:t>
            </w:r>
          </w:p>
        </w:tc>
        <w:tc>
          <w:tcPr>
            <w:tcW w:type="dxa" w:w="2551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≥21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2025; NICE)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Estreptococo del grupo B (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S. agalactiae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)</w:t>
            </w:r>
          </w:p>
        </w:tc>
        <w:tc>
          <w:tcPr>
            <w:tcW w:type="dxa" w:w="5102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Ampicilina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(o penicilina G) </w:t>
            </w: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+ gentamicina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(SEN 2025)</w:t>
            </w:r>
          </w:p>
        </w:tc>
        <w:tc>
          <w:tcPr>
            <w:tcW w:type="dxa" w:w="2551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14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(NICE)</w:t>
            </w:r>
          </w:p>
        </w:tc>
      </w:tr>
      <w:tr>
        <w:trPr>
          <w:cantSplit/>
        </w:trPr>
        <w:tc>
          <w:tcPr>
            <w:tcW w:type="dxa" w:w="175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Sin germen identificado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(LCR de MBA, cultivos y PCR negativos)</w:t>
            </w:r>
          </w:p>
        </w:tc>
        <w:tc>
          <w:tcPr>
            <w:tcW w:type="dxa" w:w="5102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Mantener la pauta empírica (ESCMID)</w:t>
            </w:r>
          </w:p>
        </w:tc>
        <w:tc>
          <w:tcPr>
            <w:tcW w:type="dxa" w:w="2551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≥14 días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(ESCMID, grado A)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pStyle w:val="Heading2"/>
        <w:keepLines/>
        <w:pageBreakBefore/>
      </w:pPr>
      <w:r>
        <w:rPr>
          <w:rFonts w:ascii="Calibri" w:hAnsi="Calibri"/>
          <w:b/>
          <w:i w:val="0"/>
          <w:color w:val="000000"/>
        </w:rPr>
        <w:t>Comparación de duraciones entre guías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08"/>
        <w:gridCol w:w="3402"/>
        <w:gridCol w:w="3402"/>
      </w:tblGrid>
      <w:tr>
        <w:trPr>
          <w:cantSplit/>
          <w:tblHeader/>
        </w:trPr>
        <w:tc>
          <w:tcPr>
            <w:tcW w:type="dxa" w:w="2608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Germen</w:t>
            </w:r>
          </w:p>
        </w:tc>
        <w:tc>
          <w:tcPr>
            <w:tcW w:type="dxa" w:w="3402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ESCMID 2016</w:t>
            </w:r>
          </w:p>
        </w:tc>
        <w:tc>
          <w:tcPr>
            <w:tcW w:type="dxa" w:w="3402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NICE 2024 (si hay recuperación)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Neumococo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10‑14 días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 días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Meningococo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7 días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5 días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H. influenzae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7‑10 días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7 días (hasta 10)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Listeria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≥21 días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 días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/>
                <w:color w:val="000000"/>
                <w:sz w:val="21"/>
              </w:rPr>
              <w:t>S. aureus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(y 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S. epidermidis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)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≥14 días para 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S. aureus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Enterobacterias y otros bacilos gramnegativos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21 días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Estreptococo del grupo B (</w:t>
            </w:r>
            <w:r>
              <w:rPr>
                <w:rFonts w:ascii="Calibri" w:hAnsi="Calibri"/>
                <w:b w:val="0"/>
                <w:i/>
                <w:color w:val="000000"/>
                <w:sz w:val="21"/>
              </w:rPr>
              <w:t>S. agalactiae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)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type="dxa" w:w="3402"/>
            <w:vAlign w:val="center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14 días</w:t>
            </w:r>
          </w:p>
        </w:tc>
      </w:tr>
      <w:tr>
        <w:trPr>
          <w:cantSplit/>
        </w:trPr>
        <w:tc>
          <w:tcPr>
            <w:tcW w:type="dxa" w:w="2608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Sin germen identificado</w:t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 xml:space="preserve"> (LCR de MBA, cultivos y PCR negativos)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≥2 semanas</w:t>
            </w:r>
          </w:p>
        </w:tc>
        <w:tc>
          <w:tcPr>
            <w:tcW w:type="dxa" w:w="3402"/>
            <w:vAlign w:val="center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10 días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No se recomiendan pautas cortas</w:t>
      </w:r>
      <w:r>
        <w:rPr>
          <w:rFonts w:ascii="Cambria" w:hAnsi="Cambria"/>
          <w:b w:val="0"/>
          <w:i w:val="0"/>
          <w:color w:val="000000"/>
        </w:rPr>
        <w:t xml:space="preserve"> en el adulto europeo (ESCMID, grado D). </w:t>
      </w:r>
      <w:r>
        <w:rPr>
          <w:rFonts w:ascii="Cambria" w:hAnsi="Cambria"/>
          <w:b w:val="0"/>
          <w:i w:val="0"/>
          <w:color w:val="000000"/>
        </w:rPr>
        <w:t>El ensayo de 5 frente a 10 días se hizo en niños de Malawi y Pakistán y no es extrapolable (ESCMID). La NICE, en cambio, cita evidencia sin diferencias entre 5 y 10 días de ceftriaxona para Hib y meningococo, y recomienda 5 días para el meningococo.</w:t>
      </w:r>
    </w:p>
    <w:p>
      <w:pPr>
        <w:pStyle w:val="ListParagraph"/>
        <w:keepNext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Neumococo según la CMI</w:t>
      </w:r>
      <w:r>
        <w:rPr>
          <w:rFonts w:ascii="Cambria" w:hAnsi="Cambria"/>
          <w:b w:val="0"/>
          <w:i w:val="0"/>
          <w:color w:val="000000"/>
        </w:rPr>
        <w:t xml:space="preserve"> (ESCMID, tabla 4.2):</w:t>
      </w:r>
    </w:p>
    <w:p>
      <w:pPr>
        <w:pStyle w:val="ListParagraph"/>
        <w:keepLines/>
        <w:numPr>
          <w:ilvl w:val="0"/>
          <w:numId w:val="23"/>
        </w:numPr>
        <w:spacing w:after="4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Sensible a penicilina (CMI &lt;0,1 µg/mL): penicilina o amoxicilina.</w:t>
      </w:r>
    </w:p>
    <w:p>
      <w:pPr>
        <w:pStyle w:val="ListParagraph"/>
        <w:keepLines/>
        <w:numPr>
          <w:ilvl w:val="0"/>
          <w:numId w:val="23"/>
        </w:numPr>
        <w:spacing w:after="4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Resistente a penicilina y sensible a C3G (CMI &lt;2 µg/mL): </w:t>
      </w:r>
      <w:r>
        <w:rPr>
          <w:rFonts w:ascii="Cambria" w:hAnsi="Cambria"/>
          <w:b/>
          <w:i w:val="0"/>
          <w:color w:val="000000"/>
        </w:rPr>
        <w:t>C3G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23"/>
        </w:numPr>
        <w:spacing w:after="4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Resistente a C3G (CMI ≥2 µg/mL): </w:t>
      </w:r>
      <w:r>
        <w:rPr>
          <w:rFonts w:ascii="Cambria" w:hAnsi="Cambria"/>
          <w:b/>
          <w:i w:val="0"/>
          <w:color w:val="000000"/>
        </w:rPr>
        <w:t>vancomicina + rifampicina, vancomicina + C3G o rifampicina + C3G</w:t>
      </w:r>
      <w:r>
        <w:rPr>
          <w:rFonts w:ascii="Cambria" w:hAnsi="Cambria"/>
          <w:b w:val="0"/>
          <w:i w:val="0"/>
          <w:color w:val="000000"/>
        </w:rPr>
        <w:t>, con ceftriaxona 2 g cada 12 h o cefotaxima 2‑3 g cada 6 h.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/>
          <w:i/>
          <w:color w:val="000000"/>
        </w:rPr>
        <w:t>Listeria</w:t>
      </w:r>
      <w:r>
        <w:rPr>
          <w:rFonts w:ascii="Cambria" w:hAnsi="Cambria"/>
          <w:b w:val="0"/>
          <w:i w:val="0"/>
          <w:color w:val="000000"/>
        </w:rPr>
        <w:t xml:space="preserve">: </w:t>
      </w:r>
      <w:r>
        <w:rPr>
          <w:rFonts w:ascii="Cambria" w:hAnsi="Cambria"/>
          <w:b w:val="0"/>
          <w:i w:val="0"/>
          <w:color w:val="000000"/>
        </w:rPr>
        <w:t>la gentamicina "puede considerarse", con precaución por el riesgo de fracaso renal (ESCMID). Alternativas: cotrimoxazol, moxifloxacino, meropenem, linezolid (ESCMID). La NICE propone valorar, consultando antes, añadir cotrimoxazol los primeros 7 días.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/>
          <w:i/>
          <w:color w:val="000000"/>
        </w:rPr>
        <w:t>S. aureus</w:t>
      </w:r>
      <w:r>
        <w:rPr>
          <w:rFonts w:ascii="Cambria" w:hAnsi="Cambria"/>
          <w:b w:val="0"/>
          <w:i w:val="0"/>
          <w:color w:val="000000"/>
        </w:rPr>
        <w:t xml:space="preserve">: la ESCMID 2016 recomienda </w:t>
      </w:r>
      <w:r>
        <w:rPr>
          <w:rFonts w:ascii="Cambria" w:hAnsi="Cambria"/>
          <w:b/>
          <w:i w:val="0"/>
          <w:color w:val="000000"/>
        </w:rPr>
        <w:t>flucloxacilina, nafcilina u oxacilina si es sensible a meticilina</w:t>
      </w:r>
      <w:r>
        <w:rPr>
          <w:rFonts w:ascii="Cambria" w:hAnsi="Cambria"/>
          <w:b w:val="0"/>
          <w:i w:val="0"/>
          <w:color w:val="000000"/>
        </w:rPr>
        <w:t xml:space="preserve">, y </w:t>
      </w:r>
      <w:r>
        <w:rPr>
          <w:rFonts w:ascii="Cambria" w:hAnsi="Cambria"/>
          <w:b/>
          <w:i w:val="0"/>
          <w:color w:val="000000"/>
        </w:rPr>
        <w:t>vancomicina si es resistente</w:t>
      </w:r>
      <w:r>
        <w:rPr>
          <w:rFonts w:ascii="Cambria" w:hAnsi="Cambria"/>
          <w:b w:val="0"/>
          <w:i w:val="0"/>
          <w:color w:val="000000"/>
        </w:rPr>
        <w:t xml:space="preserve"> (tabla 4.2)</w:t>
      </w:r>
      <w:r>
        <w:rPr>
          <w:rFonts w:ascii="Cambria" w:hAnsi="Cambria"/>
          <w:b w:val="0"/>
          <w:i w:val="0"/>
          <w:color w:val="000000"/>
        </w:rPr>
        <w:t xml:space="preserve"> (resistencia local a meticilina en </w:t>
      </w:r>
      <w:r>
        <w:rPr>
          <w:rFonts w:ascii="Cambria" w:hAnsi="Cambria"/>
          <w:b w:val="0"/>
          <w:i/>
          <w:color w:val="000000"/>
        </w:rPr>
        <w:t xml:space="preserve">S. aureus</w:t>
      </w:r>
      <w:r>
        <w:rPr>
          <w:rFonts w:ascii="Cambria" w:hAnsi="Cambria"/>
          <w:b w:val="0"/>
          <w:i w:val="0"/>
          <w:color w:val="000000"/>
        </w:rPr>
        <w:t xml:space="preserve">: 30 %; 2024)</w:t>
      </w:r>
      <w:r>
        <w:rPr>
          <w:rFonts w:ascii="Cambria" w:hAnsi="Cambria"/>
          <w:b w:val="0"/>
          <w:i w:val="0"/>
          <w:color w:val="000000"/>
        </w:rPr>
        <w:t xml:space="preserve">. Esta tabla no incluye </w:t>
      </w:r>
      <w:r>
        <w:rPr>
          <w:rFonts w:ascii="Cambria" w:hAnsi="Cambria"/>
          <w:b w:val="0"/>
          <w:i/>
          <w:color w:val="000000"/>
        </w:rPr>
        <w:t>S. epidermidis</w:t>
      </w:r>
      <w:r>
        <w:rPr>
          <w:rFonts w:ascii="Cambria" w:hAnsi="Cambria"/>
          <w:b w:val="0"/>
          <w:i w:val="0"/>
          <w:color w:val="000000"/>
        </w:rPr>
        <w:t xml:space="preserve">. </w:t>
      </w:r>
      <w:r>
        <w:rPr>
          <w:rFonts w:ascii="Cambria" w:hAnsi="Cambria"/>
          <w:b/>
          <w:i w:val="0"/>
          <w:color w:val="000000"/>
        </w:rPr>
        <w:t>Buscar endocarditis o absceso epidural espinal</w:t>
      </w:r>
      <w:r>
        <w:rPr>
          <w:rFonts w:ascii="Cambria" w:hAnsi="Cambria"/>
          <w:b w:val="0"/>
          <w:i w:val="0"/>
          <w:color w:val="000000"/>
        </w:rPr>
        <w:t>, que pueden requerir cirugía y más tratamiento (ESCMID).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Duración según la SEN 2025: </w:t>
      </w:r>
      <w:r>
        <w:rPr>
          <w:rFonts w:ascii="Cambria" w:hAnsi="Cambria"/>
          <w:b/>
          <w:i w:val="0"/>
          <w:color w:val="000000"/>
        </w:rPr>
        <w:t>10‑14 días en general</w:t>
      </w:r>
      <w:r>
        <w:rPr>
          <w:rFonts w:ascii="Cambria" w:hAnsi="Cambria"/>
          <w:b w:val="0"/>
          <w:i w:val="0"/>
          <w:color w:val="000000"/>
        </w:rPr>
        <w:t xml:space="preserve">; 7 días "pueden bastar" en la meningocócica; 14 días en la neumocócica; y </w:t>
      </w:r>
      <w:r>
        <w:rPr>
          <w:rFonts w:ascii="Cambria" w:hAnsi="Cambria"/>
          <w:b/>
          <w:i w:val="0"/>
          <w:color w:val="000000"/>
        </w:rPr>
        <w:t>al menos 3 semanas en Listeria y en los gramnegativos</w:t>
      </w:r>
      <w:r>
        <w:rPr>
          <w:rFonts w:ascii="Cambria" w:hAnsi="Cambria"/>
          <w:b w:val="0"/>
          <w:i w:val="0"/>
          <w:color w:val="000000"/>
        </w:rPr>
        <w:t>, por la alta tasa de recidivas con pautas más cortas. La ESCMID da 10‑14 días para el neumococo; los 14 días de la SEN 2025 caen dentro de ese rango.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H. influenzae: la SEN 2025 propone ampicilina sin precisar sensibilidad. La ESCMID 2016 distingue cepas productoras de betalactamasa y cepas resistentes a ampicilina: comprobar el antibiograma antes de ajustar la pauta</w:t>
      </w:r>
      <w:r>
        <w:rPr>
          <w:rFonts w:ascii="Cambria" w:hAnsi="Cambria"/>
          <w:b w:val="0"/>
          <w:i w:val="0"/>
          <w:color w:val="000000"/>
        </w:rPr>
        <w:t xml:space="preserve"> (resistencia local a ampicilina en </w:t>
      </w:r>
      <w:r>
        <w:rPr>
          <w:rFonts w:ascii="Cambria" w:hAnsi="Cambria"/>
          <w:b w:val="0"/>
          <w:i/>
          <w:color w:val="000000"/>
        </w:rPr>
        <w:t xml:space="preserve">H. influenzae</w:t>
      </w:r>
      <w:r>
        <w:rPr>
          <w:rFonts w:ascii="Cambria" w:hAnsi="Cambria"/>
          <w:b w:val="0"/>
          <w:i w:val="0"/>
          <w:color w:val="000000"/>
        </w:rPr>
        <w:t xml:space="preserve">: ≈9 %; 2024)</w:t>
      </w:r>
      <w:r>
        <w:rPr>
          <w:rFonts w:ascii="Cambria" w:hAnsi="Cambria"/>
          <w:b w:val="0"/>
          <w:i w:val="0"/>
          <w:color w:val="000000"/>
        </w:rPr>
        <w:t>. La duración específica de 7‑10 días procede de la ESCMID; la SEN 2025 solo da una duración general de 10‑14 días.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Estreptococo del grupo B: la NICE propone C3G; manda la SEN 2025. La duración la da solo la NICE.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Sin germen identificado: la ESCMID (≥2 semanas) prevalece sobre la NICE (10 días), porque la SEN no concreta este supuesto (la SEN 2025 da 10‑14 días como duración general).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Enterobacterias: la NICE reconoce que los 21 días no se basan en evidencia (derivan del principio de 14 días tras esterilizar el LCR); la SEN 2025 los justifica por la tasa de recidivas.</w:t>
      </w:r>
    </w:p>
    <w:p>
      <w:pPr>
        <w:pStyle w:val="ListParagraph"/>
        <w:keepLines/>
        <w:numPr>
          <w:ilvl w:val="0"/>
          <w:numId w:val="22"/>
        </w:numPr>
        <w:spacing w:after="80"/>
        <w:contextualSpacing w:val="0"/>
        <w:jc w:val="both"/>
      </w:pPr>
      <w:r>
        <w:rPr>
          <w:rFonts w:ascii="Cambria" w:hAnsi="Cambria"/>
          <w:b w:val="0"/>
          <w:i/>
          <w:color w:val="000000"/>
        </w:rPr>
        <w:t>Meningococo: si no hay recuperación al terminar la pauta, consultar con Infecciosas (NICE).</w:t>
      </w:r>
    </w:p>
    <w:p>
      <w:pPr>
        <w:pStyle w:val="Heading1"/>
        <w:keepNext/>
        <w:keepLines/>
        <w:pageBreakBefore w:val="0"/>
      </w:pPr>
      <w:r>
        <w:rPr>
          <w:i w:val="0"/>
        </w:rPr>
        <w:t>8. Tratamiento adyuvante</w:t>
      </w:r>
    </w:p>
    <w:p>
      <w:pPr>
        <w:pStyle w:val="Heading2"/>
        <w:keepNext/>
        <w:keepLines/>
        <w:pageBreakBefore w:val="0"/>
      </w:pPr>
      <w:r>
        <w:rPr>
          <w:i w:val="0"/>
        </w:rPr>
        <w:t>8.1. DEXAMETASONA</w:t>
      </w:r>
    </w:p>
    <w:p>
      <w:pPr>
        <w:keepLines w:val="0"/>
        <w:jc w:val="both"/>
      </w:pPr>
      <w:r>
        <w:rPr>
          <w:b/>
          <w:i w:val="0"/>
        </w:rPr>
        <w:t>→ PAUTA</w:t>
      </w:r>
      <w:r>
        <w:rPr>
          <w:b w:val="0"/>
          <w:i w:val="0"/>
        </w:rPr>
        <w:t xml:space="preserve">: </w:t>
      </w:r>
      <w:r>
        <w:rPr>
          <w:b/>
          <w:i w:val="0"/>
        </w:rPr>
        <w:t>DEXAMETASONA 10 mg IV cada 6 h durante 4 días</w:t>
      </w:r>
      <w:r>
        <w:rPr>
          <w:b w:val="0"/>
          <w:i w:val="0"/>
        </w:rPr>
        <w:t xml:space="preserve">, con la </w:t>
      </w:r>
      <w:r>
        <w:rPr>
          <w:b/>
          <w:i w:val="0"/>
        </w:rPr>
        <w:t>primera dosis antes o junto con la primera dosis de antibiótico</w:t>
      </w:r>
      <w:r>
        <w:rPr>
          <w:b w:val="0"/>
          <w:i w:val="0"/>
        </w:rPr>
        <w:t xml:space="preserve"> (SEN 2025; ESCMID, grado A en países de renta alta).</w:t>
      </w:r>
    </w:p>
    <w:p>
      <w:pPr>
        <w:keepLines w:val="0"/>
        <w:jc w:val="both"/>
      </w:pPr>
      <w:r>
        <w:rPr>
          <w:b w:val="0"/>
          <w:i/>
        </w:rPr>
        <w:t xml:space="preserve">Mensa 2026, extracto aportado por el usuario: propone en el adulto </w:t>
      </w:r>
      <w:r>
        <w:rPr>
          <w:b/>
          <w:i/>
        </w:rPr>
        <w:t>6‑10 mg IV cada 6 h durante 2‑4 días</w:t>
      </w:r>
      <w:r>
        <w:rPr>
          <w:b w:val="0"/>
          <w:i/>
        </w:rPr>
        <w:t>, especialmente en neumococo o H. influenzae, con inicio antes del primer antibiótico. La pauta de SEN (10 mg cada 6 h, 4 días) está incluida en ese intervalo y se mantiene; no es una discrepancia de dosis ni de duración. La dosis pediátrica del extracto no se aplica al adulto.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Indicación</w:t>
      </w:r>
      <w:r>
        <w:rPr>
          <w:b w:val="0"/>
          <w:i w:val="0"/>
        </w:rPr>
        <w:t xml:space="preserve">: </w:t>
      </w:r>
      <w:r>
        <w:rPr>
          <w:b/>
          <w:i w:val="0"/>
        </w:rPr>
        <w:t>en todos los casos de meningitis purulenta</w:t>
      </w:r>
      <w:r>
        <w:rPr>
          <w:b w:val="0"/>
          <w:i w:val="0"/>
        </w:rPr>
        <w:t xml:space="preserve"> (SEN 2025); sospecha fuerte o confirmación (NICE 1.8.1). </w:t>
      </w:r>
      <w:r>
        <w:rPr>
          <w:b w:val="0"/>
          <w:i/>
        </w:rPr>
        <w:t>Según la SEMES 2012, el mayor beneficio se obtiene con pleocitosis &gt;1.000/mm³, presión de apertura &gt;25 cm H₂O o GCS &lt;11.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Si ya se ha dado el antibiótico</w:t>
      </w:r>
      <w:r>
        <w:rPr>
          <w:b w:val="0"/>
          <w:i w:val="0"/>
        </w:rPr>
        <w:t xml:space="preserve">: SEN 2025, cap. 40, §1.8.3, recoge que </w:t>
      </w:r>
      <w:r>
        <w:rPr>
          <w:b/>
          <w:i w:val="0"/>
        </w:rPr>
        <w:t>«algunos autores» amplían la ventana hasta un máximo de 4 h</w:t>
      </w:r>
      <w:r>
        <w:rPr>
          <w:b w:val="0"/>
          <w:i w:val="0"/>
        </w:rPr>
        <w:t xml:space="preserve">; su recomendación inicial sigue siendo antes o junto con el antibiótico. </w:t>
      </w:r>
      <w:r>
        <w:rPr>
          <w:b w:val="0"/>
          <w:i/>
        </w:rPr>
        <w:t xml:space="preserve">Mensa 2026, extracto aportado por el usuario: el beneficio disminuye significativamente si se inicia </w:t>
      </w:r>
      <w:r>
        <w:rPr>
          <w:b/>
          <w:i/>
        </w:rPr>
        <w:t>&gt;4 h</w:t>
      </w:r>
      <w:r>
        <w:rPr>
          <w:b w:val="0"/>
          <w:i/>
        </w:rPr>
        <w:t xml:space="preserve"> después; no afirma que desaparezca ni establece una contraindicación absoluta a partir de ese momento. ESCMID 2016 permite iniciarla hasta 4 h (grado C, por consenso). NICE 1.8.5 indica administrarla cuanto antes si el retraso es </w:t>
      </w:r>
      <w:r>
        <w:rPr>
          <w:b/>
          <w:i/>
        </w:rPr>
        <w:t>&lt;12 h</w:t>
      </w:r>
      <w:r>
        <w:rPr>
          <w:b w:val="0"/>
          <w:i/>
        </w:rPr>
        <w:t xml:space="preserve"> y consultar con Infecciosas si es </w:t>
      </w:r>
      <w:r>
        <w:rPr>
          <w:b/>
          <w:i/>
        </w:rPr>
        <w:t>&gt;12 h</w:t>
      </w:r>
      <w:r>
        <w:rPr>
          <w:b w:val="0"/>
          <w:i/>
        </w:rPr>
        <w:t>, sin retrasar el antibiótico para esperarla. La SEMES 2012 decía «no darla si ya recibía antibiótico parenteral», criterio superado por las fuentes anteriores.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Cuándo se mantiene</w:t>
      </w:r>
      <w:r>
        <w:rPr>
          <w:b w:val="0"/>
          <w:i w:val="0"/>
        </w:rPr>
        <w:t xml:space="preserve">: </w:t>
      </w:r>
      <w:r>
        <w:rPr>
          <w:b/>
          <w:i w:val="0"/>
        </w:rPr>
        <w:t xml:space="preserve">SOLO si se confirma NEUMOCOCO o </w:t>
      </w:r>
      <w:r>
        <w:rPr>
          <w:b/>
          <w:i/>
        </w:rPr>
        <w:t>H. INFLUENZAE</w:t>
      </w:r>
      <w:r>
        <w:rPr>
          <w:b w:val="0"/>
          <w:i w:val="0"/>
        </w:rPr>
        <w:t xml:space="preserve"> (SEN 2025; ESCMID, grado B; NICE 1.8.3). </w:t>
      </w:r>
      <w:r>
        <w:rPr>
          <w:b/>
          <w:i w:val="0"/>
        </w:rPr>
        <w:t>Suspenderla en el resto</w:t>
      </w:r>
      <w:r>
        <w:rPr>
          <w:b w:val="0"/>
          <w:i w:val="0"/>
        </w:rPr>
        <w:t xml:space="preserve">, incluidos </w:t>
      </w:r>
      <w:r>
        <w:rPr>
          <w:b w:val="0"/>
          <w:i/>
        </w:rPr>
        <w:t>Listeria</w:t>
      </w:r>
      <w:r>
        <w:rPr>
          <w:b w:val="0"/>
          <w:i w:val="0"/>
        </w:rPr>
        <w:t xml:space="preserve"> y meningococo, y si se descarta la MBA. </w:t>
      </w:r>
      <w:r>
        <w:rPr>
          <w:b w:val="0"/>
          <w:i/>
        </w:rPr>
        <w:t>Algunos expertos la mantienen con cualquier germen (SEN 2025; ESCMID). Si no se identifica el germen, consultar con Infecciosas (NICE 1.8.4).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Infartos tardíos</w:t>
      </w:r>
      <w:r>
        <w:rPr>
          <w:b w:val="0"/>
          <w:i w:val="0"/>
        </w:rPr>
        <w:t xml:space="preserve">: SEN 2025 describe una posible relación con la dexametasona adyuvante (cap. 40, §1.4, p. 621). </w:t>
      </w:r>
      <w:r>
        <w:rPr>
          <w:b w:val="0"/>
          <w:i/>
        </w:rPr>
        <w:t xml:space="preserve">Mensa 2026, extracto aportado por el usuario, amplía la descripción como </w:t>
      </w:r>
      <w:r>
        <w:rPr>
          <w:b/>
          <w:i/>
        </w:rPr>
        <w:t>vasculopatía cerebral retardada en cerca del 10 % de los adultos con meningitis neumocócica</w:t>
      </w:r>
      <w:r>
        <w:rPr>
          <w:b w:val="0"/>
          <w:i/>
        </w:rPr>
        <w:t xml:space="preserve">: tras mejoría inicial y suspensión de los corticoides puede aparecer deterioro neurológico repentino con reaparición de fiebre, sin otra causa aparente. En esos casos el extracto señala la necesidad de prolongar los corticoides </w:t>
      </w:r>
      <w:r>
        <w:rPr>
          <w:b/>
          <w:i/>
        </w:rPr>
        <w:t>varias semanas</w:t>
      </w:r>
      <w:r>
        <w:rPr>
          <w:b w:val="0"/>
          <w:i/>
        </w:rPr>
        <w:t>, sin concretar pauta ni descenso. Es una propuesta para esa complicación, que requiere valoración especializada, no una prolongación sistemática de los 4 días. La frecuencia y la prolongación proceden de Mensa, no de SEN.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Enfermedad meningocócica (sepsis) sin meningitis</w:t>
      </w:r>
      <w:r>
        <w:rPr>
          <w:b w:val="0"/>
          <w:i w:val="0"/>
        </w:rPr>
        <w:t xml:space="preserve">: </w:t>
      </w:r>
      <w:r>
        <w:rPr>
          <w:b/>
          <w:i w:val="0"/>
        </w:rPr>
        <w:t>no dar corticoides de rutina</w:t>
      </w:r>
      <w:r>
        <w:rPr>
          <w:b w:val="0"/>
          <w:i w:val="0"/>
        </w:rPr>
        <w:t xml:space="preserve">; solo </w:t>
      </w:r>
      <w:r>
        <w:rPr>
          <w:b/>
          <w:i w:val="0"/>
        </w:rPr>
        <w:t>dosis sustitutivas</w:t>
      </w:r>
      <w:r>
        <w:rPr>
          <w:b w:val="0"/>
          <w:i w:val="0"/>
        </w:rPr>
        <w:t xml:space="preserve"> en el shock que no responde a vasopresores a dosis altas (NICE 1.8.6‑1.8.7). </w:t>
      </w:r>
      <w:r>
        <w:rPr>
          <w:b w:val="0"/>
          <w:i/>
        </w:rPr>
        <w:t>La SEMES 2012 propone hidrocortisona 50 mg cada 6 h + fludrocortisona 50 µg/día en el shock con insuficiencia suprarrenal.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 w:val="0"/>
          <w:i/>
        </w:rPr>
        <w:t>Otras precauciones de la SEMES 2012: no darla si hay hipersensibilidad, patología cerebral reciente o derivación de LCR, y asociar un inhibidor de la bomba de protones.</w:t>
      </w:r>
    </w:p>
    <w:p>
      <w:pPr>
        <w:keepLines w:val="0"/>
        <w:jc w:val="both"/>
      </w:pPr>
      <w:r>
        <w:rPr>
          <w:b w:val="0"/>
          <w:i/>
        </w:rPr>
        <w:t>Evidencia (resumida por las guías):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 w:val="0"/>
          <w:i/>
        </w:rPr>
        <w:t xml:space="preserve">La </w:t>
      </w:r>
      <w:r>
        <w:rPr>
          <w:b/>
          <w:i/>
        </w:rPr>
        <w:t>ESCMID</w:t>
      </w:r>
      <w:r>
        <w:rPr>
          <w:b w:val="0"/>
          <w:i/>
        </w:rPr>
        <w:t xml:space="preserve"> resume la revisión Cochrane (25 ECA, 4.121 pacientes): los corticoides </w:t>
      </w:r>
      <w:r>
        <w:rPr>
          <w:b/>
          <w:i/>
        </w:rPr>
        <w:t>reducen la hipoacusia y las secuelas neurológicas, pero no la mortalidad global</w:t>
      </w:r>
      <w:r>
        <w:rPr>
          <w:b w:val="0"/>
          <w:i/>
        </w:rPr>
        <w:t xml:space="preserve">. </w:t>
      </w:r>
      <w:r>
        <w:rPr>
          <w:b/>
          <w:i/>
        </w:rPr>
        <w:t>Sí reducen la mortalidad en la meningitis neumocócica</w:t>
      </w:r>
      <w:r>
        <w:rPr>
          <w:b w:val="0"/>
          <w:i/>
        </w:rPr>
        <w:t xml:space="preserve">; en la de H. influenzae el efecto más claro es sobre la hipoacusia; en la meningocócica no se demostró efecto. </w:t>
      </w:r>
      <w:r>
        <w:rPr>
          <w:b/>
          <w:i/>
        </w:rPr>
        <w:t>El beneficio aparece en los países de renta alta y no en los de renta baja</w:t>
      </w:r>
      <w:r>
        <w:rPr>
          <w:b w:val="0"/>
          <w:i/>
        </w:rPr>
        <w:t>, sin exceso de efectos adversos.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 w:val="0"/>
          <w:i/>
        </w:rPr>
        <w:t xml:space="preserve">Según la </w:t>
      </w:r>
      <w:r>
        <w:rPr>
          <w:b/>
          <w:i/>
        </w:rPr>
        <w:t>NICE</w:t>
      </w:r>
      <w:r>
        <w:rPr>
          <w:b w:val="0"/>
          <w:i/>
        </w:rPr>
        <w:t xml:space="preserve">, en adultos la dexametasona a dosis altas </w:t>
      </w:r>
      <w:r>
        <w:rPr>
          <w:b/>
          <w:i/>
        </w:rPr>
        <w:t>redujo la mortalidad y la hipoacusia</w:t>
      </w:r>
      <w:r>
        <w:rPr>
          <w:b w:val="0"/>
          <w:i/>
        </w:rPr>
        <w:t>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 w:val="0"/>
          <w:i/>
        </w:rPr>
        <w:t xml:space="preserve">Un metaanálisis de datos individuales mostró que reduce la hipoacusia </w:t>
      </w:r>
      <w:r>
        <w:rPr>
          <w:b/>
          <w:i/>
        </w:rPr>
        <w:t>tanto si se da antes como después del antibiótico</w:t>
      </w:r>
      <w:r>
        <w:rPr>
          <w:b w:val="0"/>
          <w:i/>
        </w:rPr>
        <w:t xml:space="preserve"> (ESCMID).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 w:val="0"/>
          <w:i/>
        </w:rPr>
        <w:t xml:space="preserve">En la meningitis meningocócica del adulto es </w:t>
      </w:r>
      <w:r>
        <w:rPr>
          <w:b/>
          <w:i/>
        </w:rPr>
        <w:t>segura</w:t>
      </w:r>
      <w:r>
        <w:rPr>
          <w:b w:val="0"/>
          <w:i/>
        </w:rPr>
        <w:t>, pero no redujo significativamente la hipoacusia ni la mortalidad (ESCMID).</w:t>
      </w:r>
    </w:p>
    <w:p>
      <w:pPr>
        <w:keepLines w:val="0"/>
        <w:jc w:val="both"/>
      </w:pPr>
      <w:r>
        <w:rPr>
          <w:b w:val="0"/>
          <w:i/>
        </w:rPr>
        <w:t xml:space="preserve">La SEMES 2012 recomendaba añadir rifampicina a la vancomicina cuando se da dexametasona, por la posible menor penetración de la vancomicina con la meninge menos inflamada. Ni la SEN 2025 ni la NICE 2024 lo recogen, y la ESCMID plantea la rifampicina como </w:t>
      </w:r>
      <w:r>
        <w:rPr>
          <w:b/>
          <w:i/>
        </w:rPr>
        <w:t>alternativa</w:t>
      </w:r>
      <w:r>
        <w:rPr>
          <w:b w:val="0"/>
          <w:i/>
        </w:rPr>
        <w:t xml:space="preserve"> a la vancomicina, no como añadido por la dexametasona.</w:t>
      </w:r>
    </w:p>
    <w:p>
      <w:pPr>
        <w:pStyle w:val="Heading2"/>
        <w:keepNext/>
        <w:keepLines/>
        <w:pageBreakBefore w:val="0"/>
      </w:pPr>
      <w:r>
        <w:rPr>
          <w:i w:val="0"/>
        </w:rPr>
        <w:t>8.2. Soporte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Soporte vital primero</w:t>
      </w:r>
      <w:r>
        <w:rPr>
          <w:b w:val="0"/>
          <w:i w:val="0"/>
        </w:rPr>
        <w:t xml:space="preserve"> (SEN 2025): vía aérea y oxigenación, </w:t>
      </w:r>
      <w:r>
        <w:rPr>
          <w:b/>
          <w:i w:val="0"/>
        </w:rPr>
        <w:t>fluidoterapia precoz y vasoactivos</w:t>
      </w:r>
      <w:r>
        <w:rPr>
          <w:b w:val="0"/>
          <w:i w:val="0"/>
        </w:rPr>
        <w:t xml:space="preserve"> si hay shock séptico, corrección de la coagulopatía y de las complicaciones metabólicas; </w:t>
      </w:r>
      <w:r>
        <w:rPr>
          <w:b/>
          <w:i w:val="0"/>
        </w:rPr>
        <w:t>valorar UCI según la gravedad</w:t>
      </w:r>
      <w:r>
        <w:rPr>
          <w:b w:val="0"/>
          <w:i w:val="0"/>
        </w:rPr>
        <w:t>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Líquidos de mantenimiento, sin restricción de rutina</w:t>
      </w:r>
      <w:r>
        <w:rPr>
          <w:b w:val="0"/>
          <w:i w:val="0"/>
        </w:rPr>
        <w:t xml:space="preserve">, y vigilar los electrolitos (sodio por el SIADH) (NICE 1.9.1). Por vía oral o enteral si se toleran (NICE 1.9.2). </w:t>
      </w:r>
      <w:r>
        <w:rPr>
          <w:b w:val="0"/>
          <w:i/>
        </w:rPr>
        <w:t>En la evidencia de la NICE (en niños), restringir líquidos aumentó el deterioro neurológico y la epilepsia.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Fiebre elevada</w:t>
      </w:r>
      <w:r>
        <w:rPr>
          <w:b w:val="0"/>
          <w:i w:val="0"/>
        </w:rPr>
        <w:t xml:space="preserve">: tratarla con </w:t>
      </w:r>
      <w:r>
        <w:rPr>
          <w:b/>
          <w:i w:val="0"/>
        </w:rPr>
        <w:t>paracetamol</w:t>
      </w:r>
      <w:r>
        <w:rPr>
          <w:b w:val="0"/>
          <w:i w:val="0"/>
        </w:rPr>
        <w:t xml:space="preserve"> (Mensa 2026, extracto aportado por el usuario, </w:t>
      </w:r>
      <w:r>
        <w:rPr>
          <w:b/>
          <w:i w:val="0"/>
        </w:rPr>
        <w:t>sin dosis en el fragmento</w:t>
      </w:r>
      <w:r>
        <w:rPr>
          <w:b w:val="0"/>
          <w:i w:val="0"/>
        </w:rPr>
        <w:t xml:space="preserve">). </w:t>
      </w:r>
      <w:r>
        <w:rPr>
          <w:b w:val="0"/>
          <w:i/>
        </w:rPr>
        <w:t>Esto se refiere al control de la fiebre; ESCMID 2016 no recomienda paracetamol como adyuvante rutinario para mejorar el pronóstico de la MBA (grado 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Analgesia y antieméticos</w:t>
      </w:r>
      <w:r>
        <w:rPr>
          <w:b w:val="0"/>
          <w:i w:val="0"/>
        </w:rPr>
        <w:t xml:space="preserve"> según la situación clínica; monitorizar PA, FC, FR, temperatura y SatO₂ (SEMES 2012).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NO usar</w:t>
      </w:r>
      <w:r>
        <w:rPr>
          <w:b w:val="0"/>
          <w:i w:val="0"/>
        </w:rPr>
        <w:t xml:space="preserve"> inmunoglobulinas, heparina ni proteína C activada (ESCMID, grado 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Trombosis de senos venosos</w:t>
      </w:r>
      <w:r>
        <w:rPr>
          <w:b w:val="0"/>
          <w:i w:val="0"/>
        </w:rPr>
        <w:t xml:space="preserve">: no anticoagular en la fase aguda por el riesgo de hemorragia (ESCMID). Si el paciente ya recibe anticoagulantes, </w:t>
      </w:r>
      <w:r>
        <w:rPr>
          <w:b/>
          <w:i w:val="0"/>
        </w:rPr>
        <w:t>considerar su retirada durante la fase aguda</w:t>
      </w:r>
      <w:r>
        <w:rPr>
          <w:b w:val="0"/>
          <w:i w:val="0"/>
        </w:rPr>
        <w:t xml:space="preserve"> por el riesgo de hemorragia intracerebral (Mensa 2026, extracto aportado por el usuario; ESCMID).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No repetir la PL de rutina</w:t>
      </w:r>
      <w:r>
        <w:rPr>
          <w:b w:val="0"/>
          <w:i w:val="0"/>
        </w:rPr>
        <w:t xml:space="preserve"> durante la evolución. Ante un deterioro: TC o RM (mejor RM), EEG y nueva PL solo en casos seleccionados (ESCMID).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AISLAMIENTO RESPIRATORIO SI SE SOSPECHA MENINGOCOCO, durante las primeras 24 h de tratamiento</w:t>
      </w:r>
      <w:r>
        <w:rPr>
          <w:b w:val="0"/>
          <w:i w:val="0"/>
        </w:rPr>
        <w:t xml:space="preserve">; con otros gérmenes no hace falta (SEN 2025). </w:t>
      </w:r>
      <w:r>
        <w:rPr>
          <w:b w:val="0"/>
          <w:i/>
        </w:rPr>
        <w:t>La SEMES 2012 aislaba inicialmente toda sospecha de MBA; manda la SEN 2025.</w:t>
      </w:r>
    </w:p>
    <w:p>
      <w:pPr>
        <w:keepLines w:val="0"/>
        <w:jc w:val="both"/>
      </w:pPr>
      <w:r>
        <w:rPr>
          <w:b/>
          <w:i/>
        </w:rPr>
        <w:t>Observación experimental:</w:t>
      </w:r>
      <w:r>
        <w:rPr>
          <w:b w:val="0"/>
          <w:i/>
        </w:rPr>
        <w:t xml:space="preserve"> en modelos animales de meningitis, vitamina B6 y ácido fólico reducen por distintos mecanismos la apoptosis neuronal en el giro dentado del hipocampo (Mensa 2026, extracto aportado por el usuario). </w:t>
      </w:r>
      <w:r>
        <w:rPr>
          <w:b/>
          <w:i/>
        </w:rPr>
        <w:t>No constituye una recomendación de tratamiento en humanos.</w:t>
      </w:r>
    </w:p>
    <w:p>
      <w:pPr>
        <w:pStyle w:val="Heading3"/>
        <w:keepNext/>
        <w:keepLines/>
        <w:pageBreakBefore w:val="0"/>
        <w:jc w:val="both"/>
      </w:pPr>
      <w:r>
        <w:rPr>
          <w:i w:val="0"/>
        </w:rPr>
        <w:t>8.2.1. Hipertensión intracraneal en la MBA</w:t>
      </w:r>
    </w:p>
    <w:p>
      <w:pPr>
        <w:keepLines w:val="0"/>
        <w:jc w:val="both"/>
      </w:pPr>
      <w:r>
        <w:rPr>
          <w:b w:val="0"/>
          <w:i w:val="0"/>
        </w:rPr>
        <w:t xml:space="preserve">1. </w:t>
      </w:r>
      <w:r>
        <w:rPr>
          <w:b/>
          <w:i w:val="0"/>
        </w:rPr>
        <w:t>Medidas iniciales.</w:t>
      </w:r>
      <w:r>
        <w:rPr>
          <w:b w:val="0"/>
          <w:i w:val="0"/>
        </w:rPr>
        <w:t xml:space="preserve"> Ante sospecha de HTIC, </w:t>
      </w:r>
      <w:r>
        <w:rPr>
          <w:b/>
          <w:i w:val="0"/>
        </w:rPr>
        <w:t>elevar la cabecera 30‑45°</w:t>
      </w:r>
      <w:r>
        <w:rPr>
          <w:b w:val="0"/>
          <w:i w:val="0"/>
        </w:rPr>
        <w:t xml:space="preserve">, valorar manitol IV y considerar hiperventilación (SEN 2025, cap. 40, §1.8.1, p. 623). Mensa añade </w:t>
      </w:r>
      <w:r>
        <w:rPr>
          <w:b/>
          <w:i w:val="0"/>
        </w:rPr>
        <w:t>mantener el sodio en valores normales y controlar la presión arterial</w:t>
      </w:r>
      <w:r>
        <w:rPr>
          <w:b w:val="0"/>
          <w:i w:val="0"/>
        </w:rPr>
        <w:t xml:space="preserve">; también propone </w:t>
      </w:r>
      <w:r>
        <w:rPr>
          <w:b/>
          <w:i w:val="0"/>
        </w:rPr>
        <w:t>albúmina en torno a 40 g/L</w:t>
      </w:r>
      <w:r>
        <w:rPr>
          <w:b w:val="0"/>
          <w:i w:val="0"/>
        </w:rPr>
        <w:t>, sin especificar cómo corregirla ni establecer una pauta de infusión de albúmina (Mensa 2026, extracto aportado por el usuario).</w:t>
      </w:r>
    </w:p>
    <w:p>
      <w:pPr>
        <w:keepLines w:val="0"/>
        <w:jc w:val="both"/>
      </w:pPr>
      <w:r>
        <w:rPr>
          <w:b w:val="0"/>
          <w:i w:val="0"/>
        </w:rPr>
        <w:t xml:space="preserve">2. </w:t>
      </w:r>
      <w:r>
        <w:rPr>
          <w:b/>
          <w:i w:val="0"/>
        </w:rPr>
        <w:t>Monitorización.</w:t>
      </w:r>
      <w:r>
        <w:rPr>
          <w:b w:val="0"/>
          <w:i w:val="0"/>
        </w:rPr>
        <w:t xml:space="preserve"> Si hay clínica de HTIC, </w:t>
      </w:r>
      <w:r>
        <w:rPr>
          <w:b/>
          <w:i w:val="0"/>
        </w:rPr>
        <w:t>considerar un transductor de presión intracraneal</w:t>
      </w:r>
      <w:r>
        <w:rPr>
          <w:b w:val="0"/>
          <w:i w:val="0"/>
        </w:rPr>
        <w:t xml:space="preserve"> (Mensa 2026, extracto aportado por el usuario). </w:t>
      </w:r>
      <w:r>
        <w:rPr>
          <w:b w:val="0"/>
          <w:i/>
        </w:rPr>
        <w:t>No equivale a monitorización invasiva rutinaria: NICE 1.9.6‑1.9.7 desaconseja esta y pide valoración especializada ante HTIC o hidrocefalia; ESCMID 2016 reconoce evidencia limitada y posibles daños (grado C). SEN no concreta aquí la monitorización invasiva.</w:t>
      </w:r>
    </w:p>
    <w:p>
      <w:pPr>
        <w:keepLines w:val="0"/>
        <w:jc w:val="both"/>
      </w:pPr>
      <w:r>
        <w:rPr>
          <w:b w:val="0"/>
          <w:i w:val="0"/>
        </w:rPr>
        <w:t xml:space="preserve">3. </w:t>
      </w:r>
      <w:r>
        <w:rPr>
          <w:b/>
          <w:i w:val="0"/>
        </w:rPr>
        <w:t>Tratamiento de la HTIC.</w:t>
      </w:r>
      <w:r>
        <w:rPr>
          <w:b w:val="0"/>
          <w:i w:val="0"/>
        </w:rPr>
        <w:t xml:space="preserve"> SEN permite </w:t>
      </w:r>
      <w:r>
        <w:rPr>
          <w:b/>
          <w:i w:val="0"/>
        </w:rPr>
        <w:t>valorar manitol IV</w:t>
      </w:r>
      <w:r>
        <w:rPr>
          <w:b w:val="0"/>
          <w:i w:val="0"/>
        </w:rPr>
        <w:t xml:space="preserve"> y </w:t>
      </w:r>
      <w:r>
        <w:rPr>
          <w:b/>
          <w:i w:val="0"/>
        </w:rPr>
        <w:t>considerar hiperventilación</w:t>
      </w:r>
      <w:r>
        <w:rPr>
          <w:b w:val="0"/>
          <w:i w:val="0"/>
        </w:rPr>
        <w:t xml:space="preserve">, sin dosis ni objetivo de PaCO₂. Mensa concreta </w:t>
      </w:r>
      <w:r>
        <w:rPr>
          <w:b/>
          <w:i w:val="0"/>
        </w:rPr>
        <w:t>manitol 1‑2 g/kg IV en 30‑60 min</w:t>
      </w:r>
      <w:r>
        <w:rPr>
          <w:b w:val="0"/>
          <w:i w:val="0"/>
        </w:rPr>
        <w:t xml:space="preserve"> y considerar </w:t>
      </w:r>
      <w:r>
        <w:rPr>
          <w:b/>
          <w:i w:val="0"/>
        </w:rPr>
        <w:t>ventilación mecánica con hiperventilación para una PaCO₂ de 25‑30 mmHg</w:t>
      </w:r>
      <w:r>
        <w:rPr>
          <w:b w:val="0"/>
          <w:i w:val="0"/>
        </w:rPr>
        <w:t xml:space="preserve"> (Mensa 2026, extracto aportado por el usuario). El fragmento no fija repetición del manitol ni duración de la hiperventilación; su aplicación requiere manejo especializado. </w:t>
      </w:r>
      <w:r>
        <w:rPr>
          <w:b w:val="0"/>
          <w:i/>
        </w:rPr>
        <w:t>Se sustituye la pauta anterior de SEMES por la de Mensa. Considerar estas medidas ante HTIC no significa usarlas de rutina: ESCMID 2016 (grado D) y NICE 1.9.4‑1.9.5 limitan los osmóticos a situaciones seleccionadas; NICE los contempla como medida temporal ante HTIC con riesgo de herniación, con consulta urgente a UCI.</w:t>
      </w:r>
    </w:p>
    <w:p>
      <w:pPr>
        <w:keepLines w:val="0"/>
        <w:jc w:val="both"/>
      </w:pPr>
      <w:r>
        <w:rPr>
          <w:b w:val="0"/>
          <w:i w:val="0"/>
        </w:rPr>
        <w:t xml:space="preserve">4. </w:t>
      </w:r>
      <w:r>
        <w:rPr>
          <w:b/>
          <w:i w:val="0"/>
        </w:rPr>
        <w:t>Manejo especializado.</w:t>
      </w:r>
      <w:r>
        <w:rPr>
          <w:b w:val="0"/>
          <w:i w:val="0"/>
        </w:rPr>
        <w:t xml:space="preserve"> Valorar con UCI y Neurocirugía las medidas dirigidas a la PIC y el drenaje si existe hidrocefalia (§8.2.2; NICE 1.9.5‑1.9.7; ESCMID 2016). </w:t>
      </w:r>
      <w:r>
        <w:rPr>
          <w:b/>
          <w:i w:val="0"/>
        </w:rPr>
        <w:t>No usar hipotermia terapéutica</w:t>
      </w:r>
      <w:r>
        <w:rPr>
          <w:b w:val="0"/>
          <w:i w:val="0"/>
        </w:rPr>
        <w:t xml:space="preserve"> (contraindicada en el extracto de Mensa; ESCMID 2016 no la recomienda por exceso de mortalidad) ni </w:t>
      </w:r>
      <w:r>
        <w:rPr>
          <w:b/>
          <w:i w:val="0"/>
        </w:rPr>
        <w:t>glicerol</w:t>
      </w:r>
      <w:r>
        <w:rPr>
          <w:b w:val="0"/>
          <w:i w:val="0"/>
        </w:rPr>
        <w:t xml:space="preserve"> (ESCMID 2016; NICE 1.9.3).</w:t>
      </w:r>
    </w:p>
    <w:p>
      <w:pPr>
        <w:keepLines w:val="0"/>
        <w:jc w:val="both"/>
      </w:pPr>
      <w:r>
        <w:rPr>
          <w:b/>
          <w:i/>
        </w:rPr>
        <w:t>Hb: posible errata y objetivo no validado.</w:t>
      </w:r>
      <w:r>
        <w:rPr>
          <w:b w:val="0"/>
          <w:i/>
        </w:rPr>
        <w:t xml:space="preserve"> Mensa 2026, extracto aportado por el usuario, escribe literalmente «Hb alrededor de 12 g/L», lectura confirmada por el usuario en su móvil. El usuario considera probable que la unidad pretendida sea </w:t>
      </w:r>
      <w:r>
        <w:rPr>
          <w:b/>
          <w:i/>
        </w:rPr>
        <w:t>g/dL</w:t>
      </w:r>
      <w:r>
        <w:rPr>
          <w:b w:val="0"/>
          <w:i/>
        </w:rPr>
        <w:t xml:space="preserve">, pero </w:t>
      </w:r>
      <w:r>
        <w:rPr>
          <w:b/>
          <w:i/>
        </w:rPr>
        <w:t>no se sustituye por 12 g/dL</w:t>
      </w:r>
      <w:r>
        <w:rPr>
          <w:b w:val="0"/>
          <w:i/>
        </w:rPr>
        <w:t>: aclarar la unidad no validaría por sí mismo ese objetivo terapéutico ni una indicación transfusional. Queda pendiente.</w:t>
      </w:r>
    </w:p>
    <w:p>
      <w:pPr>
        <w:keepLines w:val="0"/>
        <w:jc w:val="both"/>
      </w:pPr>
      <w:r>
        <w:rPr>
          <w:b/>
          <w:i/>
        </w:rPr>
        <w:t>Coma barbitúrico: reseña pendiente, NO pauta operativa validada.</w:t>
      </w:r>
      <w:r>
        <w:rPr>
          <w:b w:val="0"/>
          <w:i/>
        </w:rPr>
        <w:t xml:space="preserve"> Mensa 2026, extracto aportado por el usuario (extracto 2), recoge PIC persistente </w:t>
      </w:r>
      <w:r>
        <w:rPr>
          <w:b/>
          <w:i/>
        </w:rPr>
        <w:t>&gt;20 cm H₂O</w:t>
      </w:r>
      <w:r>
        <w:rPr>
          <w:b w:val="0"/>
          <w:i/>
        </w:rPr>
        <w:t xml:space="preserve"> y «fenobarbital»: </w:t>
      </w:r>
      <w:r>
        <w:rPr>
          <w:b/>
          <w:i/>
        </w:rPr>
        <w:t>carga de 5‑10 mg/kg a 1 mg/kg/min</w:t>
      </w:r>
      <w:r>
        <w:rPr>
          <w:b w:val="0"/>
          <w:i/>
        </w:rPr>
        <w:t xml:space="preserve">, seguida de </w:t>
      </w:r>
      <w:r>
        <w:rPr>
          <w:b/>
          <w:i/>
        </w:rPr>
        <w:t>mantenimiento de 1 mg/kg/h en perfusión continua</w:t>
      </w:r>
      <w:r>
        <w:rPr>
          <w:b w:val="0"/>
          <w:i/>
        </w:rPr>
        <w:t xml:space="preserve">. El fragmento no explicita la vía. </w:t>
      </w:r>
      <w:r>
        <w:rPr>
          <w:b/>
          <w:i/>
        </w:rPr>
        <w:t>Identidad del fármaco, pauta y umbral/unidades siguen pendientes de aclaración</w:t>
      </w:r>
      <w:r>
        <w:rPr>
          <w:b w:val="0"/>
          <w:i/>
        </w:rPr>
        <w:t xml:space="preserve">; no se sustituyen por otro barbitúrico ni por mmHg. El </w:t>
      </w:r>
      <w:r>
        <w:rPr>
          <w:b/>
          <w:i/>
        </w:rPr>
        <w:t>&gt;20 cm H₂O de presión de apertura</w:t>
      </w:r>
      <w:r>
        <w:rPr>
          <w:b w:val="0"/>
          <w:i/>
        </w:rPr>
        <w:t xml:space="preserve"> usado para describir el LCR (§5.2) </w:t>
      </w:r>
      <w:r>
        <w:rPr>
          <w:b/>
          <w:i/>
        </w:rPr>
        <w:t>no constituye una indicación de coma barbitúrico</w:t>
      </w:r>
      <w:r>
        <w:rPr>
          <w:b w:val="0"/>
          <w:i/>
        </w:rPr>
        <w:t>. Aunque el extracto sitúa el drenaje ventricular «en último término», la hidrocefalia obstructiva tiene indicación de drenaje propia (§8.2.2), sin exigir fracaso previo del coma barbitúrico.</w:t>
      </w:r>
    </w:p>
    <w:p>
      <w:pPr>
        <w:keepLines w:val="0"/>
        <w:jc w:val="both"/>
      </w:pPr>
      <w:r>
        <w:rPr>
          <w:b/>
          <w:i w:val="0"/>
        </w:rPr>
        <w:t>HTIC criptocócica:</w:t>
      </w:r>
      <w:r>
        <w:rPr>
          <w:b w:val="0"/>
          <w:i w:val="0"/>
        </w:rPr>
        <w:t xml:space="preserve"> tiene un manejo específico; ver </w:t>
      </w:r>
      <w:hyperlink r:id="rId13">
        <w:r>
          <w:rPr>
            <w:b w:val="0"/>
            <w:i w:val="0"/>
            <w:color w:val="185C91"/>
            <w:u w:val="single"/>
          </w:rPr>
          <w:t>capítulo 7, §3.1.1</w:t>
        </w:r>
      </w:hyperlink>
      <w:r>
        <w:rPr>
          <w:b w:val="0"/>
          <w:i w:val="0"/>
        </w:rPr>
        <w:t>. No aplicar indistintamente las medidas de la MBA y las PL evacuadoras de la criptococosis.</w:t>
      </w:r>
    </w:p>
    <w:p>
      <w:pPr>
        <w:pStyle w:val="Heading3"/>
        <w:keepNext/>
        <w:keepLines/>
        <w:pageBreakBefore w:val="0"/>
        <w:jc w:val="both"/>
      </w:pPr>
      <w:r>
        <w:rPr>
          <w:i w:val="0"/>
        </w:rPr>
        <w:t>8.2.2. Hidrocefalia</w:t>
      </w:r>
    </w:p>
    <w:p>
      <w:pPr>
        <w:keepLines w:val="0"/>
        <w:jc w:val="both"/>
      </w:pPr>
      <w:r>
        <w:rPr>
          <w:b w:val="0"/>
          <w:i w:val="0"/>
        </w:rPr>
        <w:t xml:space="preserve">SEN 2025 describe la obstrucción de las cisternas basales por el exudado inflamatorio (cap. 40, §1.6), pero no detalla aquí las modalidades de drenaje. </w:t>
      </w:r>
      <w:r>
        <w:rPr>
          <w:b/>
          <w:i w:val="0"/>
        </w:rPr>
        <w:t>Valorar Neurocirugía cuando la hidrocefalia es clínicamente relevante</w:t>
      </w:r>
      <w:r>
        <w:rPr>
          <w:b w:val="0"/>
          <w:i w:val="0"/>
        </w:rPr>
        <w:t xml:space="preserve"> (ESCMID 2016, tabla 4.5):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Obstructiva</w:t>
      </w:r>
      <w:r>
        <w:rPr>
          <w:b w:val="0"/>
          <w:i w:val="0"/>
        </w:rPr>
        <w:t xml:space="preserve">: </w:t>
      </w:r>
      <w:r>
        <w:rPr>
          <w:b/>
          <w:i w:val="0"/>
        </w:rPr>
        <w:t>drenaje ventricular externo</w:t>
      </w:r>
      <w:r>
        <w:rPr>
          <w:b w:val="0"/>
          <w:i w:val="0"/>
        </w:rPr>
        <w:t xml:space="preserve"> (Mensa 2026, extracto aportado por el usuario; ESCMID 2016). No debe condicionarse a que antes fracase un coma barbitúrico.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Comunicante</w:t>
      </w:r>
      <w:r>
        <w:rPr>
          <w:b w:val="0"/>
          <w:i w:val="0"/>
        </w:rPr>
        <w:t xml:space="preserve">: pueden considerarse </w:t>
      </w:r>
      <w:r>
        <w:rPr>
          <w:b/>
          <w:i w:val="0"/>
        </w:rPr>
        <w:t>PL repetidas o drenaje lumbar externo</w:t>
      </w:r>
      <w:r>
        <w:rPr>
          <w:b w:val="0"/>
          <w:i w:val="0"/>
        </w:rPr>
        <w:t xml:space="preserve"> (Mensa 2026, extracto aportado por el usuario; ESCMID 2016), tras valorar las contraindicaciones y la seguridad de la vía lumbar (§4.2). </w:t>
      </w:r>
      <w:r>
        <w:rPr>
          <w:b w:val="0"/>
          <w:i/>
        </w:rPr>
        <w:t>ESCMID las contempla en pacientes despiertos que puedan monitorizarse clínicamente y advierte que pueden no ser necesarias.</w:t>
      </w:r>
    </w:p>
    <w:p>
      <w:pPr>
        <w:pStyle w:val="Heading3"/>
        <w:keepNext/>
        <w:keepLines/>
        <w:pageBreakBefore w:val="0"/>
        <w:jc w:val="both"/>
      </w:pPr>
      <w:r>
        <w:rPr>
          <w:i w:val="0"/>
        </w:rPr>
        <w:t>8.2.3. Crisis epilépticas</w:t>
      </w:r>
    </w:p>
    <w:p>
      <w:pPr>
        <w:keepLines w:val="0"/>
        <w:jc w:val="both"/>
      </w:pPr>
      <w:r>
        <w:rPr>
          <w:b w:val="0"/>
          <w:i w:val="0"/>
        </w:rPr>
        <w:t xml:space="preserve">La </w:t>
      </w:r>
      <w:r>
        <w:rPr>
          <w:b/>
          <w:i w:val="0"/>
        </w:rPr>
        <w:t>SEN 2025</w:t>
      </w:r>
      <w:r>
        <w:rPr>
          <w:b w:val="0"/>
          <w:i w:val="0"/>
        </w:rPr>
        <w:t xml:space="preserve"> describe crisis por inflamación cortical, algo más frecuentes en la meningitis neumocócica, y considera las crisis precoces o el estado epiléptico factores de mal pronóstico (cap. 40, §§1.4 y 1.6). </w:t>
      </w:r>
      <w:r>
        <w:rPr>
          <w:b/>
          <w:i w:val="0"/>
        </w:rPr>
        <w:t>El apartado de MBA de SEN no establece una pauta específica de tratamiento ni se pronuncia específicamente a favor o en contra de la profilaxis antiepiléptica.</w:t>
      </w:r>
    </w:p>
    <w:p>
      <w:pPr>
        <w:keepLines w:val="0"/>
        <w:jc w:val="both"/>
      </w:pPr>
      <w:r>
        <w:rPr>
          <w:b/>
          <w:i/>
        </w:rPr>
        <w:t>Aclaración atribuida a Mensa 2026, extracto aportado por el usuario:</w:t>
      </w:r>
      <w:r>
        <w:rPr>
          <w:b w:val="0"/>
          <w:i/>
        </w:rPr>
        <w:t xml:space="preserve"> en meningitis neumocócica propone </w:t>
      </w:r>
      <w:r>
        <w:rPr>
          <w:b/>
          <w:i/>
        </w:rPr>
        <w:t>considerar</w:t>
      </w:r>
      <w:r>
        <w:rPr>
          <w:b w:val="0"/>
          <w:i/>
        </w:rPr>
        <w:t xml:space="preserve"> profilaxis, no administrarla de forma universal. Las pautas reseñadas son </w:t>
      </w:r>
      <w:r>
        <w:rPr>
          <w:b/>
          <w:i/>
        </w:rPr>
        <w:t>levetiracetam 20 mg/kg IV en 15 min, seguido de 500 mg cada 12 h</w:t>
      </w:r>
      <w:r>
        <w:rPr>
          <w:b w:val="0"/>
          <w:i/>
        </w:rPr>
        <w:t xml:space="preserve"> (el fragmento no explicita la vía de mantenimiento), o </w:t>
      </w:r>
      <w:r>
        <w:rPr>
          <w:b/>
          <w:i/>
        </w:rPr>
        <w:t>fenitoína (difenilhidantoína), carga de 18 mg/kg en solución salina a 50 mg/min</w:t>
      </w:r>
      <w:r>
        <w:rPr>
          <w:b w:val="0"/>
          <w:i/>
        </w:rPr>
        <w:t xml:space="preserve">, reduciendo la velocidad a </w:t>
      </w:r>
      <w:r>
        <w:rPr>
          <w:b/>
          <w:i/>
        </w:rPr>
        <w:t>25 mg/min en ancianos o con cardiopatía</w:t>
      </w:r>
      <w:r>
        <w:rPr>
          <w:b w:val="0"/>
          <w:i/>
        </w:rPr>
        <w:t xml:space="preserve">, seguida de </w:t>
      </w:r>
      <w:r>
        <w:rPr>
          <w:b/>
          <w:i/>
        </w:rPr>
        <w:t>2 mg/kg IV cada 8 h</w:t>
      </w:r>
      <w:r>
        <w:rPr>
          <w:b w:val="0"/>
          <w:i/>
        </w:rPr>
        <w:t xml:space="preserve">. No se especifica duración de la profilaxis. Son pautas del extracto de Mensa, no de SEN; su transcripción no constituye validación farmacológica independiente. </w:t>
      </w:r>
      <w:r>
        <w:rPr>
          <w:b/>
          <w:i/>
        </w:rPr>
        <w:t>Discrepancia:</w:t>
      </w:r>
      <w:r>
        <w:rPr>
          <w:b w:val="0"/>
          <w:i/>
        </w:rPr>
        <w:t xml:space="preserve"> ESCMID 2016 desaconseja la profilaxis rutinaria (grado D); esa recomendación no se atribuye a SEN.</w:t>
      </w:r>
    </w:p>
    <w:p>
      <w:pPr>
        <w:pStyle w:val="Heading2"/>
        <w:keepLines/>
      </w:pPr>
      <w:r>
        <w:rPr>
          <w:rFonts w:ascii="Calibri" w:hAnsi="Calibri"/>
          <w:b/>
          <w:i w:val="0"/>
          <w:color w:val="000000"/>
        </w:rPr>
        <w:t>8.3. Complicaciones del adulto (ESCMID 2016, tabla 4.5)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4"/>
        <w:gridCol w:w="1417"/>
        <w:gridCol w:w="5499"/>
      </w:tblGrid>
      <w:tr>
        <w:trPr>
          <w:cantSplit/>
          <w:tblHeader/>
        </w:trPr>
        <w:tc>
          <w:tcPr>
            <w:tcW w:type="dxa" w:w="2494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Complicación</w:t>
            </w:r>
          </w:p>
        </w:tc>
        <w:tc>
          <w:tcPr>
            <w:tcW w:type="dxa" w:w="1417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Frecuencia</w:t>
            </w:r>
          </w:p>
        </w:tc>
        <w:tc>
          <w:tcPr>
            <w:tcW w:type="dxa" w:w="5499"/>
            <w:vAlign w:val="center"/>
            <w:shd w:fill="263D4A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Actuación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Infarto isquémico</w:t>
            </w:r>
          </w:p>
        </w:tc>
        <w:tc>
          <w:tcPr>
            <w:tcW w:type="dxa" w:w="141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14‑25 %</w:t>
            </w:r>
          </w:p>
        </w:tc>
        <w:tc>
          <w:tcPr>
            <w:tcW w:type="dxa" w:w="549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TC o RM; sin tratamiento específico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Sepsis grave</w:t>
            </w:r>
          </w:p>
        </w:tc>
        <w:tc>
          <w:tcPr>
            <w:tcW w:type="dxa" w:w="141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15 %</w:t>
            </w:r>
          </w:p>
        </w:tc>
        <w:tc>
          <w:tcPr>
            <w:tcW w:type="dxa" w:w="549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Buscar otros focos (neumonía, endocarditis); manejo de la sepsis y UCI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Hipoacusia</w:t>
            </w:r>
          </w:p>
        </w:tc>
        <w:tc>
          <w:tcPr>
            <w:tcW w:type="dxa" w:w="141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1"/>
              </w:rPr>
              <w:t>17‑22 %</w:t>
            </w:r>
          </w:p>
        </w:tc>
        <w:tc>
          <w:tcPr>
            <w:tcW w:type="dxa" w:w="549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Audiometría; implante coclear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Hidrocefalia</w:t>
            </w:r>
          </w:p>
        </w:tc>
        <w:tc>
          <w:tcPr>
            <w:tcW w:type="dxa" w:w="141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3‑5 %</w:t>
            </w:r>
          </w:p>
        </w:tc>
        <w:tc>
          <w:tcPr>
            <w:tcW w:type="dxa" w:w="549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 w:val="0"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Valoración de drenaje si es clínicamente relevante; modalidades en §8.2.2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Hemorragia cerebral</w:t>
            </w:r>
          </w:p>
        </w:tc>
        <w:tc>
          <w:tcPr>
            <w:tcW w:type="dxa" w:w="141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3 %</w:t>
            </w:r>
          </w:p>
        </w:tc>
        <w:tc>
          <w:tcPr>
            <w:tcW w:type="dxa" w:w="549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Valorar neurocirugía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Empiema subdural</w:t>
            </w:r>
          </w:p>
        </w:tc>
        <w:tc>
          <w:tcPr>
            <w:tcW w:type="dxa" w:w="141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3 %</w:t>
            </w:r>
          </w:p>
        </w:tc>
        <w:tc>
          <w:tcPr>
            <w:tcW w:type="dxa" w:w="549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Valorar neurocirugía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Absceso cerebral</w:t>
            </w:r>
          </w:p>
        </w:tc>
        <w:tc>
          <w:tcPr>
            <w:tcW w:type="dxa" w:w="1417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2 %</w:t>
            </w:r>
          </w:p>
        </w:tc>
        <w:tc>
          <w:tcPr>
            <w:tcW w:type="dxa" w:w="5499"/>
            <w:vAlign w:val="top"/>
            <w:shd w:fill="F1F4F6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Valorar neurocirugía</w:t>
            </w:r>
          </w:p>
        </w:tc>
      </w:tr>
      <w:tr>
        <w:trPr>
          <w:cantSplit/>
        </w:trPr>
        <w:tc>
          <w:tcPr>
            <w:tcW w:type="dxa" w:w="2494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Trombosis de senos</w:t>
            </w:r>
          </w:p>
        </w:tc>
        <w:tc>
          <w:tcPr>
            <w:tcW w:type="dxa" w:w="1417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center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1 %</w:t>
            </w:r>
          </w:p>
        </w:tc>
        <w:tc>
          <w:tcPr>
            <w:tcW w:type="dxa" w:w="5499"/>
            <w:vAlign w:val="top"/>
            <w:shd w:fill="FFFFFF"/>
            <w:tcMar>
              <w:top w:w="105" w:type="dxa"/>
              <w:bottom w:w="105" w:type="dxa"/>
              <w:left w:w="105" w:type="dxa"/>
              <w:right w:w="105" w:type="dxa"/>
            </w:tcMar>
          </w:tcPr>
          <w:p>
            <w:pPr>
              <w:keepNext w:val="0"/>
              <w:keepLines/>
              <w:spacing w:after="0" w:line="252" w:lineRule="auto"/>
              <w:suppressAutoHyphens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Sin tratamiento de eficacia demostrada</w:t>
            </w:r>
          </w:p>
        </w:tc>
      </w:tr>
    </w:tbl>
    <w:p>
      <w:pPr>
        <w:widowControl w:val="0"/>
        <w:spacing w:after="0" w:line="140" w:lineRule="exact"/>
      </w:pPr>
      <w:r>
        <w:rPr>
          <w:sz w:val="8"/>
        </w:rPr>
      </w:r>
    </w:p>
    <w:p>
      <w:pPr>
        <w:keepLines w:val="0"/>
        <w:jc w:val="both"/>
      </w:pPr>
      <w:r>
        <w:rPr>
          <w:b w:val="0"/>
          <w:i/>
        </w:rPr>
        <w:t xml:space="preserve">Otras complicaciones (SEMES 2012): shock séptico, síndrome de Waterhouse-Friderichsen, CID, SIADH, SDRA y parálisis de pares craneales. La SEN 2025 explica el mecanismo de las principales: crisis por inflamación cortical, infartos por arteritis oclusiva, hidrocefalia por obstrucción de las cisternas basales por el exudado y edema cerebral difuso; y añade la hiponatremia por SIADH. Crisis epilépticas: §8.2.3; complicaciones de la PL: </w:t>
      </w:r>
      <w:hyperlink r:id="rId12">
        <w:r>
          <w:rPr>
            <w:b w:val="0"/>
            <w:i/>
            <w:color w:val="185C91"/>
            <w:u w:val="single"/>
          </w:rPr>
          <w:t>capítulo 8</w:t>
        </w:r>
      </w:hyperlink>
      <w:r>
        <w:rPr>
          <w:b w:val="0"/>
          <w:i/>
        </w:rPr>
        <w:t>.</w:t>
      </w:r>
    </w:p>
    <w:p>
      <w:pPr>
        <w:keepLines w:val="0"/>
        <w:jc w:val="both"/>
      </w:pPr>
      <w:r>
        <w:rPr>
          <w:b w:val="0"/>
          <w:i/>
        </w:rPr>
        <w:t xml:space="preserve">Mensa 2026, extracto aportado por el usuario: el empiema subdural o el absceso cerebral suelen requerir intervención quirúrgica. Para su manejo específico, ver </w:t>
      </w:r>
      <w:hyperlink r:id="rId14">
        <w:r>
          <w:rPr>
            <w:b w:val="0"/>
            <w:i/>
            <w:color w:val="185C91"/>
            <w:u w:val="single"/>
          </w:rPr>
          <w:t>absceso cerebral</w:t>
        </w:r>
      </w:hyperlink>
      <w:r>
        <w:rPr>
          <w:b w:val="0"/>
          <w:i/>
        </w:rPr>
        <w:t xml:space="preserve"> e </w:t>
      </w:r>
      <w:hyperlink r:id="rId15">
        <w:r>
          <w:rPr>
            <w:b w:val="0"/>
            <w:i/>
            <w:color w:val="185C91"/>
            <w:u w:val="single"/>
          </w:rPr>
          <w:t>infecciones parameníngeas</w:t>
        </w:r>
      </w:hyperlink>
      <w:r>
        <w:rPr>
          <w:b w:val="0"/>
          <w:i/>
        </w:rPr>
        <w:t>, con sus pautas y jerarquías propias.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9. Criterios de ingreso</w:t>
      </w:r>
    </w:p>
    <w:p>
      <w:pPr>
        <w:pStyle w:val="ListParagraph"/>
        <w:keepLines/>
        <w:numPr>
          <w:ilvl w:val="0"/>
          <w:numId w:val="2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Todo paciente con MBA ingresa</w:t>
      </w:r>
      <w:r>
        <w:rPr>
          <w:rFonts w:ascii="Cambria" w:hAnsi="Cambria"/>
          <w:b w:val="0"/>
          <w:i w:val="0"/>
          <w:color w:val="000000"/>
        </w:rPr>
        <w:t xml:space="preserve"> (SEMES 2012).</w:t>
      </w:r>
    </w:p>
    <w:p>
      <w:pPr>
        <w:pStyle w:val="ListParagraph"/>
        <w:keepLines/>
        <w:numPr>
          <w:ilvl w:val="0"/>
          <w:numId w:val="2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UCI</w:t>
      </w:r>
      <w:r>
        <w:rPr>
          <w:rFonts w:ascii="Cambria" w:hAnsi="Cambria"/>
          <w:b w:val="0"/>
          <w:i w:val="0"/>
          <w:color w:val="000000"/>
        </w:rPr>
        <w:t xml:space="preserve">: deterioro neurológico o </w:t>
      </w:r>
      <w:r>
        <w:rPr>
          <w:rFonts w:ascii="Cambria" w:hAnsi="Cambria"/>
          <w:b/>
          <w:i w:val="0"/>
          <w:color w:val="000000"/>
        </w:rPr>
        <w:t>GCS &lt;11</w:t>
      </w:r>
      <w:r>
        <w:rPr>
          <w:rFonts w:ascii="Cambria" w:hAnsi="Cambria"/>
          <w:b w:val="0"/>
          <w:i w:val="0"/>
          <w:color w:val="000000"/>
        </w:rPr>
        <w:t xml:space="preserve">, crisis, </w:t>
      </w:r>
      <w:r>
        <w:rPr>
          <w:rFonts w:ascii="Cambria" w:hAnsi="Cambria"/>
          <w:b/>
          <w:i w:val="0"/>
          <w:color w:val="000000"/>
        </w:rPr>
        <w:t>shock séptico</w:t>
      </w:r>
      <w:r>
        <w:rPr>
          <w:rFonts w:ascii="Cambria" w:hAnsi="Cambria"/>
          <w:b w:val="0"/>
          <w:i w:val="0"/>
          <w:color w:val="000000"/>
        </w:rPr>
        <w:t>, CID, signos de HTIC o necesidad de intubación y ventilación mecánica (SEMES 2012).</w:t>
      </w:r>
    </w:p>
    <w:p>
      <w:pPr>
        <w:pStyle w:val="ListParagraph"/>
        <w:keepNext/>
        <w:keepLines/>
        <w:numPr>
          <w:ilvl w:val="0"/>
          <w:numId w:val="28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Observación en urgencias</w:t>
      </w:r>
      <w:r>
        <w:rPr>
          <w:rFonts w:ascii="Cambria" w:hAnsi="Cambria"/>
          <w:b w:val="0"/>
          <w:i w:val="0"/>
          <w:color w:val="000000"/>
        </w:rPr>
        <w:t xml:space="preserve"> (SEMES 2012):</w:t>
      </w:r>
    </w:p>
    <w:p>
      <w:pPr>
        <w:pStyle w:val="ListParagraph"/>
        <w:keepLines/>
        <w:numPr>
          <w:ilvl w:val="0"/>
          <w:numId w:val="29"/>
        </w:numPr>
        <w:spacing w:after="4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 xml:space="preserve">LCR no concluyente: vigilancia y </w:t>
      </w:r>
      <w:r>
        <w:rPr>
          <w:rFonts w:ascii="Cambria" w:hAnsi="Cambria"/>
          <w:b/>
          <w:i w:val="0"/>
          <w:color w:val="000000"/>
        </w:rPr>
        <w:t>repetir la PL a las 8‑12 h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29"/>
        </w:numPr>
        <w:spacing w:after="4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Síndrome meníngeo sin diagnóstico confirmado, con estabilidad hemodinámica y neurológica.</w:t>
      </w:r>
    </w:p>
    <w:p>
      <w:pPr>
        <w:pStyle w:val="ListParagraph"/>
        <w:keepLines/>
        <w:numPr>
          <w:ilvl w:val="0"/>
          <w:numId w:val="29"/>
        </w:numPr>
        <w:spacing w:after="4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Tras una PL en urgencias, 4‑8 h de observación antes del alta, las 2 primeras en decúbito.</w:t>
      </w:r>
    </w:p>
    <w:p>
      <w:pPr>
        <w:pStyle w:val="ListParagraph"/>
        <w:keepLines/>
        <w:numPr>
          <w:ilvl w:val="0"/>
          <w:numId w:val="28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Sospecha de meningitis vírica: observación si el diagnóstico es seguro y la situación clínica es buena (SEMES 2012). Si persiste la sospecha de MBA, iniciar el tratamiento empírico sin demoras y consultar con Infecciosas (ESCMID 2016; NICE 1.6.8).</w:t>
      </w:r>
    </w:p>
    <w:p>
      <w:pPr>
        <w:pStyle w:val="ListParagraph"/>
        <w:keepLines/>
        <w:numPr>
          <w:ilvl w:val="0"/>
          <w:numId w:val="28"/>
        </w:numPr>
        <w:spacing w:after="80"/>
        <w:contextualSpacing w:val="0"/>
        <w:jc w:val="both"/>
      </w:pPr>
      <w:r>
        <w:rPr>
          <w:rFonts w:ascii="Cambria" w:hAnsi="Cambria"/>
          <w:b w:val="0"/>
          <w:i w:val="0"/>
          <w:color w:val="000000"/>
        </w:rPr>
        <w:t>Si se le da el alta con un diagnóstico no confirmado: explicar qué síntomas vigilar y pedirle que vuelva si aparecen síntomas nuevos, si un exantema deja de desaparecer a la presión o si empeora (NICE 1.1.16, 1.3.2).</w:t>
      </w:r>
    </w:p>
    <w:p>
      <w:pPr>
        <w:pStyle w:val="Heading1"/>
        <w:keepLines/>
        <w:pageBreakBefore w:val="0"/>
      </w:pPr>
      <w:r>
        <w:rPr>
          <w:rFonts w:ascii="Calibri" w:hAnsi="Calibri"/>
          <w:b/>
          <w:i w:val="0"/>
          <w:color w:val="000000"/>
        </w:rPr>
        <w:t>10. Profilaxis de contactos y salud pública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Avisar a Salud Pública (Sanidad) y a Medicina Preventiva</w:t>
      </w:r>
      <w:r>
        <w:rPr>
          <w:rFonts w:ascii="Cambria" w:hAnsi="Cambria"/>
          <w:b w:val="0"/>
          <w:i w:val="0"/>
          <w:color w:val="000000"/>
        </w:rPr>
        <w:t xml:space="preserve"> ante toda MBA, sobre todo si se sospecha meningococo (SEMES 2012).</w:t>
      </w:r>
    </w:p>
    <w:p>
      <w:pPr>
        <w:keepNext/>
        <w:keepLines/>
        <w:jc w:val="both"/>
      </w:pPr>
      <w:r>
        <w:rPr>
          <w:rFonts w:ascii="Cambria" w:hAnsi="Cambria"/>
          <w:b/>
          <w:i w:val="0"/>
          <w:color w:val="000000"/>
        </w:rPr>
        <w:t>¿A quién? (meningococo)</w:t>
      </w:r>
      <w:r>
        <w:rPr>
          <w:rFonts w:ascii="Cambria" w:hAnsi="Cambria"/>
          <w:b w:val="0"/>
          <w:i w:val="0"/>
          <w:color w:val="000000"/>
        </w:rPr>
        <w:t xml:space="preserve"> (ESCMID, grado A; SEMES 2012):</w:t>
      </w:r>
    </w:p>
    <w:p>
      <w:pPr>
        <w:pStyle w:val="ListParagraph"/>
        <w:keepLines/>
        <w:numPr>
          <w:ilvl w:val="0"/>
          <w:numId w:val="3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Convivientes y contactos íntimos o diarios</w:t>
      </w:r>
      <w:r>
        <w:rPr>
          <w:rFonts w:ascii="Cambria" w:hAnsi="Cambria"/>
          <w:b w:val="0"/>
          <w:i w:val="0"/>
          <w:color w:val="000000"/>
        </w:rPr>
        <w:t>: domicilio, habitación, guardería.</w:t>
      </w:r>
    </w:p>
    <w:p>
      <w:pPr>
        <w:pStyle w:val="ListParagraph"/>
        <w:keepLines/>
        <w:numPr>
          <w:ilvl w:val="0"/>
          <w:numId w:val="3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Cualquiera expuesto directamente a secreciones orales</w:t>
      </w:r>
      <w:r>
        <w:rPr>
          <w:rFonts w:ascii="Cambria" w:hAnsi="Cambria"/>
          <w:b w:val="0"/>
          <w:i w:val="0"/>
          <w:color w:val="000000"/>
        </w:rPr>
        <w:t xml:space="preserve"> del paciente.</w:t>
      </w:r>
    </w:p>
    <w:p>
      <w:pPr>
        <w:pStyle w:val="ListParagraph"/>
        <w:keepLines/>
        <w:numPr>
          <w:ilvl w:val="0"/>
          <w:numId w:val="3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No convivientes con contacto muy próximo y repetido</w:t>
      </w:r>
      <w:r>
        <w:rPr>
          <w:rFonts w:ascii="Cambria" w:hAnsi="Cambria"/>
          <w:b w:val="0"/>
          <w:i w:val="0"/>
          <w:color w:val="000000"/>
        </w:rPr>
        <w:t>: &gt;4 h/día, o haber dormido en la misma habitación en los 10 días previos.</w:t>
      </w:r>
    </w:p>
    <w:p>
      <w:pPr>
        <w:pStyle w:val="ListParagraph"/>
        <w:keepLines/>
        <w:numPr>
          <w:ilvl w:val="0"/>
          <w:numId w:val="30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Personal sanitario expuesto a secreciones nasofaríngeas</w:t>
      </w:r>
      <w:r>
        <w:rPr>
          <w:rFonts w:ascii="Cambria" w:hAnsi="Cambria"/>
          <w:b w:val="0"/>
          <w:i w:val="0"/>
          <w:color w:val="000000"/>
        </w:rPr>
        <w:t xml:space="preserve"> (intubación o aspiración sin protección) o al LCR del paciente.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→ QUIMIOPROFILAXIS DEL MENINGOCOCO</w:t>
      </w:r>
      <w:r>
        <w:rPr>
          <w:rFonts w:ascii="Cambria" w:hAnsi="Cambria"/>
          <w:b w:val="0"/>
          <w:i w:val="0"/>
          <w:color w:val="000000"/>
        </w:rPr>
        <w:t xml:space="preserve"> (SEN 2025, tabla 6; ESCMID, grado A), </w:t>
      </w:r>
      <w:r>
        <w:rPr>
          <w:rFonts w:ascii="Cambria" w:hAnsi="Cambria"/>
          <w:b/>
          <w:i w:val="0"/>
          <w:color w:val="000000"/>
        </w:rPr>
        <w:t>en las primeras 24 h</w:t>
      </w:r>
      <w:r>
        <w:rPr>
          <w:rFonts w:ascii="Cambria" w:hAnsi="Cambria"/>
          <w:b w:val="0"/>
          <w:i w:val="0"/>
          <w:color w:val="000000"/>
        </w:rPr>
        <w:t xml:space="preserve"> (ESCMID; SEMES 2012):</w:t>
      </w:r>
    </w:p>
    <w:p>
      <w:pPr>
        <w:pStyle w:val="ListParagraph"/>
        <w:keepLines/>
        <w:numPr>
          <w:ilvl w:val="0"/>
          <w:numId w:val="31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CIPROFLOXACINO 500 mg VO en dosis única</w:t>
      </w:r>
      <w:r>
        <w:rPr>
          <w:rFonts w:ascii="Cambria" w:hAnsi="Cambria"/>
          <w:b w:val="0"/>
          <w:i w:val="0"/>
          <w:color w:val="000000"/>
        </w:rPr>
        <w:t xml:space="preserve"> (en &gt;16 años; </w:t>
      </w:r>
      <w:r>
        <w:rPr>
          <w:rFonts w:ascii="Cambria" w:hAnsi="Cambria"/>
          <w:b w:val="0"/>
          <w:i/>
          <w:color w:val="000000"/>
        </w:rPr>
        <w:t>no recomendable en la embarazada</w:t>
      </w:r>
      <w:r>
        <w:rPr>
          <w:rFonts w:ascii="Cambria" w:hAnsi="Cambria"/>
          <w:b w:val="0"/>
          <w:i w:val="0"/>
          <w:color w:val="000000"/>
        </w:rPr>
        <w:t>), o</w:t>
      </w:r>
    </w:p>
    <w:p>
      <w:pPr>
        <w:pStyle w:val="ListParagraph"/>
        <w:keepLines/>
        <w:numPr>
          <w:ilvl w:val="0"/>
          <w:numId w:val="31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CEFTRIAXONA 250 mg IM en dosis única</w:t>
      </w:r>
      <w:r>
        <w:rPr>
          <w:rFonts w:ascii="Cambria" w:hAnsi="Cambria"/>
          <w:b w:val="0"/>
          <w:i w:val="0"/>
          <w:color w:val="000000"/>
        </w:rPr>
        <w:t xml:space="preserve"> (</w:t>
      </w:r>
      <w:r>
        <w:rPr>
          <w:rFonts w:ascii="Cambria" w:hAnsi="Cambria"/>
          <w:b/>
          <w:i w:val="0"/>
          <w:color w:val="000000"/>
        </w:rPr>
        <w:t>de elección en la embarazada</w:t>
      </w:r>
      <w:r>
        <w:rPr>
          <w:rFonts w:ascii="Cambria" w:hAnsi="Cambria"/>
          <w:b w:val="0"/>
          <w:i w:val="0"/>
          <w:color w:val="000000"/>
        </w:rPr>
        <w:t>; 125 mg en &lt;16 años).</w:t>
      </w:r>
    </w:p>
    <w:p>
      <w:pPr>
        <w:pStyle w:val="ListParagraph"/>
        <w:keepLines/>
        <w:numPr>
          <w:ilvl w:val="0"/>
          <w:numId w:val="31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RIFAMPICINA 600 mg VO cada 12 h durante 2 días</w:t>
      </w:r>
      <w:r>
        <w:rPr>
          <w:rFonts w:ascii="Cambria" w:hAnsi="Cambria"/>
          <w:b w:val="0"/>
          <w:i w:val="0"/>
          <w:color w:val="000000"/>
        </w:rPr>
        <w:t xml:space="preserve"> (SEN 2025; ESCMID; SEMES 2012). </w:t>
      </w:r>
      <w:r>
        <w:rPr>
          <w:rFonts w:ascii="Cambria" w:hAnsi="Cambria"/>
          <w:b w:val="0"/>
          <w:i w:val="0"/>
          <w:color w:val="000000"/>
        </w:rPr>
        <w:t>En el embarazo, solo a partir del primer trimestre (SEN 2025; ESCMID; la SEMES 2012 la contraindicaba en toda la gestación). La SEMES 2012 la contraindica también en la hepatopatía grave, el alcoholismo, la porfiria, la hipersensibilidad a la rifampicina y si se toman anticonceptivos orales.</w:t>
      </w:r>
    </w:p>
    <w:p>
      <w:pPr>
        <w:pStyle w:val="ListParagraph"/>
        <w:keepLines w:val="0"/>
        <w:numPr>
          <w:ilvl w:val="0"/>
          <w:numId w:val="31"/>
        </w:numPr>
        <w:spacing w:after="80"/>
        <w:contextualSpacing w:val="0"/>
        <w:jc w:val="both"/>
      </w:pPr>
      <w:r>
        <w:rPr>
          <w:b/>
          <w:i w:val="0"/>
        </w:rPr>
        <w:t>El propio paciente</w:t>
      </w:r>
      <w:r>
        <w:rPr>
          <w:b w:val="0"/>
          <w:i w:val="0"/>
        </w:rPr>
        <w:t xml:space="preserve">: si se ha tratado con </w:t>
      </w:r>
      <w:r>
        <w:rPr>
          <w:b/>
          <w:i w:val="0"/>
        </w:rPr>
        <w:t>penicilina</w:t>
      </w:r>
      <w:r>
        <w:rPr>
          <w:b w:val="0"/>
          <w:i w:val="0"/>
        </w:rPr>
        <w:t xml:space="preserve">, necesita una pauta erradicadora antes del alta; </w:t>
      </w:r>
      <w:r>
        <w:rPr>
          <w:b/>
          <w:i w:val="0"/>
        </w:rPr>
        <w:t>si ha recibido ceftriaxona IV, no</w:t>
      </w:r>
      <w:r>
        <w:rPr>
          <w:b w:val="0"/>
          <w:i w:val="0"/>
        </w:rPr>
        <w:t xml:space="preserve"> (ESCMID). </w:t>
      </w:r>
      <w:r>
        <w:rPr>
          <w:b w:val="0"/>
          <w:i/>
        </w:rPr>
        <w:t>Mensa 2026, extracto aportado por el usuario, coincide en que la penicilina no elimina N. meningitidis de la faringe.</w:t>
      </w:r>
    </w:p>
    <w:p>
      <w:pPr>
        <w:keepLines/>
        <w:jc w:val="both"/>
      </w:pPr>
      <w:r>
        <w:rPr>
          <w:rFonts w:ascii="Cambria" w:hAnsi="Cambria"/>
          <w:b w:val="0"/>
          <w:i w:val="0"/>
          <w:color w:val="000000"/>
        </w:rPr>
        <w:t xml:space="preserve">Evidencia (resumida por la ESCMID): según la revisión Cochrane, </w:t>
      </w:r>
      <w:r>
        <w:rPr>
          <w:rFonts w:ascii="Cambria" w:hAnsi="Cambria"/>
          <w:b/>
          <w:i w:val="0"/>
          <w:color w:val="000000"/>
        </w:rPr>
        <w:t>ceftriaxona, rifampicina y ciprofloxacino son los más eficaces</w:t>
      </w:r>
      <w:r>
        <w:rPr>
          <w:rFonts w:ascii="Cambria" w:hAnsi="Cambria"/>
          <w:b w:val="0"/>
          <w:i w:val="0"/>
          <w:color w:val="000000"/>
        </w:rPr>
        <w:t xml:space="preserve"> para prevenir casos secundarios y erradicar el meningococo de la nasofaringe. El riesgo de enfermedad meningocócica de los contactos cercanos está multiplicado por </w:t>
      </w:r>
      <w:r>
        <w:rPr>
          <w:rFonts w:ascii="Cambria" w:hAnsi="Cambria"/>
          <w:b/>
          <w:i w:val="0"/>
          <w:color w:val="000000"/>
        </w:rPr>
        <w:t>400‑800</w:t>
      </w:r>
      <w:r>
        <w:rPr>
          <w:rFonts w:ascii="Cambria" w:hAnsi="Cambria"/>
          <w:b w:val="0"/>
          <w:i w:val="0"/>
          <w:color w:val="000000"/>
        </w:rPr>
        <w:t>, sobre todo en los convivientes.</w:t>
      </w:r>
    </w:p>
    <w:p>
      <w:pPr>
        <w:keepLines/>
        <w:jc w:val="both"/>
      </w:pPr>
      <w:r>
        <w:rPr>
          <w:rFonts w:ascii="Cambria" w:hAnsi="Cambria"/>
          <w:b/>
          <w:i/>
          <w:color w:val="000000"/>
        </w:rPr>
        <w:t>H. influenzae</w:t>
      </w:r>
      <w:r>
        <w:rPr>
          <w:rFonts w:ascii="Cambria" w:hAnsi="Cambria"/>
          <w:b/>
          <w:i w:val="0"/>
          <w:color w:val="000000"/>
        </w:rPr>
        <w:t xml:space="preserve"> tipo b</w:t>
      </w:r>
      <w:r>
        <w:rPr>
          <w:rFonts w:ascii="Cambria" w:hAnsi="Cambria"/>
          <w:b w:val="0"/>
          <w:i w:val="0"/>
          <w:color w:val="000000"/>
        </w:rPr>
        <w:t xml:space="preserve">: </w:t>
      </w:r>
      <w:r>
        <w:rPr>
          <w:rFonts w:ascii="Cambria" w:hAnsi="Cambria"/>
          <w:b/>
          <w:i w:val="0"/>
          <w:color w:val="000000"/>
        </w:rPr>
        <w:t>RIFAMPICINA AL CASO ÍNDICE Y A SUS CONVIVIENTES</w:t>
      </w:r>
      <w:r>
        <w:rPr>
          <w:rFonts w:ascii="Cambria" w:hAnsi="Cambria"/>
          <w:b w:val="0"/>
          <w:i w:val="0"/>
          <w:color w:val="000000"/>
        </w:rPr>
        <w:t xml:space="preserve"> (SEN 2025), </w:t>
      </w:r>
      <w:r>
        <w:rPr>
          <w:rFonts w:ascii="Cambria" w:hAnsi="Cambria"/>
          <w:b/>
          <w:i w:val="0"/>
          <w:color w:val="000000"/>
        </w:rPr>
        <w:t>600 mg VO cada 24 h durante 4 días</w:t>
      </w:r>
      <w:r>
        <w:rPr>
          <w:rFonts w:ascii="Cambria" w:hAnsi="Cambria"/>
          <w:b w:val="0"/>
          <w:i w:val="0"/>
          <w:color w:val="000000"/>
        </w:rPr>
        <w:t xml:space="preserve"> (dosis de la SEMES 2012). </w:t>
      </w:r>
      <w:r>
        <w:rPr>
          <w:rFonts w:ascii="Cambria" w:hAnsi="Cambria"/>
          <w:b w:val="0"/>
          <w:i w:val="0"/>
          <w:color w:val="000000"/>
        </w:rPr>
        <w:t>La SEMES 2012 la limitaba a los convivientes cuando en el domicilio hay niños &lt;6 años no vacunados, o cuando la persona trabaja con niños de esa edad; manda la SEN 2025, que no pone esa condición.</w:t>
      </w:r>
    </w:p>
    <w:p>
      <w:pPr>
        <w:keepLines/>
        <w:jc w:val="both"/>
      </w:pPr>
      <w:r>
        <w:rPr>
          <w:rFonts w:ascii="Cambria" w:hAnsi="Cambria"/>
          <w:b/>
          <w:i w:val="0"/>
          <w:color w:val="000000"/>
        </w:rPr>
        <w:t>Neumococo</w:t>
      </w:r>
      <w:r>
        <w:rPr>
          <w:rFonts w:ascii="Cambria" w:hAnsi="Cambria"/>
          <w:b w:val="0"/>
          <w:i w:val="0"/>
          <w:color w:val="000000"/>
        </w:rPr>
        <w:t>: no precisa profilaxis de contactos.</w:t>
      </w:r>
    </w:p>
    <w:p>
      <w:pPr>
        <w:pStyle w:val="Heading1"/>
        <w:keepNext/>
        <w:keepLines/>
        <w:pageBreakBefore w:val="0"/>
      </w:pPr>
      <w:r>
        <w:rPr>
          <w:i w:val="0"/>
        </w:rPr>
        <w:t>11. Estudio de predisposición, vacunación y seguimiento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Foco ORL crónico</w:t>
      </w:r>
      <w:r>
        <w:rPr>
          <w:b w:val="0"/>
          <w:i w:val="0"/>
        </w:rPr>
        <w:t xml:space="preserve">: tras la curación del episodio agudo, </w:t>
      </w:r>
      <w:r>
        <w:rPr>
          <w:b/>
          <w:i w:val="0"/>
        </w:rPr>
        <w:t>considerar la necesidad de tratamiento quirúrgico</w:t>
      </w:r>
      <w:r>
        <w:rPr>
          <w:b w:val="0"/>
          <w:i w:val="0"/>
        </w:rPr>
        <w:t xml:space="preserve"> de mastoiditis, otitis media o sinusitis crónicas como posible origen de la meningitis (Mensa 2026, extracto aportado por el usuario).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Preguntar</w:t>
      </w:r>
      <w:r>
        <w:rPr>
          <w:b w:val="0"/>
          <w:i w:val="0"/>
        </w:rPr>
        <w:t xml:space="preserve"> por traumatismo craneal, cirugía o fístula de LCR, vacunación y fármacos inmunosupresores, incluidos los </w:t>
      </w:r>
      <w:r>
        <w:rPr>
          <w:b/>
          <w:i w:val="0"/>
        </w:rPr>
        <w:t>inhibidores del complemento</w:t>
      </w:r>
      <w:r>
        <w:rPr>
          <w:b w:val="0"/>
          <w:i w:val="0"/>
        </w:rPr>
        <w:t xml:space="preserve"> (NICE 1.10.5).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Meningitis recurrente</w:t>
      </w:r>
      <w:r>
        <w:rPr>
          <w:b w:val="0"/>
          <w:i w:val="0"/>
        </w:rPr>
        <w:t>: pedir valoración radiológica especializada para buscar una fístula de LCR, hacer serología de VIH y estudiar la inmunidad (NICE 1.14).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Vacuna antineumocócica tras una meningitis neumocócica</w:t>
      </w:r>
      <w:r>
        <w:rPr>
          <w:b w:val="0"/>
          <w:i w:val="0"/>
        </w:rPr>
        <w:t xml:space="preserve"> y en la fístula de LCR, junto con la reparación de la duramadre (ESCMID, grado B). En la fístula, valorar también vacunar frente a Hib y meningococo.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Vacunación del adulto</w:t>
      </w:r>
      <w:r>
        <w:rPr>
          <w:b w:val="0"/>
          <w:i w:val="0"/>
        </w:rPr>
        <w:t xml:space="preserve"> (SEN 2025): en </w:t>
      </w:r>
      <w:r>
        <w:rPr>
          <w:b/>
          <w:i w:val="0"/>
        </w:rPr>
        <w:t>≥65 años, asplenia, enfermedades crónicas y VIH</w:t>
      </w:r>
      <w:r>
        <w:rPr>
          <w:b w:val="0"/>
          <w:i w:val="0"/>
        </w:rPr>
        <w:t xml:space="preserve">, vacuna antineumocócica </w:t>
      </w:r>
      <w:r>
        <w:rPr>
          <w:b/>
          <w:i w:val="0"/>
        </w:rPr>
        <w:t>conjugada de 20 serotipos en dosis única</w:t>
      </w:r>
      <w:r>
        <w:rPr>
          <w:b w:val="0"/>
          <w:i w:val="0"/>
        </w:rPr>
        <w:t xml:space="preserve">, o la </w:t>
      </w:r>
      <w:r>
        <w:rPr>
          <w:b/>
          <w:i w:val="0"/>
        </w:rPr>
        <w:t>conjugada de 13 seguida de la polisacárida de 23</w:t>
      </w:r>
      <w:r>
        <w:rPr>
          <w:b w:val="0"/>
          <w:i w:val="0"/>
        </w:rPr>
        <w:t xml:space="preserve">, según el protocolo de cada comunidad autónoma. Frente al meningococo hay vacunas contra el </w:t>
      </w:r>
      <w:r>
        <w:rPr>
          <w:b/>
          <w:i w:val="0"/>
        </w:rPr>
        <w:t>C</w:t>
      </w:r>
      <w:r>
        <w:rPr>
          <w:b w:val="0"/>
          <w:i w:val="0"/>
        </w:rPr>
        <w:t xml:space="preserve">, la </w:t>
      </w:r>
      <w:r>
        <w:rPr>
          <w:b/>
          <w:i w:val="0"/>
        </w:rPr>
        <w:t>tetravalente ACWY</w:t>
      </w:r>
      <w:r>
        <w:rPr>
          <w:b w:val="0"/>
          <w:i w:val="0"/>
        </w:rPr>
        <w:t xml:space="preserve"> (a los 12 años en el calendario español desde 2019) y dos contra el </w:t>
      </w:r>
      <w:r>
        <w:rPr>
          <w:b/>
          <w:i w:val="0"/>
        </w:rPr>
        <w:t>B</w:t>
      </w:r>
      <w:r>
        <w:rPr>
          <w:b w:val="0"/>
          <w:i w:val="0"/>
        </w:rPr>
        <w:t xml:space="preserve"> (4CMenB y MenB-fHbp). </w:t>
      </w:r>
      <w:r>
        <w:rPr>
          <w:b w:val="0"/>
          <w:i/>
        </w:rPr>
        <w:t>En Europa, los serogrupos B e Y son hoy los más frecuentes. La SEN 2025 remite al Comité Asesor de Vacunas para las recomendaciones actualizadas.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AUDIOMETRÍA durante el ingreso</w:t>
      </w:r>
      <w:r>
        <w:rPr>
          <w:b w:val="0"/>
          <w:i w:val="0"/>
        </w:rPr>
        <w:t xml:space="preserve"> (ESCMID, grado A), o en las </w:t>
      </w:r>
      <w:r>
        <w:rPr>
          <w:b/>
          <w:i w:val="0"/>
        </w:rPr>
        <w:t>4 semanas siguientes</w:t>
      </w:r>
      <w:r>
        <w:rPr>
          <w:b w:val="0"/>
          <w:i w:val="0"/>
        </w:rPr>
        <w:t xml:space="preserve"> a que el paciente esté en condiciones de hacerla, preferiblemente antes del alta (NICE 1.12.7). Si hay hipoacusia, derivar </w:t>
      </w:r>
      <w:r>
        <w:rPr>
          <w:b/>
          <w:i w:val="0"/>
        </w:rPr>
        <w:t>de forma urgente</w:t>
      </w:r>
      <w:r>
        <w:rPr>
          <w:b w:val="0"/>
          <w:i w:val="0"/>
        </w:rPr>
        <w:t xml:space="preserve"> a ORL de un centro con implante coclear: actuar pronto evita que la cóclea se osifique y deje de servir el implante (ESCMID).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Revisión por un médico del hospital a las 4‑6 semanas del alta</w:t>
      </w:r>
      <w:r>
        <w:rPr>
          <w:b w:val="0"/>
          <w:i w:val="0"/>
        </w:rPr>
        <w:t xml:space="preserve"> (NICE 1.13.2), y </w:t>
      </w:r>
      <w:r>
        <w:rPr>
          <w:b/>
          <w:i w:val="0"/>
        </w:rPr>
        <w:t>revisión de los antiepilépticos a los 3 meses</w:t>
      </w:r>
      <w:r>
        <w:rPr>
          <w:b w:val="0"/>
          <w:i w:val="0"/>
        </w:rPr>
        <w:t xml:space="preserve"> si los toma (NICE 1.12.4).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Evaluación neuropsicológica</w:t>
      </w:r>
      <w:r>
        <w:rPr>
          <w:b w:val="0"/>
          <w:i w:val="0"/>
        </w:rPr>
        <w:t xml:space="preserve"> solo si se sospecha deterioro cognitivo (ESCMID, grado B). Informar al paciente de las posibles secuelas: dificultad de concentración, enlentecimiento y problemas de memoria (ESCMID).</w:t>
      </w:r>
    </w:p>
    <w:p>
      <w:pPr>
        <w:pStyle w:val="ListParagraph"/>
        <w:keepLines w:val="0"/>
        <w:numPr>
          <w:ilvl w:val="0"/>
          <w:numId w:val="26"/>
        </w:numPr>
        <w:spacing w:after="80"/>
        <w:contextualSpacing w:val="0"/>
        <w:jc w:val="both"/>
      </w:pPr>
      <w:r>
        <w:rPr>
          <w:b/>
          <w:i w:val="0"/>
        </w:rPr>
        <w:t>Secuelas persistentes</w:t>
      </w:r>
      <w:r>
        <w:rPr>
          <w:b w:val="0"/>
          <w:i w:val="0"/>
        </w:rPr>
        <w:t xml:space="preserve">: SEN 2025 recoge secuelas auditivas o vestibulares y alteraciones cognitivas tardías. </w:t>
      </w:r>
      <w:r>
        <w:rPr>
          <w:b w:val="0"/>
          <w:i/>
        </w:rPr>
        <w:t xml:space="preserve">Mensa 2026, extracto aportado por el usuario, enumera pérdida auditiva, déficits focales, secuelas psicológicas y neurocognitivas, crisis, hidrocefalia, trastornos del habla y alteraciones visuales. Aproximadamente el </w:t>
      </w:r>
      <w:r>
        <w:rPr>
          <w:b/>
          <w:i/>
        </w:rPr>
        <w:t>30 % de los adultos supervivientes</w:t>
      </w:r>
      <w:r>
        <w:rPr>
          <w:b w:val="0"/>
          <w:i/>
        </w:rPr>
        <w:t xml:space="preserve"> presenta déficit focal, hipoacusia, epilepsia o deterioro cognitivo que persiste </w:t>
      </w:r>
      <w:r>
        <w:rPr>
          <w:b/>
          <w:i/>
        </w:rPr>
        <w:t>&gt;3 meses tras el alta</w:t>
      </w:r>
      <w:r>
        <w:rPr>
          <w:b w:val="0"/>
          <w:i/>
        </w:rPr>
        <w:t>. Es una estimación de secuelas, no un plazo para demorar el seguimiento. La recomendación de estudios auditivos poscuración que el extracto formula para el niño no se extrapola: la audiometría del adulto se fundamenta arriba en ESCMID y NICE.</w:t>
      </w:r>
    </w:p>
    <w:p>
      <w:pPr>
        <w:pStyle w:val="Heading1"/>
        <w:keepLines/>
      </w:pPr>
      <w:r>
        <w:rPr>
          <w:rFonts w:ascii="Calibri" w:hAnsi="Calibri"/>
          <w:b/>
          <w:i w:val="0"/>
          <w:color w:val="000000"/>
        </w:rPr>
        <w:t>12. Notas para el contexto español y europeo</w:t>
      </w:r>
    </w:p>
    <w:p>
      <w:pPr>
        <w:pStyle w:val="ListParagraph"/>
        <w:keepLines/>
        <w:numPr>
          <w:ilvl w:val="0"/>
          <w:numId w:val="3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VANCOMICINA EMPÍRICA: SÍ EN ESPAÑA.</w:t>
      </w:r>
      <w:r>
        <w:rPr>
          <w:rFonts w:ascii="Cambria" w:hAnsi="Cambria"/>
          <w:b w:val="0"/>
          <w:i w:val="0"/>
          <w:color w:val="000000"/>
        </w:rPr>
        <w:t xml:space="preserve"> La ESCMID adapta el tratamiento empírico a la resistencia local y sitúa a </w:t>
      </w:r>
      <w:r>
        <w:rPr>
          <w:rFonts w:ascii="Cambria" w:hAnsi="Cambria"/>
          <w:b/>
          <w:i w:val="0"/>
          <w:color w:val="000000"/>
        </w:rPr>
        <w:t>España (con Francia y Rumanía) entre los países con un 20‑50 % de neumococos con sensibilidad disminuida a penicilina</w:t>
      </w:r>
      <w:r>
        <w:rPr>
          <w:rFonts w:ascii="Cambria" w:hAnsi="Cambria"/>
          <w:b w:val="0"/>
          <w:i w:val="0"/>
          <w:color w:val="000000"/>
        </w:rPr>
        <w:t xml:space="preserve">, frente a &lt;1 % en Países Bajos, Inglaterra, Dinamarca o Alemania (ECDC 2011). La </w:t>
      </w:r>
      <w:r>
        <w:rPr>
          <w:rFonts w:ascii="Cambria" w:hAnsi="Cambria"/>
          <w:b/>
          <w:i w:val="0"/>
          <w:color w:val="000000"/>
        </w:rPr>
        <w:t>SEMES 2012</w:t>
      </w:r>
      <w:r>
        <w:rPr>
          <w:rFonts w:ascii="Cambria" w:hAnsi="Cambria"/>
          <w:b w:val="0"/>
          <w:i w:val="0"/>
          <w:color w:val="000000"/>
        </w:rPr>
        <w:t xml:space="preserve"> ya indicaba añadir vancomicina donde hay muchas resistencias a penicilinas y C3G, la </w:t>
      </w:r>
      <w:r>
        <w:rPr>
          <w:rFonts w:ascii="Cambria" w:hAnsi="Cambria"/>
          <w:b/>
          <w:i w:val="0"/>
          <w:color w:val="000000"/>
        </w:rPr>
        <w:t>SEN 2025</w:t>
      </w:r>
      <w:r>
        <w:rPr>
          <w:rFonts w:ascii="Cambria" w:hAnsi="Cambria"/>
          <w:b w:val="0"/>
          <w:i w:val="0"/>
          <w:color w:val="000000"/>
        </w:rPr>
        <w:t xml:space="preserve"> la justifica por la frecuencia creciente del neumococo resistente. La </w:t>
      </w:r>
      <w:r>
        <w:rPr>
          <w:rFonts w:ascii="Cambria" w:hAnsi="Cambria"/>
          <w:b/>
          <w:i w:val="0"/>
          <w:color w:val="000000"/>
        </w:rPr>
        <w:t>NICE</w:t>
      </w:r>
      <w:r>
        <w:rPr>
          <w:rFonts w:ascii="Cambria" w:hAnsi="Cambria"/>
          <w:b w:val="0"/>
          <w:i w:val="0"/>
          <w:color w:val="000000"/>
        </w:rPr>
        <w:t xml:space="preserve"> no la incluye porque en Reino Unido la resistencia es baja. </w:t>
      </w:r>
      <w:r>
        <w:rPr>
          <w:rFonts w:ascii="Cambria" w:hAnsi="Cambria"/>
          <w:b w:val="0"/>
          <w:i w:val="0"/>
          <w:color w:val="000000"/>
        </w:rPr>
        <w:t>Las fuentes con datos de resistencia no aportan datos españoles de resistencia más recientes que los del ECDC de 2011.</w:t>
      </w:r>
    </w:p>
    <w:p>
      <w:pPr>
        <w:pStyle w:val="ListParagraph"/>
        <w:keepLines/>
        <w:numPr>
          <w:ilvl w:val="0"/>
          <w:numId w:val="3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Penicilina</w:t>
      </w:r>
      <w:r>
        <w:rPr>
          <w:rFonts w:ascii="Cambria" w:hAnsi="Cambria"/>
          <w:b w:val="0"/>
          <w:i w:val="0"/>
          <w:color w:val="000000"/>
        </w:rPr>
        <w:t xml:space="preserve">: solo como tratamiento dirigido si la </w:t>
      </w:r>
      <w:r>
        <w:rPr>
          <w:rFonts w:ascii="Cambria" w:hAnsi="Cambria"/>
          <w:b/>
          <w:i w:val="0"/>
          <w:color w:val="000000"/>
        </w:rPr>
        <w:t>CMI de penicilina es &lt;0,1 µg/mL</w:t>
      </w:r>
      <w:r>
        <w:rPr>
          <w:rFonts w:ascii="Cambria" w:hAnsi="Cambria"/>
          <w:b w:val="0"/>
          <w:i w:val="0"/>
          <w:color w:val="000000"/>
        </w:rPr>
        <w:t xml:space="preserve"> (ESCMID).</w:t>
      </w:r>
    </w:p>
    <w:p>
      <w:pPr>
        <w:pStyle w:val="ListParagraph"/>
        <w:keepLines/>
        <w:numPr>
          <w:ilvl w:val="0"/>
          <w:numId w:val="3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Dosis de cefotaxima</w:t>
      </w:r>
      <w:r>
        <w:rPr>
          <w:rFonts w:ascii="Cambria" w:hAnsi="Cambria"/>
          <w:b w:val="0"/>
          <w:i w:val="0"/>
          <w:color w:val="000000"/>
        </w:rPr>
        <w:t>: 2 g cada 4‑6 h (ESCMID); 2‑3 g cada 6 h si el neumococo es resistente a C3G (ESCMID).</w:t>
      </w:r>
    </w:p>
    <w:p>
      <w:pPr>
        <w:pStyle w:val="ListParagraph"/>
        <w:keepLines/>
        <w:numPr>
          <w:ilvl w:val="0"/>
          <w:numId w:val="3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TC antes de la PL</w:t>
      </w:r>
      <w:r>
        <w:rPr>
          <w:rFonts w:ascii="Cambria" w:hAnsi="Cambria"/>
          <w:b w:val="0"/>
          <w:i w:val="0"/>
          <w:color w:val="000000"/>
        </w:rPr>
        <w:t xml:space="preserve">: la </w:t>
      </w:r>
      <w:r>
        <w:rPr>
          <w:rFonts w:ascii="Cambria" w:hAnsi="Cambria"/>
          <w:b/>
          <w:i w:val="0"/>
          <w:color w:val="000000"/>
        </w:rPr>
        <w:t>SEN 2025</w:t>
      </w:r>
      <w:r>
        <w:rPr>
          <w:rFonts w:ascii="Cambria" w:hAnsi="Cambria"/>
          <w:b w:val="0"/>
          <w:i w:val="0"/>
          <w:color w:val="000000"/>
        </w:rPr>
        <w:t xml:space="preserve"> la mantiene como recomendable pero </w:t>
      </w:r>
      <w:r>
        <w:rPr>
          <w:rFonts w:ascii="Cambria" w:hAnsi="Cambria"/>
          <w:b/>
          <w:i w:val="0"/>
          <w:color w:val="000000"/>
        </w:rPr>
        <w:t>solo obligatoria con criterios</w:t>
      </w:r>
      <w:r>
        <w:rPr>
          <w:rFonts w:ascii="Cambria" w:hAnsi="Cambria"/>
          <w:b w:val="0"/>
          <w:i w:val="0"/>
          <w:color w:val="000000"/>
        </w:rPr>
        <w:t xml:space="preserve">, más cerca de la ESCMID y la NICE, que la restringen porque retrasa el antibiótico. Si se hace, </w:t>
      </w:r>
      <w:r>
        <w:rPr>
          <w:rFonts w:ascii="Cambria" w:hAnsi="Cambria"/>
          <w:b/>
          <w:i w:val="0"/>
          <w:color w:val="000000"/>
        </w:rPr>
        <w:t>antibiótico primero</w:t>
      </w:r>
      <w:r>
        <w:rPr>
          <w:rFonts w:ascii="Cambria" w:hAnsi="Cambria"/>
          <w:b w:val="0"/>
          <w:i w:val="0"/>
          <w:color w:val="000000"/>
        </w:rPr>
        <w:t>.</w:t>
      </w:r>
    </w:p>
    <w:p>
      <w:pPr>
        <w:pStyle w:val="ListParagraph"/>
        <w:keepLines/>
        <w:numPr>
          <w:ilvl w:val="0"/>
          <w:numId w:val="3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Meningococo en España</w:t>
      </w:r>
      <w:r>
        <w:rPr>
          <w:rFonts w:ascii="Cambria" w:hAnsi="Cambria"/>
          <w:b w:val="0"/>
          <w:i w:val="0"/>
          <w:color w:val="000000"/>
        </w:rPr>
        <w:t xml:space="preserve"> (SEN 2025): la incidencia cayó más de un 50 % en 2020‑2022; los serogrupos B e Y son hoy los más frecuentes en Europa, y por eso la vacuna tetravalente ACWY ha sustituido a la del serogrupo C a los 12 años.</w:t>
      </w:r>
    </w:p>
    <w:p>
      <w:pPr>
        <w:pStyle w:val="ListParagraph"/>
        <w:keepLines/>
        <w:numPr>
          <w:ilvl w:val="0"/>
          <w:numId w:val="33"/>
        </w:numPr>
        <w:spacing w:after="80"/>
        <w:contextualSpacing w:val="0"/>
        <w:jc w:val="both"/>
      </w:pPr>
      <w:r>
        <w:rPr>
          <w:rFonts w:ascii="Cambria" w:hAnsi="Cambria"/>
          <w:b/>
          <w:i w:val="0"/>
          <w:color w:val="000000"/>
        </w:rPr>
        <w:t>Ceftriaxona y soluciones con calcio</w:t>
      </w:r>
      <w:r>
        <w:rPr>
          <w:rFonts w:ascii="Cambria" w:hAnsi="Cambria"/>
          <w:b w:val="0"/>
          <w:i w:val="0"/>
          <w:color w:val="000000"/>
        </w:rPr>
        <w:t>: son incompatibles (alerta de la MHRA citada por la NICE).</w:t>
      </w:r>
    </w:p>
    <w:p>
      <w:pPr>
        <w:pStyle w:val="Heading1"/>
        <w:keepLines/>
        <w:pageBreakBefore w:val="0"/>
      </w:pPr>
      <w:r>
        <w:rPr>
          <w:rFonts w:ascii="Calibri" w:hAnsi="Calibri"/>
          <w:b/>
          <w:i w:val="0"/>
          <w:color w:val="000000"/>
        </w:rPr>
        <w:t>Referencias</w:t>
      </w:r>
    </w:p>
    <w:p>
      <w:pPr>
        <w:pStyle w:val="ListParagraph"/>
        <w:keepNext/>
        <w:keepLines w:val="0"/>
        <w:numPr>
          <w:ilvl w:val="0"/>
          <w:numId w:val="34"/>
        </w:numPr>
        <w:spacing w:after="80" w:line="259" w:lineRule="auto" w:before="200"/>
        <w:contextualSpacing w:val="0"/>
        <w:jc w:val="both"/>
      </w:pPr>
      <w:r>
        <w:rPr>
          <w:b/>
          <w:i/>
        </w:rPr>
        <w:t>García-Moncó Carra JC, Rodrigo Armenteros P, Erburu Iriarte M. Infecciones bacterianas. En: Manual del Residente de Neurología. Sociedad Española de Neurología; 2025. Bloque V, cap. 40, p. 619‑631.</w:t>
      </w:r>
      <w:r>
        <w:rPr>
          <w:b w:val="0"/>
          <w:i w:val="0"/>
        </w:rPr>
        <w:t xml:space="preserve"> — </w:t>
      </w:r>
      <w:r>
        <w:rPr>
          <w:b/>
          <w:i/>
        </w:rPr>
        <w:t>Nivel 1: referencia SEN principal.</w:t>
      </w:r>
      <w:r>
        <w:rPr>
          <w:b w:val="0"/>
          <w:i w:val="0"/>
        </w:rPr>
        <w:t xml:space="preserve"> </w:t>
      </w:r>
      <w:r>
        <w:rPr>
          <w:b w:val="0"/>
          <w:i/>
        </w:rPr>
        <w:t>Manual formativo de expertos, sin grados de recomendación; varias tablas están adaptadas del Farreras-Rozman (2023) y su bibliografía se consultó en 2023. Aporta: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Clínica con la frecuencia de cada dato y pistas de etiología (ictus y laberintitis en el neumococo, romboencefalitis en Listeria, artritis en el meningococo).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Criterios de TC obligatoria antes de la PL (la recomienda en general, pero solo la exige con riesgo de herniación).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Perfil del LCR y umbrales que hacen muy probable la MBA; antígeno neumocócico; factores de mal pronóstico.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Pauta empírica (C3G + vancomicina ± ampicilina), pauta nosocomial con alternativas en la alergia (aztreonam o ciprofloxacino) y tabla de dosis y penetración en el LCR.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Tratamiento dirigido por germen y duración (14 días en el neumococo; ≥3 semanas en Listeria y gramnegativos).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Dexametasona mantenida en el neumococo y H. influenzae, aislamiento respiratorio de 24 h en la meningocócica, quimioprofilaxis (rifampicina en el embarazo desde el primer trimestre; Hib al caso índice) y vacunación del adulto.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 xml:space="preserve">Posibles erratas y datos dudosos: dosis de cloxacilina baja, ampicilina para Hib sin precisar sensibilidad y dos afirmaciones difíciles de conciliar sobre el cultivo con antibiótico previo (ver </w:t>
      </w:r>
      <w:r>
        <w:rPr>
          <w:b w:val="0"/>
          <w:i/>
        </w:rPr>
        <w:t>FUENTES.md</w:t>
      </w:r>
      <w:r>
        <w:rPr>
          <w:b w:val="0"/>
          <w:i/>
        </w:rPr>
        <w:t>).</w:t>
      </w:r>
    </w:p>
    <w:p>
      <w:pPr>
        <w:pStyle w:val="ListParagraph"/>
        <w:keepNext w:val="0"/>
        <w:keepLines w:val="0"/>
        <w:numPr>
          <w:ilvl w:val="0"/>
          <w:numId w:val="34"/>
        </w:numPr>
        <w:spacing w:after="80" w:line="259" w:lineRule="auto" w:before="200"/>
        <w:contextualSpacing w:val="0"/>
        <w:jc w:val="both"/>
      </w:pPr>
      <w:r>
        <w:rPr>
          <w:b/>
          <w:i/>
        </w:rPr>
        <w:t>Carod Artal FJ. Infecciones víricas. En: Manual del Residente de Neurología. Sociedad Española de Neurología; 2025. Cap. 42, p. 643‑657.</w:t>
      </w:r>
      <w:r>
        <w:rPr>
          <w:b w:val="0"/>
          <w:i w:val="0"/>
        </w:rPr>
        <w:t xml:space="preserve"> — </w:t>
      </w:r>
      <w:r>
        <w:rPr>
          <w:b/>
          <w:i/>
        </w:rPr>
        <w:t>Nivel 1.</w:t>
      </w:r>
      <w:r>
        <w:rPr>
          <w:b w:val="0"/>
          <w:i w:val="0"/>
        </w:rPr>
        <w:t xml:space="preserve"> </w:t>
      </w:r>
      <w:r>
        <w:rPr>
          <w:b w:val="0"/>
          <w:i/>
        </w:rPr>
        <w:t>Aporta el perfil de LCR de las infecciones víricas, la indicación de aciclovir empírico ante sospecha de encefalitis y las limitaciones de la PCR inicial.</w:t>
      </w:r>
    </w:p>
    <w:p>
      <w:pPr>
        <w:pStyle w:val="ListParagraph"/>
        <w:keepNext w:val="0"/>
        <w:keepLines w:val="0"/>
        <w:numPr>
          <w:ilvl w:val="0"/>
          <w:numId w:val="34"/>
        </w:numPr>
        <w:spacing w:after="80" w:line="259" w:lineRule="auto" w:before="200"/>
        <w:contextualSpacing w:val="0"/>
        <w:jc w:val="both"/>
      </w:pPr>
      <w:r>
        <w:rPr>
          <w:b/>
          <w:i/>
        </w:rPr>
        <w:t>Mensa 2026, extracto aportado por el usuario.</w:t>
      </w:r>
      <w:r>
        <w:rPr>
          <w:b w:val="0"/>
          <w:i w:val="0"/>
        </w:rPr>
        <w:t xml:space="preserve"> — </w:t>
      </w:r>
      <w:r>
        <w:rPr>
          <w:b/>
          <w:i/>
        </w:rPr>
        <w:t>Nivel 2, solo en los apartados de esta revisión.</w:t>
      </w:r>
      <w:r>
        <w:rPr>
          <w:b w:val="0"/>
          <w:i w:val="0"/>
        </w:rPr>
        <w:t xml:space="preserve"> </w:t>
      </w:r>
      <w:r>
        <w:rPr>
          <w:b w:val="0"/>
          <w:i/>
        </w:rPr>
        <w:t xml:space="preserve">Dos extractos, sin acceso a la guía completa ni páginas o grados disponibles. Completa vasculopatía retardada, HTIC, hidrocefalia, foco ORL y secuelas. En crisis, su propuesta de considerar profilaxis neumocócica y las pautas quedan únicamente como aclaración en cursiva. Hb y coma barbitúrico se reseñan como pendientes, no como pautas operativas. Las complicaciones de PL se desarrollan en el </w:t>
      </w:r>
      <w:hyperlink r:id="rId12">
        <w:r>
          <w:rPr>
            <w:b w:val="0"/>
            <w:i/>
            <w:color w:val="185C91"/>
            <w:u w:val="single"/>
          </w:rPr>
          <w:t>capítulo 8</w:t>
        </w:r>
      </w:hyperlink>
      <w:r>
        <w:rPr>
          <w:b w:val="0"/>
          <w:i/>
        </w:rPr>
        <w:t xml:space="preserve"> y la HTIC criptocócica en el </w:t>
      </w:r>
      <w:hyperlink r:id="rId13">
        <w:r>
          <w:rPr>
            <w:b w:val="0"/>
            <w:i/>
            <w:color w:val="185C91"/>
            <w:u w:val="single"/>
          </w:rPr>
          <w:t>capítulo 7</w:t>
        </w:r>
      </w:hyperlink>
      <w:r>
        <w:rPr>
          <w:b w:val="0"/>
          <w:i/>
        </w:rPr>
        <w:t>.</w:t>
      </w:r>
    </w:p>
    <w:p>
      <w:pPr>
        <w:pStyle w:val="ListParagraph"/>
        <w:keepNext/>
        <w:keepLines w:val="0"/>
        <w:numPr>
          <w:ilvl w:val="0"/>
          <w:numId w:val="34"/>
        </w:numPr>
        <w:spacing w:after="80" w:line="259" w:lineRule="auto" w:before="200"/>
        <w:contextualSpacing w:val="0"/>
        <w:jc w:val="both"/>
      </w:pPr>
      <w:r>
        <w:rPr>
          <w:b/>
          <w:i/>
        </w:rPr>
        <w:t>van de Beek D, Cabellos C, Dzupova O, Esposito S, Klein M, Kloek AT, et al. ESCMID guideline: diagnosis and treatment of acute bacterial meningitis. Clin Microbiol Infect. 2016;22 Suppl 3:S37‑62.</w:t>
      </w:r>
      <w:r>
        <w:rPr>
          <w:b w:val="0"/>
          <w:i w:val="0"/>
        </w:rPr>
        <w:t xml:space="preserve"> PMID 27062097 · </w:t>
      </w:r>
      <w:hyperlink r:id="rId10">
        <w:r>
          <w:rPr>
            <w:b w:val="0"/>
            <w:i w:val="0"/>
            <w:color w:val="185C91"/>
            <w:u w:val="single"/>
          </w:rPr>
          <w:t>DOI</w:t>
        </w:r>
      </w:hyperlink>
      <w:r>
        <w:rPr>
          <w:b w:val="0"/>
          <w:i w:val="0"/>
        </w:rPr>
        <w:t xml:space="preserve"> — </w:t>
      </w:r>
      <w:r>
        <w:rPr>
          <w:b/>
          <w:i/>
        </w:rPr>
        <w:t>Nivel 3 en esta revisión: complementa lo que SEN y los extractos de Mensa no concretan.</w:t>
      </w:r>
      <w:r>
        <w:rPr>
          <w:b w:val="0"/>
          <w:i w:val="0"/>
        </w:rPr>
        <w:t xml:space="preserve"> </w:t>
      </w:r>
      <w:r>
        <w:rPr>
          <w:b w:val="0"/>
          <w:i/>
        </w:rPr>
        <w:t>Guía europea del grupo de estudio de infecciones cerebrales de la ESCMID, con un coautor español (Hospital de Bellvitge). Hace revisión sistemática de la literatura (1966‑2014) y gradúa la evidencia (niveles 1‑3) y las recomendaciones (grados A-D); no usa GRADE. Aporta: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Ecología europea: etiología del adulto y sensibilidad disminuida del neumococo a penicilina del 20‑50 % en España (ECDC 2011).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Rendimiento de la clínica y de las pruebas: tríada, signos meníngeos, petequias, hemocultivos, Gram, cultivo, PCR, lactato y látex.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Criterios de TC antes de la PL y antibiótico en &lt;1 h (grado A).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Pauta empírica (vancomicina o rifampicina; ampicilina si &gt;50 años), tratamiento dirigido según la CMI y duración (≥14 días sin germen; no pautas cortas).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Dexametasona: pauta, hasta 4 h después del antibiótico y mantenerla en neumococo o Hib. Resume la revisión Cochrane de corticoides y un metaanálisis de datos individuales.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Adyuvantes contraindicados o no recomendados (glicerol, hipotermia, manitol, antiepilépticos profilácticos).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Complicaciones del adulto con su frecuencia, profilaxis de contactos (resume la Cochrane de profilaxis), vacunación, audiometría y seguimiento cognitivo.</w:t>
      </w:r>
    </w:p>
    <w:p>
      <w:pPr>
        <w:pStyle w:val="ListParagraph"/>
        <w:keepNext/>
        <w:keepLines w:val="0"/>
        <w:numPr>
          <w:ilvl w:val="0"/>
          <w:numId w:val="34"/>
        </w:numPr>
        <w:spacing w:after="80" w:line="259" w:lineRule="auto" w:before="200"/>
        <w:contextualSpacing w:val="0"/>
        <w:jc w:val="both"/>
      </w:pPr>
      <w:r>
        <w:rPr>
          <w:b/>
          <w:i/>
        </w:rPr>
        <w:t>National Institute for Health and Care Excellence (NICE). Meningitis (bacterial) and meningococcal disease: recognition, diagnosis and management. NICE guideline NG240. Londres: NICE; 19 de marzo de 2024.</w:t>
      </w:r>
      <w:r>
        <w:rPr>
          <w:b w:val="0"/>
          <w:i w:val="0"/>
        </w:rPr>
        <w:t xml:space="preserve"> — </w:t>
      </w:r>
      <w:r>
        <w:rPr>
          <w:b/>
          <w:i/>
        </w:rPr>
        <w:t>Nivel 4 en esta revisión; metodología GRADE.</w:t>
      </w:r>
      <w:r>
        <w:rPr>
          <w:b w:val="0"/>
          <w:i w:val="0"/>
        </w:rPr>
        <w:t xml:space="preserve"> </w:t>
      </w:r>
      <w:r>
        <w:rPr>
          <w:b w:val="0"/>
          <w:i/>
        </w:rPr>
        <w:t>Se cita con el número de cada recomendación. Aporta: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La combinación de alarma, las presentaciones atípicas y las causas alternativas.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Los tiempos: antibiótico en &lt;1 h, antibiótico prehospitalario.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Las contraindicaciones de la PL, las pruebas en sangre (PCR de meningococo y neumococo, VIH en todos los adultos, frotis faríngeo) y la disponibilidad del LCR en &lt;4 h.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La duración por germen cuando la SEN y la ESCMID no la fijan (enterobacterias, estreptococo del grupo B) y la definición de alergia grave.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La dexametasona (ventana de 12 h; no en la enfermedad meningocócica) y el soporte: líquidos sin restricción, osmóticos solo temporales, monitorización de la PIC.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La preparación del alta: audiometría en 4 semanas, revisión a las 4‑6 semanas, meningitis recurrente.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 xml:space="preserve">Su apartado de justificaciones resume la evidencia revisada. </w:t>
      </w:r>
      <w:r>
        <w:rPr>
          <w:b/>
          <w:i/>
        </w:rPr>
        <w:t>No incluye vancomicina empírica</w:t>
      </w:r>
      <w:r>
        <w:rPr>
          <w:b w:val="0"/>
          <w:i/>
        </w:rPr>
        <w:t>, por la baja resistencia del neumococo en Reino Unido: no es aplicable a España en ese punto.</w:t>
      </w:r>
    </w:p>
    <w:p>
      <w:pPr>
        <w:pStyle w:val="ListParagraph"/>
        <w:keepNext/>
        <w:keepLines w:val="0"/>
        <w:numPr>
          <w:ilvl w:val="0"/>
          <w:numId w:val="34"/>
        </w:numPr>
        <w:spacing w:after="80" w:line="259" w:lineRule="auto" w:before="200"/>
        <w:contextualSpacing w:val="0"/>
        <w:jc w:val="both"/>
      </w:pPr>
      <w:r>
        <w:rPr>
          <w:b/>
          <w:i/>
        </w:rPr>
        <w:t>Julián Jiménez A, Parejo Míguez R, López Ramos I. Meningitis. En: Julián Jiménez A (coord.). Manejo de Infecciones en Urgencias. Madrid: Edicomplet-SEMES; 2012. Cap. 18, p. 145‑157.</w:t>
      </w:r>
      <w:r>
        <w:rPr>
          <w:b w:val="0"/>
          <w:i w:val="0"/>
        </w:rPr>
        <w:t xml:space="preserve"> — </w:t>
      </w:r>
      <w:r>
        <w:rPr>
          <w:b/>
          <w:i/>
        </w:rPr>
        <w:t>Nivel 5 en esta revisión: estructura de urgencias y aspectos no cubiertos por las fuentes superiores.</w:t>
      </w:r>
      <w:r>
        <w:rPr>
          <w:b w:val="0"/>
          <w:i w:val="0"/>
        </w:rPr>
        <w:t xml:space="preserve"> </w:t>
      </w:r>
      <w:r>
        <w:rPr>
          <w:b w:val="0"/>
          <w:i/>
        </w:rPr>
        <w:t>Aporta: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Epidemiología española (incidencia de 4‑8/100.000, mortalidad de hasta el 18‑25 %) y etiología en situaciones especiales.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Valores normales del LCR, LCR normal en fases precoces y corrección de la PL traumática.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Criterios de ingreso, UCI y observación (repetir la PL a las 8‑12 h; observación tras la PL).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Aislamiento respiratorio, definición de los contactos y profilaxis frente a meningococo y Hib.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Medidas de soporte no sustituidas por las fuentes superiores y corticoides en el shock con insuficiencia suprarrenal. La pauta de manitol de SEMES se ha sustituido por la del extracto de Mensa; se ha retirado su dosis problemática de paracetamol.</w:t>
      </w:r>
    </w:p>
    <w:p>
      <w:pPr>
        <w:pStyle w:val="ListParagraph"/>
        <w:keepLines w:val="0"/>
        <w:numPr>
          <w:ilvl w:val="0"/>
          <w:numId w:val="35"/>
        </w:numPr>
        <w:spacing w:after="40" w:line="259" w:lineRule="auto"/>
        <w:contextualSpacing w:val="0"/>
        <w:jc w:val="both"/>
      </w:pPr>
      <w:r>
        <w:rPr>
          <w:b w:val="0"/>
          <w:i/>
        </w:rPr>
        <w:t>Desactualizado en: TC en todos los &gt;50 años, no dar dexametasona si ya hay antibiótico, rifampicina contraindicada en todo el embarazo, rifampicina añadida a la vancomicina si se da dexametasona, aislamiento de toda sospecha de MBA y profilaxis de Hib limitada a los domicilios con niños pequeños no vacunados.</w:t>
      </w:r>
    </w:p>
    <w:sectPr w:rsidR="00FC693F" w:rsidRPr="0006063C" w:rsidSect="00034616">
      <w:footerReference w:type="default" r:id="rId9"/>
      <w:pgSz w:w="11906" w:h="16838"/>
      <w:pgMar w:top="1134" w:right="1247" w:bottom="1077" w:left="1247" w:header="45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</w:rPr>
      <w:t xml:space="preserve">Meningitis bacteriana aguda   ·  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lvl w:ilvl="0">
      <w:start w:val="1"/>
      <w:numFmt w:val="bullet"/>
      <w:lvlText w:val="•"/>
      <w:lvlJc w:val="left"/>
      <w:pPr>
        <w:ind w:left="300" w:hanging="240"/>
      </w:pPr>
    </w:lvl>
  </w:abstractNum>
  <w:num w:numId="10">
    <w:abstractNumId w:val="9"/>
  </w:num>
  <w:abstractNum w:abstractNumId="10">
    <w:lvl w:ilvl="0">
      <w:start w:val="1"/>
      <w:numFmt w:val="bullet"/>
      <w:lvlText w:val="•"/>
      <w:lvlJc w:val="left"/>
      <w:pPr>
        <w:ind w:left="600" w:hanging="240"/>
      </w:pPr>
    </w:lvl>
  </w:abstractNum>
  <w:num w:numId="11">
    <w:abstractNumId w:val="10"/>
  </w:num>
  <w:abstractNum w:abstractNumId="11">
    <w:lvl w:ilvl="0">
      <w:start w:val="1"/>
      <w:numFmt w:val="bullet"/>
      <w:lvlText w:val="•"/>
      <w:lvlJc w:val="left"/>
      <w:pPr>
        <w:ind w:left="300" w:hanging="240"/>
      </w:pPr>
    </w:lvl>
  </w:abstractNum>
  <w:num w:numId="12">
    <w:abstractNumId w:val="11"/>
  </w:num>
  <w:abstractNum w:abstractNumId="12">
    <w:lvl w:ilvl="0">
      <w:start w:val="1"/>
      <w:numFmt w:val="bullet"/>
      <w:lvlText w:val="•"/>
      <w:lvlJc w:val="left"/>
      <w:pPr>
        <w:ind w:left="300" w:hanging="240"/>
      </w:pPr>
    </w:lvl>
  </w:abstractNum>
  <w:num w:numId="13">
    <w:abstractNumId w:val="12"/>
  </w:num>
  <w:abstractNum w:abstractNumId="13">
    <w:lvl w:ilvl="0">
      <w:start w:val="1"/>
      <w:numFmt w:val="decimal"/>
      <w:lvlText w:val="%1."/>
      <w:lvlJc w:val="left"/>
      <w:pPr>
        <w:ind w:left="300" w:hanging="240"/>
      </w:pPr>
    </w:lvl>
  </w:abstractNum>
  <w:num w:numId="14">
    <w:abstractNumId w:val="13"/>
  </w:num>
  <w:abstractNum w:abstractNumId="14">
    <w:lvl w:ilvl="0">
      <w:start w:val="1"/>
      <w:numFmt w:val="bullet"/>
      <w:lvlText w:val="•"/>
      <w:lvlJc w:val="left"/>
      <w:pPr>
        <w:ind w:left="300" w:hanging="240"/>
      </w:pPr>
    </w:lvl>
  </w:abstractNum>
  <w:num w:numId="15">
    <w:abstractNumId w:val="14"/>
  </w:num>
  <w:abstractNum w:abstractNumId="15">
    <w:lvl w:ilvl="0">
      <w:start w:val="1"/>
      <w:numFmt w:val="bullet"/>
      <w:lvlText w:val="•"/>
      <w:lvlJc w:val="left"/>
      <w:pPr>
        <w:ind w:left="300" w:hanging="240"/>
      </w:pPr>
    </w:lvl>
  </w:abstractNum>
  <w:num w:numId="16">
    <w:abstractNumId w:val="15"/>
  </w:num>
  <w:abstractNum w:abstractNumId="16">
    <w:lvl w:ilvl="0">
      <w:start w:val="1"/>
      <w:numFmt w:val="bullet"/>
      <w:lvlText w:val="•"/>
      <w:lvlJc w:val="left"/>
      <w:pPr>
        <w:ind w:left="300" w:hanging="240"/>
      </w:pPr>
    </w:lvl>
  </w:abstractNum>
  <w:num w:numId="17">
    <w:abstractNumId w:val="16"/>
  </w:num>
  <w:abstractNum w:abstractNumId="17">
    <w:lvl w:ilvl="0">
      <w:start w:val="1"/>
      <w:numFmt w:val="bullet"/>
      <w:lvlText w:val="•"/>
      <w:lvlJc w:val="left"/>
      <w:pPr>
        <w:ind w:left="300" w:hanging="240"/>
      </w:pPr>
    </w:lvl>
  </w:abstractNum>
  <w:num w:numId="18">
    <w:abstractNumId w:val="17"/>
  </w:num>
  <w:abstractNum w:abstractNumId="18">
    <w:lvl w:ilvl="0">
      <w:start w:val="1"/>
      <w:numFmt w:val="bullet"/>
      <w:lvlText w:val="•"/>
      <w:lvlJc w:val="left"/>
      <w:pPr>
        <w:ind w:left="300" w:hanging="240"/>
      </w:pPr>
    </w:lvl>
  </w:abstractNum>
  <w:num w:numId="19">
    <w:abstractNumId w:val="18"/>
  </w:num>
  <w:abstractNum w:abstractNumId="19">
    <w:lvl w:ilvl="0">
      <w:start w:val="1"/>
      <w:numFmt w:val="bullet"/>
      <w:lvlText w:val="•"/>
      <w:lvlJc w:val="left"/>
      <w:pPr>
        <w:ind w:left="300" w:hanging="240"/>
      </w:pPr>
    </w:lvl>
  </w:abstractNum>
  <w:num w:numId="20">
    <w:abstractNumId w:val="19"/>
  </w:num>
  <w:abstractNum w:abstractNumId="20">
    <w:lvl w:ilvl="0">
      <w:start w:val="1"/>
      <w:numFmt w:val="bullet"/>
      <w:lvlText w:val="•"/>
      <w:lvlJc w:val="left"/>
      <w:pPr>
        <w:ind w:left="300" w:hanging="240"/>
      </w:pPr>
    </w:lvl>
  </w:abstractNum>
  <w:num w:numId="21">
    <w:abstractNumId w:val="20"/>
  </w:num>
  <w:abstractNum w:abstractNumId="21">
    <w:lvl w:ilvl="0">
      <w:start w:val="1"/>
      <w:numFmt w:val="bullet"/>
      <w:lvlText w:val="•"/>
      <w:lvlJc w:val="left"/>
      <w:pPr>
        <w:ind w:left="300" w:hanging="240"/>
      </w:pPr>
    </w:lvl>
  </w:abstractNum>
  <w:num w:numId="22">
    <w:abstractNumId w:val="21"/>
  </w:num>
  <w:abstractNum w:abstractNumId="22">
    <w:lvl w:ilvl="0">
      <w:start w:val="1"/>
      <w:numFmt w:val="bullet"/>
      <w:lvlText w:val="•"/>
      <w:lvlJc w:val="left"/>
      <w:pPr>
        <w:ind w:left="600" w:hanging="240"/>
      </w:pPr>
    </w:lvl>
  </w:abstractNum>
  <w:num w:numId="23">
    <w:abstractNumId w:val="22"/>
  </w:num>
  <w:abstractNum w:abstractNumId="23">
    <w:lvl w:ilvl="0">
      <w:start w:val="1"/>
      <w:numFmt w:val="bullet"/>
      <w:lvlText w:val="•"/>
      <w:lvlJc w:val="left"/>
      <w:pPr>
        <w:ind w:left="300" w:hanging="240"/>
      </w:pPr>
    </w:lvl>
  </w:abstractNum>
  <w:num w:numId="24">
    <w:abstractNumId w:val="23"/>
  </w:num>
  <w:abstractNum w:abstractNumId="24">
    <w:lvl w:ilvl="0">
      <w:start w:val="1"/>
      <w:numFmt w:val="bullet"/>
      <w:lvlText w:val="•"/>
      <w:lvlJc w:val="left"/>
      <w:pPr>
        <w:ind w:left="300" w:hanging="240"/>
      </w:pPr>
    </w:lvl>
  </w:abstractNum>
  <w:num w:numId="25">
    <w:abstractNumId w:val="24"/>
  </w:num>
  <w:abstractNum w:abstractNumId="25">
    <w:lvl w:ilvl="0">
      <w:start w:val="1"/>
      <w:numFmt w:val="bullet"/>
      <w:lvlText w:val="•"/>
      <w:lvlJc w:val="left"/>
      <w:pPr>
        <w:ind w:left="300" w:hanging="240"/>
      </w:pPr>
    </w:lvl>
  </w:abstractNum>
  <w:num w:numId="26">
    <w:abstractNumId w:val="25"/>
  </w:num>
  <w:abstractNum w:abstractNumId="26">
    <w:lvl w:ilvl="0">
      <w:start w:val="1"/>
      <w:numFmt w:val="bullet"/>
      <w:lvlText w:val="•"/>
      <w:lvlJc w:val="left"/>
      <w:pPr>
        <w:ind w:left="600" w:hanging="240"/>
      </w:pPr>
    </w:lvl>
  </w:abstractNum>
  <w:num w:numId="27">
    <w:abstractNumId w:val="26"/>
  </w:num>
  <w:abstractNum w:abstractNumId="27">
    <w:lvl w:ilvl="0">
      <w:start w:val="1"/>
      <w:numFmt w:val="bullet"/>
      <w:lvlText w:val="•"/>
      <w:lvlJc w:val="left"/>
      <w:pPr>
        <w:ind w:left="300" w:hanging="240"/>
      </w:pPr>
    </w:lvl>
  </w:abstractNum>
  <w:num w:numId="28">
    <w:abstractNumId w:val="27"/>
  </w:num>
  <w:abstractNum w:abstractNumId="28">
    <w:lvl w:ilvl="0">
      <w:start w:val="1"/>
      <w:numFmt w:val="bullet"/>
      <w:lvlText w:val="•"/>
      <w:lvlJc w:val="left"/>
      <w:pPr>
        <w:ind w:left="600" w:hanging="240"/>
      </w:pPr>
    </w:lvl>
  </w:abstractNum>
  <w:num w:numId="29">
    <w:abstractNumId w:val="28"/>
  </w:num>
  <w:abstractNum w:abstractNumId="29">
    <w:lvl w:ilvl="0">
      <w:start w:val="1"/>
      <w:numFmt w:val="bullet"/>
      <w:lvlText w:val="•"/>
      <w:lvlJc w:val="left"/>
      <w:pPr>
        <w:ind w:left="300" w:hanging="240"/>
      </w:pPr>
    </w:lvl>
  </w:abstractNum>
  <w:num w:numId="30">
    <w:abstractNumId w:val="29"/>
  </w:num>
  <w:abstractNum w:abstractNumId="30">
    <w:lvl w:ilvl="0">
      <w:start w:val="1"/>
      <w:numFmt w:val="bullet"/>
      <w:lvlText w:val="•"/>
      <w:lvlJc w:val="left"/>
      <w:pPr>
        <w:ind w:left="300" w:hanging="240"/>
      </w:pPr>
    </w:lvl>
  </w:abstractNum>
  <w:num w:numId="31">
    <w:abstractNumId w:val="30"/>
  </w:num>
  <w:abstractNum w:abstractNumId="31">
    <w:lvl w:ilvl="0">
      <w:start w:val="1"/>
      <w:numFmt w:val="bullet"/>
      <w:lvlText w:val="•"/>
      <w:lvlJc w:val="left"/>
      <w:pPr>
        <w:ind w:left="300" w:hanging="240"/>
      </w:pPr>
    </w:lvl>
  </w:abstractNum>
  <w:num w:numId="32">
    <w:abstractNumId w:val="31"/>
  </w:num>
  <w:abstractNum w:abstractNumId="32">
    <w:lvl w:ilvl="0">
      <w:start w:val="1"/>
      <w:numFmt w:val="bullet"/>
      <w:lvlText w:val="•"/>
      <w:lvlJc w:val="left"/>
      <w:pPr>
        <w:ind w:left="300" w:hanging="240"/>
      </w:pPr>
    </w:lvl>
  </w:abstractNum>
  <w:num w:numId="33">
    <w:abstractNumId w:val="32"/>
  </w:num>
  <w:abstractNum w:abstractNumId="33">
    <w:lvl w:ilvl="0">
      <w:start w:val="1"/>
      <w:numFmt w:val="decimal"/>
      <w:lvlText w:val="%1."/>
      <w:lvlJc w:val="left"/>
      <w:pPr>
        <w:ind w:left="300" w:hanging="240"/>
      </w:pPr>
    </w:lvl>
  </w:abstractNum>
  <w:num w:numId="34">
    <w:abstractNumId w:val="33"/>
  </w:num>
  <w:abstractNum w:abstractNumId="34">
    <w:lvl w:ilvl="0">
      <w:start w:val="1"/>
      <w:numFmt w:val="bullet"/>
      <w:lvlText w:val="•"/>
      <w:lvlJc w:val="left"/>
      <w:pPr>
        <w:ind w:left="600" w:hanging="240"/>
      </w:pPr>
    </w:lvl>
  </w:abstractNum>
  <w:num w:numId="35">
    <w:abstractNumId w:val="34"/>
  </w:num>
  <w:abstractNum w:abstractNumId="35">
    <w:lvl w:ilvl="0">
      <w:start w:val="1"/>
      <w:numFmt w:val="bullet"/>
      <w:lvlText w:val="•"/>
      <w:lvlJc w:val="left"/>
      <w:pPr>
        <w:ind w:left="600" w:hanging="240"/>
      </w:pPr>
    </w:lvl>
  </w:abstractNum>
  <w:num w:numId="36">
    <w:abstractNumId w:val="35"/>
  </w:num>
  <w:abstractNum w:abstractNumId="36">
    <w:lvl w:ilvl="0">
      <w:start w:val="1"/>
      <w:numFmt w:val="bullet"/>
      <w:lvlText w:val="•"/>
      <w:lvlJc w:val="left"/>
      <w:pPr>
        <w:ind w:left="600" w:hanging="240"/>
      </w:pPr>
    </w:lvl>
  </w:abstractNum>
  <w:num w:numId="37">
    <w:abstractNumId w:val="36"/>
  </w:num>
  <w:abstractNum w:abstractNumId="37">
    <w:lvl w:ilvl="0">
      <w:start w:val="1"/>
      <w:numFmt w:val="bullet"/>
      <w:lvlText w:val="•"/>
      <w:lvlJc w:val="left"/>
      <w:pPr>
        <w:ind w:left="600" w:hanging="240"/>
      </w:pPr>
    </w:lvl>
  </w:abstractNum>
  <w:num w:numId="38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  <w:consecutiveHyphenLimit w:val="2"/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1" w:lineRule="auto" w:after="140"/>
      <w:contextualSpacing w:val="0"/>
      <w:jc w:val="both"/>
    </w:pPr>
    <w:rPr>
      <w:rFonts w:ascii="Cambria" w:hAnsi="Cambria"/>
      <w:b w:val="0"/>
      <w:color w:val="000000"/>
      <w:sz w:val="22"/>
      <w:u w:val="none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widowControl/>
      <w:tabs>
        <w:tab w:val="center" w:pos="4680"/>
        <w:tab w:val="right" w:pos="9360"/>
      </w:tabs>
      <w:spacing w:after="0" w:line="240" w:lineRule="auto"/>
      <w:contextualSpacing w:val="0"/>
    </w:pPr>
    <w:rPr>
      <w:rFonts w:ascii="Cambria" w:hAnsi="Cambria"/>
      <w:b w:val="0"/>
      <w:color w:val="000000"/>
      <w:sz w:val="18"/>
      <w:u w:val="none"/>
      <w:lang w:val="es-ES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180"/>
      <w:jc w:val="left"/>
      <w:outlineLvl w:val="0"/>
      <w:contextualSpacing w:val="0"/>
    </w:pPr>
    <w:rPr>
      <w:rFonts w:asciiTheme="majorHAnsi" w:eastAsiaTheme="majorEastAsia" w:hAnsiTheme="majorHAnsi" w:cstheme="majorBidi" w:ascii="Calibri" w:hAnsi="Calibri"/>
      <w:b/>
      <w:bCs/>
      <w:color w:val="000000"/>
      <w:sz w:val="32"/>
      <w:szCs w:val="28"/>
      <w:u w:val="none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140"/>
      <w:jc w:val="left"/>
      <w:outlineLvl w:val="1"/>
      <w:contextualSpacing w:val="0"/>
    </w:pPr>
    <w:rPr>
      <w:rFonts w:asciiTheme="majorHAnsi" w:eastAsiaTheme="majorEastAsia" w:hAnsiTheme="majorHAnsi" w:cstheme="majorBidi" w:ascii="Calibri" w:hAnsi="Calibri"/>
      <w:b/>
      <w:bCs/>
      <w:color w:val="000000"/>
      <w:sz w:val="25"/>
      <w:szCs w:val="26"/>
      <w:u w:val="none"/>
      <w:lang w:val="es-E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20" w:after="120"/>
      <w:jc w:val="left"/>
      <w:outlineLvl w:val="2"/>
      <w:contextualSpacing w:val="0"/>
    </w:pPr>
    <w:rPr>
      <w:rFonts w:asciiTheme="majorHAnsi" w:eastAsiaTheme="majorEastAsia" w:hAnsiTheme="majorHAnsi" w:cstheme="majorBidi" w:ascii="Calibri" w:hAnsi="Calibri"/>
      <w:b/>
      <w:bCs/>
      <w:color w:val="000000"/>
      <w:sz w:val="23"/>
      <w:u w:val="none"/>
      <w:lang w:val="es-E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40" w:line="240" w:lineRule="auto"/>
      <w:contextualSpacing w:val="0"/>
      <w:jc w:val="left"/>
    </w:pPr>
    <w:rPr>
      <w:rFonts w:asciiTheme="majorHAnsi" w:eastAsiaTheme="majorEastAsia" w:hAnsiTheme="majorHAnsi" w:cstheme="majorBidi" w:ascii="Cambria" w:hAnsi="Cambria"/>
      <w:b/>
      <w:color w:val="000000"/>
      <w:spacing w:val="5"/>
      <w:kern w:val="28"/>
      <w:sz w:val="50"/>
      <w:szCs w:val="52"/>
      <w:u w:val="none"/>
      <w:lang w:val="es-ES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after="420"/>
      <w:contextualSpacing w:val="0"/>
      <w:jc w:val="left"/>
    </w:pPr>
    <w:rPr>
      <w:rFonts w:asciiTheme="majorHAnsi" w:eastAsiaTheme="majorEastAsia" w:hAnsiTheme="majorHAnsi" w:cstheme="majorBidi" w:ascii="Cambria" w:hAnsi="Cambria"/>
      <w:b w:val="0"/>
      <w:i/>
      <w:iCs/>
      <w:color w:val="000000"/>
      <w:spacing w:val="15"/>
      <w:sz w:val="24"/>
      <w:szCs w:val="24"/>
      <w:u w:val="none"/>
      <w:lang w:val="es-ES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widowControl/>
      <w:ind w:left="720"/>
      <w:contextualSpacing w:val="0"/>
    </w:pPr>
    <w:rPr>
      <w:rFonts w:ascii="Cambria" w:hAnsi="Cambria"/>
      <w:b w:val="0"/>
      <w:color w:val="000000"/>
      <w:sz w:val="22"/>
      <w:u w:val="none"/>
      <w:lang w:val="es-E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doi.org/10.1016/j.cmi.2016.01.007" TargetMode="External"/><Relationship Id="rId11" Type="http://schemas.openxmlformats.org/officeDocument/2006/relationships/hyperlink" Target="../apuntes/FUENTES.md#9-revisi&#243;n-con-los-extractos-de-mensa-2026" TargetMode="External"/><Relationship Id="rId12" Type="http://schemas.openxmlformats.org/officeDocument/2006/relationships/hyperlink" Target="../apuntes/08_Complicaciones_puncion_lumbar.md" TargetMode="External"/><Relationship Id="rId13" Type="http://schemas.openxmlformats.org/officeDocument/2006/relationships/hyperlink" Target="../apuntes/07_Infecciones_fungicas_parasitarias.md#311-hipertensi&#243;n-intracraneal-criptoc&#243;cica" TargetMode="External"/><Relationship Id="rId14" Type="http://schemas.openxmlformats.org/officeDocument/2006/relationships/hyperlink" Target="../apuntes/04_Absceso_cerebral.md" TargetMode="External"/><Relationship Id="rId15" Type="http://schemas.openxmlformats.org/officeDocument/2006/relationships/hyperlink" Target="../apuntes/05_Infecciones_parameningeas_medulares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Meningitis bacteriana aguda del adulto adquirida en la comunidad</dc:title>
  <dc:subject>Apunte clínico completo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