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SEN 2025 → Mensa 2026 → ESCMID 2016 → NICE NG240 → SEMES 2012. La SEN 2025 es la fuente de referencia y solo se cita cuando otra fuente dice algo distinto.</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Capítul</w:t>
      </w:r>
      <w:r w:rsidR="001157B1">
        <w:rPr>
          <w:rFonts w:ascii="Calibri" w:hAnsi="Calibri" w:cs="Calibri"/>
          <w:b/>
          <w:color w:val="1C7C7D"/>
          <w:sz w:val="21"/>
          <w:szCs w:val="21"/>
        </w:rPr>
        <w:t>os complementarios (</w:t>
      </w:r>
      <w:proofErr w:type="spellStart"/>
      <w:r w:rsidR="001157B1">
        <w:rPr>
          <w:rFonts w:ascii="Calibri" w:hAnsi="Calibri" w:cs="Calibri"/>
          <w:b/>
          <w:color w:val="1C7C7D"/>
          <w:sz w:val="21"/>
          <w:szCs w:val="21"/>
        </w:rPr>
        <w:t>work</w:t>
      </w:r>
      <w:proofErr w:type="spellEnd"/>
      <w:r w:rsidR="001157B1">
        <w:rPr>
          <w:rFonts w:ascii="Calibri" w:hAnsi="Calibri" w:cs="Calibri"/>
          <w:b/>
          <w:color w:val="1C7C7D"/>
          <w:sz w:val="21"/>
          <w:szCs w:val="21"/>
        </w:rPr>
        <w:t xml:space="preserve"> in </w:t>
      </w:r>
      <w:proofErr w:type="spellStart"/>
      <w:r w:rsidR="001157B1">
        <w:rPr>
          <w:rFonts w:ascii="Calibri" w:hAnsi="Calibri" w:cs="Calibri"/>
          <w:b/>
          <w:color w:val="1C7C7D"/>
          <w:sz w:val="21"/>
          <w:szCs w:val="21"/>
        </w:rPr>
        <w:t>progress</w:t>
      </w:r>
      <w:proofErr w:type="spellEnd"/>
      <w:r w:rsidR="001157B1">
        <w:rPr>
          <w:rFonts w:ascii="Calibri" w:hAnsi="Calibri" w:cs="Calibri"/>
          <w:b/>
          <w:color w:val="1C7C7D"/>
          <w:sz w:val="21"/>
          <w:szCs w:val="21"/>
        </w:rPr>
        <w:t>)</w:t>
      </w:r>
      <w:r>
        <w:rPr>
          <w:rFonts w:ascii="Calibri" w:hAnsi="Calibri" w:cs="Calibri"/>
          <w:sz w:val="21"/>
          <w:szCs w:val="21"/>
        </w:rPr>
        <w:t xml:space="preserve">: 2. Meningitis linfocitaria subaguda · 3. Encefalitis · 4. Absceso cerebral · 5. Infecciones </w:t>
      </w:r>
      <w:proofErr w:type="spellStart"/>
      <w:r>
        <w:rPr>
          <w:rFonts w:ascii="Calibri" w:hAnsi="Calibri" w:cs="Calibri"/>
          <w:sz w:val="21"/>
          <w:szCs w:val="21"/>
        </w:rPr>
        <w:t>parameníngeas</w:t>
      </w:r>
      <w:proofErr w:type="spellEnd"/>
      <w:r>
        <w:rPr>
          <w:rFonts w:ascii="Calibri" w:hAnsi="Calibri" w:cs="Calibri"/>
          <w:sz w:val="21"/>
          <w:szCs w:val="21"/>
        </w:rPr>
        <w:t xml:space="preserve"> y medulares · 6. Derivaciones de LCR y meningitis </w:t>
      </w:r>
      <w:proofErr w:type="spellStart"/>
      <w:r>
        <w:rPr>
          <w:rFonts w:ascii="Calibri" w:hAnsi="Calibri" w:cs="Calibri"/>
          <w:sz w:val="21"/>
          <w:szCs w:val="21"/>
        </w:rPr>
        <w:t>posneuroquirúrgica</w:t>
      </w:r>
      <w:proofErr w:type="spellEnd"/>
      <w:r>
        <w:rPr>
          <w:rFonts w:ascii="Calibri" w:hAnsi="Calibri" w:cs="Calibri"/>
          <w:sz w:val="21"/>
          <w:szCs w:val="21"/>
        </w:rPr>
        <w:t xml:space="preserve">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8</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8</w:t>
            </w:r>
            <w:r>
              <w:fldChar w:fldCharType="end"/>
            </w:r>
          </w:hyperlink>
        </w:p>
        <w:p w14:paraId="6A307627" w14:textId="77777777" w:rsidR="00736A71" w:rsidRDefault="00B77AB3">
          <w:pPr>
            <w:pStyle w:val="TDC2"/>
          </w:pPr>
          <w:hyperlink w:anchor="_Toc000510013" w:history="1">
            <w:r>
              <w:rPr>
                <w:color w:val="1C7C7D"/>
              </w:rPr>
              <w:t xml:space="preserve">6.1. </w:t>
            </w:r>
            <w:r>
              <w:t>Adulto ≤50 años SIN factores de riesgo (o fractura de base de cráneo)</w:t>
            </w:r>
            <w:r>
              <w:rPr>
                <w:color w:val="A7B5BC"/>
              </w:rPr>
              <w:tab/>
            </w:r>
            <w:r>
              <w:fldChar w:fldCharType="begin"/>
            </w:r>
            <w:r>
              <w:instrText xml:space="preserve"> PAGEREF _Toc000510013 \h </w:instrText>
            </w:r>
            <w:r>
              <w:fldChar w:fldCharType="separate"/>
            </w:r>
            <w:r>
              <w:t>9</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9</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10</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10</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11</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11</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12</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14</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14</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15</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16</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17</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17</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18</w:t>
            </w:r>
            <w:r>
              <w:fldChar w:fldCharType="end"/>
            </w:r>
          </w:hyperlink>
        </w:p>
        <w:p w14:paraId="6D8A9727" w14:textId="77777777" w:rsidR="00736A71" w:rsidRDefault="00B77AB3">
          <w:pPr>
            <w:pStyle w:val="TDC1"/>
          </w:pPr>
          <w:hyperlink w:anchor="_Toc000510027" w:history="1">
            <w:r>
              <w:rPr>
                <w:color w:val="1C7C7D"/>
              </w:rPr>
              <w:t xml:space="preserve">12. </w:t>
            </w:r>
            <w:r>
              <w:t>Notas para el contexto español y europeo</w:t>
            </w:r>
            <w:r>
              <w:rPr>
                <w:b w:val="0"/>
                <w:color w:val="A7B5BC"/>
              </w:rPr>
              <w:tab/>
            </w:r>
            <w:r>
              <w:fldChar w:fldCharType="begin"/>
            </w:r>
            <w:r>
              <w:instrText xml:space="preserve"> PAGEREF _Toc000510027 \h </w:instrText>
            </w:r>
            <w:r>
              <w:fldChar w:fldCharType="separate"/>
            </w:r>
            <w:r>
              <w:t>19</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19</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w:t>
      </w:r>
      <w:proofErr w:type="spellStart"/>
      <w:r>
        <w:t>leptomeninges</w:t>
      </w:r>
      <w:proofErr w:type="spellEnd"/>
      <w:r>
        <w:t xml:space="preserve"> que suele acompañarse de </w:t>
      </w:r>
      <w:r>
        <w:rPr>
          <w:b/>
        </w:rPr>
        <w:t>aumento de leucocitos en el LCR</w:t>
      </w:r>
      <w:r>
        <w:t xml:space="preserve">. La presentación clásica combina </w:t>
      </w:r>
      <w:r>
        <w:rPr>
          <w:b/>
        </w:rPr>
        <w:t>cefalea, fiebre, rigidez de nuca y alteración del estado mental</w:t>
      </w:r>
      <w:r>
        <w:t xml:space="preserve">. </w:t>
      </w:r>
      <w:r>
        <w:t>Para describir el curso temporal, la SEMES 2012 distingue aguda (48‑72 h) y subaguda (&gt;3‑7 días); la crónica dura ≥4 semanas.</w:t>
      </w:r>
    </w:p>
    <w:p w14:paraId="768837BA" w14:textId="77777777" w:rsidR="00736A71" w:rsidRDefault="00B77AB3">
      <w:r>
        <w:t xml:space="preserve">La </w:t>
      </w:r>
      <w:r>
        <w:rPr>
          <w:b/>
        </w:rPr>
        <w:t>meningitis bacteriana aguda (MBA)</w:t>
      </w:r>
      <w:r>
        <w:t xml:space="preserve"> se produce habitualmente por </w:t>
      </w:r>
      <w:r>
        <w:rPr>
          <w:b/>
        </w:rPr>
        <w:t xml:space="preserve">colonización nasofaríngea </w:t>
      </w:r>
      <w:r>
        <w:rPr>
          <w:rFonts w:ascii="Calibri" w:hAnsi="Calibri" w:cs="Calibri"/>
          <w:b/>
        </w:rPr>
        <w:t>→</w:t>
      </w:r>
      <w:r>
        <w:rPr>
          <w:b/>
        </w:rPr>
        <w:t xml:space="preserve"> bacteriemia </w:t>
      </w:r>
      <w:r>
        <w:rPr>
          <w:rFonts w:ascii="Calibri" w:hAnsi="Calibri" w:cs="Calibri"/>
          <w:b/>
        </w:rPr>
        <w:t>→</w:t>
      </w:r>
      <w:r>
        <w:rPr>
          <w:b/>
        </w:rPr>
        <w:t xml:space="preserve"> paso de la barrera hematoencefálica</w:t>
      </w:r>
      <w:r>
        <w:t>. Se distinguen cuatro pasos: colonización de las mucosas, invasión del torrente sanguí</w:t>
      </w:r>
      <w:r>
        <w:t xml:space="preserve">neo (favorecida por una infección vírica previa, el tabaco, el alcohol, la asplenia, el déficit de complemento y la </w:t>
      </w:r>
      <w:proofErr w:type="spellStart"/>
      <w:r>
        <w:t>agammaglobulinemia</w:t>
      </w:r>
      <w:proofErr w:type="spellEnd"/>
      <w:r>
        <w:t xml:space="preserve">), supervivencia intravascular gracias a la cápsula </w:t>
      </w:r>
      <w:proofErr w:type="spellStart"/>
      <w:r>
        <w:t>polisacárida</w:t>
      </w:r>
      <w:proofErr w:type="spellEnd"/>
      <w:r>
        <w:t xml:space="preserve"> e invasión meníngea a través de las vénulas </w:t>
      </w:r>
      <w:proofErr w:type="spellStart"/>
      <w:r>
        <w:t>poscapilares</w:t>
      </w:r>
      <w:proofErr w:type="spellEnd"/>
      <w:r>
        <w:t xml:space="preserve">. También puede llegar </w:t>
      </w:r>
      <w:r>
        <w:rPr>
          <w:b/>
        </w:rPr>
        <w:t>por contigüidad</w:t>
      </w:r>
      <w:r>
        <w:t xml:space="preserve"> (otitis, sinusitis, mastoiditis) o </w:t>
      </w:r>
      <w:r>
        <w:rPr>
          <w:b/>
        </w:rPr>
        <w:t>por una vía directa</w:t>
      </w:r>
      <w:r>
        <w:t>: fí</w:t>
      </w:r>
      <w:r>
        <w:t xml:space="preserve">stula de LCR tras una fractura de la base del cráneo, implante coclear o neurocirugía. En el espacio subaracnoideo las bacterias proliferan y desencadenan una respuesta inflamatoria intensa con reclutamiento de neutrófilos. Esa respuesta es la que produce </w:t>
      </w:r>
      <w:r>
        <w:rPr>
          <w:b/>
        </w:rPr>
        <w:t>edema cerebral, hipertensión intracraneal (HTIC), vasculitis e infartos, trombosis de senos venosos, hidrocefalia y daño coclear</w:t>
      </w:r>
      <w:r>
        <w:t xml:space="preserve">. En modelos experimentales, el pronóstico de la MBA depende de la intensidad de la inflamación subaracnoidea, y la </w:t>
      </w:r>
      <w:r>
        <w:rPr>
          <w:b/>
        </w:rPr>
        <w:t>lisis bacteriana que provoca el propio antibiótico</w:t>
      </w:r>
      <w:r>
        <w:t xml:space="preserve"> la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t xml:space="preserve">La </w:t>
      </w:r>
      <w:r>
        <w:rPr>
          <w:b/>
        </w:rPr>
        <w:t>combinación de alarma</w:t>
      </w:r>
      <w:r>
        <w:t xml:space="preserve"> de la NICE es </w:t>
      </w:r>
      <w:r>
        <w:rPr>
          <w:b/>
        </w:rPr>
        <w:t>FIEBRE + CEFALEA + RIGIDEZ DE NUCA + ALTERACIÓN DEL NIVEL DE CONSCIENCIA O DE LA COGNICIÓN (confusión, delirium)</w:t>
      </w:r>
      <w:r>
        <w:t xml:space="preserve">. Con las cuatro se debe </w:t>
      </w:r>
      <w:r>
        <w:rPr>
          <w:b/>
        </w:rPr>
        <w:t>sospechar con fuerza</w:t>
      </w:r>
      <w:r>
        <w:t xml:space="preserve"> una MBA, aunque la sospecha fuerte también puede basarse en la valoración clínica sin la combinación completa (NICE 1.1.4‑1.1.5).</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solo está en el </w:t>
      </w:r>
      <w:r>
        <w:rPr>
          <w:b/>
        </w:rPr>
        <w:t>41‑51 %</w:t>
      </w:r>
      <w:r>
        <w:t xml:space="preserve"> de los adultos (ESCMID; 44 % según la SEMES 2012; ~40 % según la SEN 2025, que añade que el 95 % tiene al menos dos de sus elementos).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w:t>
      </w:r>
    </w:p>
    <w:p w14:paraId="62E30CE2" w14:textId="77777777" w:rsidR="00736A71" w:rsidRDefault="00B77AB3">
      <w:pPr>
        <w:pStyle w:val="Prrafodelista"/>
        <w:keepLines/>
        <w:numPr>
          <w:ilvl w:val="0"/>
          <w:numId w:val="11"/>
        </w:numPr>
        <w:spacing w:after="40"/>
      </w:pPr>
      <w:r>
        <w:rPr>
          <w:b/>
        </w:rPr>
        <w:t>Ictus isquémico</w:t>
      </w:r>
      <w:r>
        <w:t xml:space="preserve"> (16 %), </w:t>
      </w:r>
      <w:r>
        <w:rPr>
          <w:b/>
        </w:rPr>
        <w:t>laberintitis purulenta con hipoacusia</w:t>
      </w:r>
      <w:r>
        <w:t xml:space="preserve"> y crisis algo más frecuentes </w:t>
      </w:r>
      <w:r>
        <w:rPr>
          <w:rFonts w:ascii="Calibri" w:hAnsi="Calibri" w:cs="Calibri"/>
        </w:rPr>
        <w:t>→</w:t>
      </w:r>
      <w:r>
        <w:t xml:space="preserve"> </w:t>
      </w:r>
      <w:r>
        <w:rPr>
          <w:b/>
        </w:rPr>
        <w:t>neumococo</w:t>
      </w:r>
      <w:r>
        <w:t>.</w:t>
      </w:r>
    </w:p>
    <w:p w14:paraId="3B72288C" w14:textId="77777777" w:rsidR="00736A71" w:rsidRDefault="00B77AB3">
      <w:pPr>
        <w:pStyle w:val="Prrafodelista"/>
        <w:keepLines/>
        <w:numPr>
          <w:ilvl w:val="0"/>
          <w:numId w:val="11"/>
        </w:numPr>
        <w:spacing w:after="40"/>
      </w:pPr>
      <w:proofErr w:type="spellStart"/>
      <w:r>
        <w:rPr>
          <w:b/>
        </w:rPr>
        <w:t>Romboencefalitis</w:t>
      </w:r>
      <w:proofErr w:type="spellEnd"/>
      <w:r>
        <w:t xml:space="preserve"> (ataxia, pares craneales, nistagmo) o </w:t>
      </w:r>
      <w:proofErr w:type="spellStart"/>
      <w:r>
        <w:rPr>
          <w:b/>
        </w:rPr>
        <w:t>focalidad</w:t>
      </w:r>
      <w:proofErr w:type="spellEnd"/>
      <w:r>
        <w:rPr>
          <w:b/>
        </w:rPr>
        <w:t xml:space="preserve"> precoz</w:t>
      </w:r>
      <w:r>
        <w:t xml:space="preserve"> </w:t>
      </w:r>
      <w:r>
        <w:rPr>
          <w:rFonts w:ascii="Calibri" w:hAnsi="Calibri" w:cs="Calibri"/>
        </w:rPr>
        <w:t>→</w:t>
      </w:r>
      <w:r>
        <w:t xml:space="preserve"> </w:t>
      </w:r>
      <w:r>
        <w:rPr>
          <w:b/>
          <w:i/>
        </w:rPr>
        <w:t>Listeria</w:t>
      </w:r>
      <w:r>
        <w:t>.</w:t>
      </w:r>
    </w:p>
    <w:p w14:paraId="258A52A9" w14:textId="77777777" w:rsidR="00736A71" w:rsidRDefault="00B77AB3">
      <w:pPr>
        <w:pStyle w:val="Prrafodelista"/>
        <w:keepLines/>
        <w:numPr>
          <w:ilvl w:val="0"/>
          <w:numId w:val="11"/>
        </w:numPr>
        <w:spacing w:after="40"/>
      </w:pPr>
      <w:r>
        <w:rPr>
          <w:b/>
        </w:rPr>
        <w:t>Exantema petequial o púrpura</w:t>
      </w:r>
      <w:r>
        <w:t xml:space="preserve"> </w:t>
      </w:r>
      <w:r>
        <w:rPr>
          <w:rFonts w:ascii="Calibri" w:hAnsi="Calibri" w:cs="Calibri"/>
        </w:rPr>
        <w:t>→</w:t>
      </w:r>
      <w:r>
        <w:t xml:space="preserve"> </w:t>
      </w:r>
      <w:r>
        <w:rPr>
          <w:b/>
        </w:rPr>
        <w:t>meningococo</w:t>
      </w:r>
      <w:r>
        <w:t>.</w:t>
      </w:r>
    </w:p>
    <w:p w14:paraId="4691E207" w14:textId="77777777" w:rsidR="00736A71" w:rsidRDefault="00B77AB3">
      <w:pPr>
        <w:pStyle w:val="Prrafodelista"/>
        <w:keepLines/>
        <w:numPr>
          <w:ilvl w:val="0"/>
          <w:numId w:val="11"/>
        </w:numPr>
        <w:spacing w:after="40"/>
      </w:pPr>
      <w:r>
        <w:rPr>
          <w:b/>
        </w:rPr>
        <w:t>Artritis</w:t>
      </w:r>
      <w:r>
        <w:t xml:space="preserve"> (7 % de las MBA; dos tercios son meningocócicas) </w:t>
      </w:r>
      <w:r>
        <w:rPr>
          <w:rFonts w:ascii="Calibri" w:hAnsi="Calibri" w:cs="Calibri"/>
        </w:rPr>
        <w:t>→</w:t>
      </w:r>
      <w:r>
        <w:t xml:space="preserve"> </w:t>
      </w:r>
      <w:r>
        <w:rPr>
          <w:b/>
        </w:rPr>
        <w:t>meningococo</w:t>
      </w:r>
      <w:r>
        <w:t xml:space="preserve">; también </w:t>
      </w:r>
      <w:proofErr w:type="spellStart"/>
      <w:r>
        <w:rPr>
          <w:i/>
        </w:rPr>
        <w:t>Borrelia</w:t>
      </w:r>
      <w:proofErr w:type="spellEnd"/>
      <w:r>
        <w:t xml:space="preserve"> y </w:t>
      </w:r>
      <w:proofErr w:type="spellStart"/>
      <w:r>
        <w:rPr>
          <w:i/>
        </w:rPr>
        <w:t>Brucella</w:t>
      </w:r>
      <w:proofErr w:type="spellEnd"/>
      <w:r>
        <w:t>. El líquido articular puede dar el germen.</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proofErr w:type="spellStart"/>
      <w:r>
        <w:rPr>
          <w:b/>
        </w:rPr>
        <w:t>focalidad</w:t>
      </w:r>
      <w:proofErr w:type="spellEnd"/>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hacen perder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color w:val="C00000"/>
        </w:rPr>
        <w:t>combinación de clínica + analítica de sangre + LCR</w:t>
      </w:r>
      <w:r>
        <w:rPr>
          <w:color w:val="C00000"/>
        </w:rPr>
        <w:t>.</w:t>
      </w:r>
    </w:p>
    <w:p w14:paraId="5B308164" w14:textId="77777777" w:rsidR="00736A71" w:rsidRDefault="00B77AB3">
      <w:pPr>
        <w:keepLines/>
      </w:pPr>
      <w:r>
        <w:t xml:space="preserve">El estudio del LCR incluye </w:t>
      </w:r>
      <w:r>
        <w:rPr>
          <w:b/>
        </w:rPr>
        <w:t>Gram, cultivo y PCR</w:t>
      </w:r>
      <w:r>
        <w:t>; la PCR es especialmente útil cuando el Gram o el cultivo son negativos y su rendimiento no se altera por el antibiótico previo.</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y </w:t>
      </w:r>
      <w:proofErr w:type="spellStart"/>
      <w:r>
        <w:t>glucorraquia</w:t>
      </w:r>
      <w:proofErr w:type="spellEnd"/>
      <w:r>
        <w:t xml:space="preserve"> normal o ligeramente disminuida. Muchos signos de la MBA aparecen también en </w:t>
      </w:r>
      <w:r>
        <w:rPr>
          <w:b/>
        </w:rPr>
        <w:t>otras sepsis, hemorragia o isquemia intracraneal y neumonía</w:t>
      </w:r>
      <w:r>
        <w:t xml:space="preserve"> (NICE 1.1.17). Hay que considerar también la meningitis vírica (que en las primeras 24 h puede tener predominio de neutrófilos), la tuberculosa y la fúngica (de curso subagudo), las infecciones </w:t>
      </w:r>
      <w:proofErr w:type="spellStart"/>
      <w:r>
        <w:t>parameníngeas</w:t>
      </w:r>
      <w:proofErr w:type="spellEnd"/>
      <w:r>
        <w:t xml:space="preserve">,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Incidencia</w:t>
      </w:r>
      <w:r>
        <w:t xml:space="preserve"> de MBA en adultos: </w:t>
      </w:r>
      <w:r>
        <w:rPr>
          <w:b/>
        </w:rPr>
        <w:t>4‑8 casos/100.000 habitantes/año</w:t>
      </w:r>
      <w:r>
        <w:t xml:space="preserve">, el </w:t>
      </w:r>
      <w:r>
        <w:rPr>
          <w:b/>
        </w:rPr>
        <w:t xml:space="preserve">60‑80 % por </w:t>
      </w:r>
      <w:r>
        <w:rPr>
          <w:b/>
          <w:i/>
        </w:rPr>
        <w:t xml:space="preserve">S. </w:t>
      </w:r>
      <w:proofErr w:type="spellStart"/>
      <w:r>
        <w:rPr>
          <w:b/>
          <w:i/>
        </w:rPr>
        <w:t>pneumoniae</w:t>
      </w:r>
      <w:proofErr w:type="spellEnd"/>
      <w:r>
        <w:rPr>
          <w:b/>
        </w:rPr>
        <w:t xml:space="preserve"> y </w:t>
      </w:r>
      <w:r>
        <w:rPr>
          <w:b/>
          <w:i/>
        </w:rPr>
        <w:t xml:space="preserve">N. </w:t>
      </w:r>
      <w:proofErr w:type="spellStart"/>
      <w:r>
        <w:rPr>
          <w:b/>
          <w:i/>
        </w:rPr>
        <w:t>meningitidis</w:t>
      </w:r>
      <w:proofErr w:type="spellEnd"/>
      <w:r>
        <w:t xml:space="preserve"> (SEMES 2012). </w:t>
      </w:r>
      <w:r>
        <w:rPr>
          <w:b/>
        </w:rPr>
        <w:t>La mayoría de las meningitis que llegan a urgencias son víricas</w:t>
      </w:r>
      <w:r>
        <w:t xml:space="preserve"> (SEMES 2012).</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w:t>
      </w:r>
      <w:proofErr w:type="spellStart"/>
      <w:r>
        <w:rPr>
          <w:b/>
          <w:i/>
        </w:rPr>
        <w:t>influenzae</w:t>
      </w:r>
      <w:proofErr w:type="spellEnd"/>
      <w:r>
        <w:rPr>
          <w:b/>
        </w:rPr>
        <w:t xml:space="preserve"> tipo b ha prácticamente desaparecido</w:t>
      </w:r>
      <w:r>
        <w:t xml:space="preserve"> y la MBA </w:t>
      </w:r>
      <w:r>
        <w:rPr>
          <w:b/>
        </w:rPr>
        <w:t>afecta hoy más a adultos que a niños</w:t>
      </w:r>
      <w:r>
        <w:t xml:space="preserve">. El meningococo del adulto es sobre todo del </w:t>
      </w:r>
      <w:proofErr w:type="spellStart"/>
      <w:r>
        <w:rPr>
          <w:b/>
        </w:rPr>
        <w:t>serogrupo</w:t>
      </w:r>
      <w:proofErr w:type="spellEnd"/>
      <w:r>
        <w:rPr>
          <w:b/>
        </w:rPr>
        <w:t xml:space="preserve">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con las medidas de protección de la pandemia de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hasta el 18‑25 %</w:t>
      </w:r>
      <w:r>
        <w:t xml:space="preserve"> (SEMES 2012); </w:t>
      </w:r>
      <w:r>
        <w:rPr>
          <w:b/>
        </w:rPr>
        <w:t>en torno al 30 %</w:t>
      </w:r>
      <w:r>
        <w:t xml:space="preserve"> según la SEN 2025.</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w:t>
      </w:r>
      <w:proofErr w:type="spellStart"/>
      <w:r>
        <w:rPr>
          <w:b/>
        </w:rPr>
        <w:t>focalidad</w:t>
      </w:r>
      <w:proofErr w:type="spellEnd"/>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dar el antibiótico en cuanto se sospecha redujo la mortalidad en adultos, y el deterioro funcional cuando se comparó con retrasos &gt;6 h.</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proofErr w:type="spellStart"/>
      <w:r>
        <w:rPr>
          <w:b/>
          <w:i/>
        </w:rPr>
        <w:t>Streptococcus</w:t>
      </w:r>
      <w:proofErr w:type="spellEnd"/>
      <w:r>
        <w:rPr>
          <w:b/>
          <w:i/>
        </w:rPr>
        <w:t xml:space="preserve"> </w:t>
      </w:r>
      <w:proofErr w:type="spellStart"/>
      <w:r>
        <w:rPr>
          <w:b/>
          <w:i/>
        </w:rPr>
        <w:t>pneumoniae</w:t>
      </w:r>
      <w:proofErr w:type="spellEnd"/>
      <w:r>
        <w:t xml:space="preserve"> es la primera causa en el adulto, seguido de </w:t>
      </w:r>
      <w:proofErr w:type="spellStart"/>
      <w:r>
        <w:rPr>
          <w:b/>
          <w:i/>
        </w:rPr>
        <w:t>Neisseria</w:t>
      </w:r>
      <w:proofErr w:type="spellEnd"/>
      <w:r>
        <w:rPr>
          <w:b/>
          <w:i/>
        </w:rPr>
        <w:t xml:space="preserve"> </w:t>
      </w:r>
      <w:proofErr w:type="spellStart"/>
      <w:r>
        <w:rPr>
          <w:b/>
          <w:i/>
        </w:rPr>
        <w:t>meningitidis</w:t>
      </w:r>
      <w:proofErr w:type="spellEnd"/>
      <w:r>
        <w:t xml:space="preserve">. </w:t>
      </w:r>
      <w:r>
        <w:rPr>
          <w:b/>
          <w:i/>
        </w:rPr>
        <w:t xml:space="preserve">Listeria </w:t>
      </w:r>
      <w:proofErr w:type="spellStart"/>
      <w:r>
        <w:rPr>
          <w:b/>
          <w:i/>
        </w:rPr>
        <w:t>monocytogenes</w:t>
      </w:r>
      <w:proofErr w:type="spellEnd"/>
      <w:r>
        <w:t xml:space="preserve"> es la </w:t>
      </w:r>
      <w:r>
        <w:rPr>
          <w:b/>
        </w:rPr>
        <w:t>tercera</w:t>
      </w:r>
      <w:r>
        <w:t xml:space="preserve"> (sobre todo en ancianos e inmunodeprimidos). </w:t>
      </w:r>
      <w:r>
        <w:rPr>
          <w:b/>
          <w:i/>
        </w:rPr>
        <w:t xml:space="preserve">H. </w:t>
      </w:r>
      <w:proofErr w:type="spellStart"/>
      <w:r>
        <w:rPr>
          <w:b/>
          <w:i/>
        </w:rPr>
        <w:t>influenzae</w:t>
      </w:r>
      <w:proofErr w:type="spellEnd"/>
      <w:r>
        <w:t xml:space="preserve"> y </w:t>
      </w:r>
      <w:r>
        <w:rPr>
          <w:b/>
          <w:i/>
        </w:rPr>
        <w:t xml:space="preserve">S. </w:t>
      </w:r>
      <w:proofErr w:type="spellStart"/>
      <w:r>
        <w:rPr>
          <w:b/>
          <w:i/>
        </w:rPr>
        <w:t>aureus</w:t>
      </w:r>
      <w:proofErr w:type="spellEnd"/>
      <w:r>
        <w:t xml:space="preserve"> causan cada uno el 1‑2 %; </w:t>
      </w:r>
      <w:r>
        <w:rPr>
          <w:i/>
        </w:rPr>
        <w:t xml:space="preserve">H. </w:t>
      </w:r>
      <w:proofErr w:type="spellStart"/>
      <w:r>
        <w:rPr>
          <w:i/>
        </w:rPr>
        <w:t>influenzae</w:t>
      </w:r>
      <w:proofErr w:type="spellEnd"/>
      <w:r>
        <w:t xml:space="preserve"> se asocia a otitis o sinusitis y </w:t>
      </w:r>
      <w:r>
        <w:rPr>
          <w:i/>
        </w:rPr>
        <w:t xml:space="preserve">S. </w:t>
      </w:r>
      <w:proofErr w:type="spellStart"/>
      <w:r>
        <w:rPr>
          <w:i/>
        </w:rPr>
        <w:t>aureus</w:t>
      </w:r>
      <w:proofErr w:type="spellEnd"/>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w:t>
      </w:r>
      <w:proofErr w:type="spellStart"/>
      <w:r>
        <w:rPr>
          <w:b/>
          <w:i/>
        </w:rPr>
        <w:t>influenzae</w:t>
      </w:r>
      <w:proofErr w:type="spellEnd"/>
      <w:r>
        <w:rPr>
          <w:b/>
        </w:rPr>
        <w:t xml:space="preserve"> 3 %</w:t>
      </w:r>
      <w:r>
        <w:t xml:space="preserve"> y otros 13 %. La SEMES 2012 sitúa </w:t>
      </w:r>
      <w:r>
        <w:rPr>
          <w:i/>
        </w:rPr>
        <w:t>Listeria</w:t>
      </w:r>
      <w:r>
        <w:t xml:space="preserve"> en el 4‑8 %. 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w:t>
      </w:r>
      <w:proofErr w:type="spellStart"/>
      <w:r>
        <w:rPr>
          <w:i/>
        </w:rPr>
        <w:t>agalactiae</w:t>
      </w:r>
      <w:proofErr w:type="spellEnd"/>
      <w:r>
        <w:t xml:space="preserve">) es frecuente en </w:t>
      </w:r>
      <w:r>
        <w:rPr>
          <w:b/>
        </w:rPr>
        <w:t>&gt;50 años con enfermedades debilitantes</w:t>
      </w:r>
      <w:r>
        <w:t xml:space="preserve">; y </w:t>
      </w:r>
      <w:r>
        <w:rPr>
          <w:i/>
        </w:rPr>
        <w:t xml:space="preserve">H. </w:t>
      </w:r>
      <w:proofErr w:type="spellStart"/>
      <w:r>
        <w:rPr>
          <w:i/>
        </w:rPr>
        <w:t>influenzae</w:t>
      </w:r>
      <w:proofErr w:type="spellEnd"/>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asplenia, enolismo, diabetes, cáncer, VIH, hipogammaglobulinemia, nefropatía o hepatopatía crónica (ESCMID; SEMES)</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Otitis, sinusitis o neumonía asociadas; laberintitis con hipoacusia; ictus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artritis</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embarazo; inmunosupresión celular (corticoides, trasplante, cáncer sólido o hematológico, VIH); diabetes; enolismo; cirrosis; nefropatía o hepatopatía (NICE; SEMES)</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proofErr w:type="spellStart"/>
            <w:r>
              <w:rPr>
                <w:rFonts w:ascii="Calibri" w:hAnsi="Calibri"/>
                <w:b/>
                <w:sz w:val="21"/>
              </w:rPr>
              <w:t>Romboencefalitis</w:t>
            </w:r>
            <w:proofErr w:type="spellEnd"/>
            <w:r>
              <w:rPr>
                <w:rFonts w:ascii="Calibri" w:hAnsi="Calibri"/>
                <w:sz w:val="21"/>
              </w:rPr>
              <w:t xml:space="preserve"> (ataxia, pares craneales bajos); </w:t>
            </w:r>
            <w:proofErr w:type="spellStart"/>
            <w:r>
              <w:rPr>
                <w:rFonts w:ascii="Calibri" w:hAnsi="Calibri"/>
                <w:sz w:val="21"/>
              </w:rPr>
              <w:t>focalidad</w:t>
            </w:r>
            <w:proofErr w:type="spellEnd"/>
            <w:r>
              <w:rPr>
                <w:rFonts w:ascii="Calibri" w:hAnsi="Calibri"/>
                <w:sz w:val="21"/>
              </w:rPr>
              <w:t xml:space="preserve">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t xml:space="preserve"> (SEMES 2012, además de lo esperable por la edad):</w:t>
      </w:r>
    </w:p>
    <w:p w14:paraId="6A10BF1E" w14:textId="77777777" w:rsidR="00736A71" w:rsidRDefault="00B77AB3">
      <w:pPr>
        <w:pStyle w:val="Prrafodelista"/>
        <w:keepLines/>
        <w:numPr>
          <w:ilvl w:val="0"/>
          <w:numId w:val="13"/>
        </w:numPr>
        <w:spacing w:after="80"/>
      </w:pPr>
      <w:r>
        <w:rPr>
          <w:b/>
          <w:color w:val="17384D"/>
        </w:rPr>
        <w:t>Neutropenia</w:t>
      </w:r>
      <w:r>
        <w:t xml:space="preserve">: enterobacterias, </w:t>
      </w:r>
      <w:r>
        <w:rPr>
          <w:i/>
        </w:rPr>
        <w:t>Pseudomonas</w:t>
      </w:r>
      <w:r>
        <w:t xml:space="preserve">, </w:t>
      </w:r>
      <w:r>
        <w:rPr>
          <w:i/>
        </w:rPr>
        <w:t>Listeria</w:t>
      </w:r>
      <w:r>
        <w:t>, anaerobios.</w:t>
      </w:r>
    </w:p>
    <w:p w14:paraId="1F80D37E" w14:textId="77777777" w:rsidR="00736A71" w:rsidRDefault="00B77AB3">
      <w:pPr>
        <w:pStyle w:val="Prrafodelista"/>
        <w:keepLines/>
        <w:numPr>
          <w:ilvl w:val="0"/>
          <w:numId w:val="13"/>
        </w:numPr>
        <w:spacing w:after="80"/>
      </w:pPr>
      <w:r>
        <w:rPr>
          <w:b/>
          <w:color w:val="17384D"/>
        </w:rPr>
        <w:t>Esplenectomía</w:t>
      </w:r>
      <w:r>
        <w:t xml:space="preserve">: neumococo y otros encapsulados, </w:t>
      </w:r>
      <w:r>
        <w:rPr>
          <w:i/>
        </w:rPr>
        <w:t>Listeria</w:t>
      </w:r>
      <w:r>
        <w:t>.</w:t>
      </w:r>
    </w:p>
    <w:p w14:paraId="2C3E4A56" w14:textId="77777777" w:rsidR="00736A71" w:rsidRDefault="00B77AB3">
      <w:pPr>
        <w:pStyle w:val="Prrafodelista"/>
        <w:keepLines/>
        <w:numPr>
          <w:ilvl w:val="0"/>
          <w:numId w:val="13"/>
        </w:numPr>
        <w:spacing w:after="80"/>
      </w:pPr>
      <w:r>
        <w:rPr>
          <w:b/>
        </w:rPr>
        <w:t>Enfermedad crónica debilitante</w:t>
      </w:r>
      <w:r>
        <w:t xml:space="preserve"> (diabetes, insuficiencia renal, alcoholismo, cáncer, corticoides, hepatopatía): enterobacterias, </w:t>
      </w:r>
      <w:r>
        <w:rPr>
          <w:i/>
        </w:rPr>
        <w:t>Pseudomonas</w:t>
      </w:r>
      <w:r>
        <w:t xml:space="preserve">, </w:t>
      </w:r>
      <w:r>
        <w:rPr>
          <w:i/>
        </w:rPr>
        <w:t>Listeria</w:t>
      </w:r>
      <w:r>
        <w:t xml:space="preserve">, meningococo, neumococo, </w:t>
      </w:r>
      <w:r>
        <w:rPr>
          <w:i/>
        </w:rPr>
        <w:t>M. tuberculosis</w:t>
      </w:r>
      <w:r>
        <w:t xml:space="preserve">, </w:t>
      </w:r>
      <w:r>
        <w:rPr>
          <w:i/>
        </w:rPr>
        <w:t xml:space="preserve">H. </w:t>
      </w:r>
      <w:proofErr w:type="spellStart"/>
      <w:r>
        <w:rPr>
          <w:i/>
        </w:rPr>
        <w:t>influenzae</w:t>
      </w:r>
      <w:proofErr w:type="spellEnd"/>
      <w:r>
        <w:t xml:space="preserve">. También se describen </w:t>
      </w:r>
      <w:r>
        <w:rPr>
          <w:b/>
        </w:rPr>
        <w:t>bacilos gramnegativos</w:t>
      </w:r>
      <w:r>
        <w:t xml:space="preserve"> (</w:t>
      </w:r>
      <w:r>
        <w:rPr>
          <w:i/>
        </w:rPr>
        <w:t xml:space="preserve">P. </w:t>
      </w:r>
      <w:proofErr w:type="spellStart"/>
      <w:r>
        <w:rPr>
          <w:i/>
        </w:rPr>
        <w:t>aeruginosa</w:t>
      </w:r>
      <w:proofErr w:type="spellEnd"/>
      <w:r>
        <w:t xml:space="preserve">, </w:t>
      </w:r>
      <w:proofErr w:type="spellStart"/>
      <w:r>
        <w:rPr>
          <w:i/>
        </w:rPr>
        <w:t>Klebsiella</w:t>
      </w:r>
      <w:proofErr w:type="spellEnd"/>
      <w:r>
        <w:t xml:space="preserve">) en la </w:t>
      </w:r>
      <w:r>
        <w:rPr>
          <w:b/>
        </w:rPr>
        <w:t>estrongiloidiasis diseminada</w:t>
      </w:r>
      <w:r>
        <w:t xml:space="preserve"> y enterobacterias en la diabetes, la cirrosis, el alcoholismo y las infecciones urinarias.</w:t>
      </w:r>
    </w:p>
    <w:p w14:paraId="6CB69C9B" w14:textId="77777777" w:rsidR="00736A71" w:rsidRDefault="00B77AB3">
      <w:pPr>
        <w:pStyle w:val="Prrafodelista"/>
        <w:keepLines/>
        <w:numPr>
          <w:ilvl w:val="0"/>
          <w:numId w:val="13"/>
        </w:numPr>
        <w:spacing w:after="80"/>
      </w:pPr>
      <w:r>
        <w:rPr>
          <w:b/>
          <w:color w:val="17384D"/>
        </w:rPr>
        <w:t>Fístula de LCR</w:t>
      </w:r>
      <w:r>
        <w:t>: neumococo.</w:t>
      </w:r>
    </w:p>
    <w:p w14:paraId="34A2DE92" w14:textId="77777777" w:rsidR="00736A71" w:rsidRDefault="00B77AB3">
      <w:pPr>
        <w:pStyle w:val="Prrafodelista"/>
        <w:keepLines/>
        <w:numPr>
          <w:ilvl w:val="0"/>
          <w:numId w:val="13"/>
        </w:numPr>
        <w:spacing w:after="80"/>
      </w:pPr>
      <w:r>
        <w:rPr>
          <w:b/>
          <w:color w:val="17384D"/>
        </w:rPr>
        <w:t>Neurocirugía</w:t>
      </w:r>
      <w:r>
        <w:t xml:space="preserve">: </w:t>
      </w:r>
      <w:r>
        <w:rPr>
          <w:i/>
        </w:rPr>
        <w:t xml:space="preserve">S. </w:t>
      </w:r>
      <w:proofErr w:type="spellStart"/>
      <w:r>
        <w:rPr>
          <w:i/>
        </w:rPr>
        <w:t>aureus</w:t>
      </w:r>
      <w:proofErr w:type="spellEnd"/>
      <w:r>
        <w:t xml:space="preserve">, </w:t>
      </w:r>
      <w:r>
        <w:rPr>
          <w:i/>
        </w:rPr>
        <w:t xml:space="preserve">S. </w:t>
      </w:r>
      <w:proofErr w:type="spellStart"/>
      <w:r>
        <w:rPr>
          <w:i/>
        </w:rPr>
        <w:t>epidermidis</w:t>
      </w:r>
      <w:proofErr w:type="spellEnd"/>
      <w:r>
        <w:t xml:space="preserve">, </w:t>
      </w:r>
      <w:r>
        <w:rPr>
          <w:i/>
        </w:rPr>
        <w:t xml:space="preserve">P. </w:t>
      </w:r>
      <w:proofErr w:type="spellStart"/>
      <w:r>
        <w:rPr>
          <w:i/>
        </w:rPr>
        <w:t>aeruginosa</w:t>
      </w:r>
      <w:proofErr w:type="spellEnd"/>
      <w:r>
        <w:t>, enterobacterias.</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w:t>
      </w:r>
      <w:r>
        <w:t>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Enumera los siguientes criterios:</w:t>
      </w:r>
    </w:p>
    <w:p w14:paraId="3044DAA9" w14:textId="77777777" w:rsidR="00736A71" w:rsidRDefault="00B77AB3">
      <w:pPr>
        <w:pStyle w:val="Prrafodelista"/>
        <w:keepLines/>
        <w:numPr>
          <w:ilvl w:val="0"/>
          <w:numId w:val="15"/>
        </w:numPr>
        <w:spacing w:after="80"/>
      </w:pPr>
      <w:proofErr w:type="spellStart"/>
      <w:r>
        <w:rPr>
          <w:b/>
        </w:rPr>
        <w:t>Focalidad</w:t>
      </w:r>
      <w:proofErr w:type="spellEnd"/>
      <w:r>
        <w:rPr>
          <w:b/>
        </w:rPr>
        <w:t xml:space="preserve">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proofErr w:type="spellStart"/>
      <w:r>
        <w:rPr>
          <w:b/>
        </w:rPr>
        <w:t>focalidad</w:t>
      </w:r>
      <w:proofErr w:type="spellEnd"/>
      <w:r>
        <w:rPr>
          <w:b/>
        </w:rPr>
        <w:t xml:space="preserve">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59D1AB68" w14:textId="77777777" w:rsidR="00736A71" w:rsidRDefault="00B77AB3">
      <w:pPr>
        <w:pStyle w:val="Prrafodelista"/>
        <w:keepLines/>
        <w:numPr>
          <w:ilvl w:val="0"/>
          <w:numId w:val="16"/>
        </w:numPr>
        <w:spacing w:after="80"/>
      </w:pPr>
      <w:r>
        <w:lastRenderedPageBreak/>
        <w:t>Si la PL es segura y no retrasa de forma clínicamente relevante el antibiótico, hacerla antes de iniciarlo; si ya se ha administrado, realizarla cuanto antes, siempre que sea segura.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Una neuroimagen normal o una aguja fina no bastan para considerar segura la PL si persisten factores de riesgo</w:t>
      </w:r>
      <w:r>
        <w:t xml:space="preserve">: mantener la valoración clínica y las contraindicaciones anteriores (NICE 1.4.7 y 1.4.11‑1.4.12). El desarrollo de cefalea </w:t>
      </w:r>
      <w:proofErr w:type="spellStart"/>
      <w:r>
        <w:t>pospunción</w:t>
      </w:r>
      <w:proofErr w:type="spellEnd"/>
      <w:r>
        <w:t>, hematoma, infección y herniación está en el capítulo 8 (Complicaciones de la punción lumbar).</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ESCMID: ~75 % en la neumocócica, 50‑90 % en la de </w:t>
      </w:r>
      <w:r>
        <w:rPr>
          <w:i/>
        </w:rPr>
        <w:t xml:space="preserve">H. </w:t>
      </w:r>
      <w:proofErr w:type="spellStart"/>
      <w:r>
        <w:rPr>
          <w:i/>
        </w:rPr>
        <w:t>influenzae</w:t>
      </w:r>
      <w:proofErr w:type="spellEnd"/>
      <w:r>
        <w:t xml:space="preserve"> y </w:t>
      </w:r>
      <w:r>
        <w:rPr>
          <w:b/>
        </w:rPr>
        <w:t>40‑60 % en la meningocócica</w:t>
      </w:r>
      <w:r>
        <w:t>. El antibiótico previo reduce su rendimiento en ~20 % (ESCMID).</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pide otras pruebas</w:t>
      </w:r>
      <w:r>
        <w:t xml:space="preserve">: foco </w:t>
      </w:r>
      <w:proofErr w:type="spellStart"/>
      <w:r>
        <w:t>parameníngeo</w:t>
      </w:r>
      <w:proofErr w:type="spellEnd"/>
      <w:r>
        <w:t xml:space="preserve"> (sinusitis, </w:t>
      </w:r>
      <w:proofErr w:type="spellStart"/>
      <w:r>
        <w:t>otomastoiditis</w:t>
      </w:r>
      <w:proofErr w:type="spellEnd"/>
      <w:r>
        <w:t>,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(NICE 1.4.13; SEMES 2012).</w:t>
      </w:r>
    </w:p>
    <w:p w14:paraId="15142D15" w14:textId="77777777" w:rsidR="00736A71" w:rsidRDefault="00B77AB3">
      <w:pPr>
        <w:pStyle w:val="Prrafodelista"/>
        <w:keepLines/>
        <w:numPr>
          <w:ilvl w:val="0"/>
          <w:numId w:val="18"/>
        </w:numPr>
        <w:spacing w:after="80"/>
      </w:pPr>
      <w:r>
        <w:rPr>
          <w:b/>
        </w:rPr>
        <w:t>PCR (proteína C reactiva) o procalcitonina</w:t>
      </w:r>
      <w:r>
        <w:t xml:space="preserve"> (NICE 1.4.4). </w:t>
      </w:r>
      <w:r>
        <w:rPr>
          <w:b/>
          <w:i/>
          <w:color w:val="C00000"/>
        </w:rPr>
        <w:t xml:space="preserve">Una PCR, una PCT o </w:t>
      </w:r>
      <w:proofErr w:type="gramStart"/>
      <w:r>
        <w:rPr>
          <w:b/>
          <w:i/>
          <w:color w:val="C00000"/>
        </w:rPr>
        <w:t>una leucocitosis normales</w:t>
      </w:r>
      <w:proofErr w:type="gramEnd"/>
      <w:r>
        <w:rPr>
          <w:b/>
          <w:i/>
          <w:color w:val="C00000"/>
        </w:rPr>
        <w:t xml:space="preserve"> NO descartan la MBA</w:t>
      </w:r>
      <w:r>
        <w:t xml:space="preserve"> (NICE 1.4.5). La ESCMID añade que se asocian a infección bacteriana pero no permiten hacer el diagnóstico, y que pierden valor si hay otro foco (n</w:t>
      </w:r>
      <w:r>
        <w:t>eumonía, sepsis). La NICE prefiere la PCR (la PCT no fue claramente superior y es más cara). Orientativo según la SEMES 2012: PCR &gt;10 mg/</w:t>
      </w:r>
      <w:proofErr w:type="spellStart"/>
      <w:r>
        <w:t>dL</w:t>
      </w:r>
      <w:proofErr w:type="spellEnd"/>
      <w:r>
        <w:t xml:space="preserve"> o PCT &gt;0,5 ng/</w:t>
      </w:r>
      <w:proofErr w:type="spellStart"/>
      <w:r>
        <w:t>mL</w:t>
      </w:r>
      <w:proofErr w:type="spellEnd"/>
      <w:r>
        <w:t xml:space="preserve"> hacen más probable la MBA, y PCT &gt;2 ng/</w:t>
      </w:r>
      <w:proofErr w:type="spellStart"/>
      <w:r>
        <w:t>mL</w:t>
      </w:r>
      <w:proofErr w:type="spellEnd"/>
      <w:r>
        <w:t xml:space="preserve"> se asocia a MBA con bacteriemia y riesgo de sepsis grave.</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w:t>
      </w:r>
      <w:proofErr w:type="spellStart"/>
      <w:r>
        <w:t>tipar</w:t>
      </w:r>
      <w:proofErr w:type="spellEnd"/>
      <w:r>
        <w:t xml:space="preserve">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w:t>
      </w:r>
      <w:proofErr w:type="spellStart"/>
      <w:r>
        <w:t>citobioquímica</w:t>
      </w:r>
      <w:proofErr w:type="spellEnd"/>
      <w:r>
        <w:t xml:space="preserve"> disponible en </w:t>
      </w:r>
      <w:r>
        <w:rPr>
          <w:b/>
        </w:rPr>
        <w:t>&lt;4 h</w:t>
      </w:r>
      <w:r>
        <w:t xml:space="preserve"> (1.4.16). Ampliar el estudio etiológico según el contexto clínico (ver capítulo 2).</w:t>
      </w:r>
    </w:p>
    <w:p w14:paraId="7EB6F0A6" w14:textId="77777777" w:rsidR="00736A71" w:rsidRDefault="00B77AB3">
      <w:pPr>
        <w:keepLines/>
      </w:pPr>
      <w:r>
        <w:t>LCR normal (SEMES 2012): claro, presión de apertura de 5‑20 cm H₂O, &lt;5 células/mm³ (mononucleares), glucosa al 60‑80 % de la glucemia y proteínas de 15‑45 mg/</w:t>
      </w:r>
      <w:proofErr w:type="spellStart"/>
      <w:r>
        <w:t>dL</w:t>
      </w:r>
      <w:proofErr w:type="spellEnd"/>
      <w:r>
        <w:t>. Con 5‑10 células/mm³ ya hay que considerar que puede ser patológico.</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8B9ACDC" w14:textId="77777777">
        <w:trPr>
          <w:cantSplit/>
          <w:tblHeader/>
          <w:jc w:val="center"/>
        </w:trPr>
        <w:tc>
          <w:tcPr>
            <w:tcW w:w="1984" w:type="dxa"/>
            <w:shd w:val="clear" w:color="auto" w:fill="17384D"/>
            <w:tcMar>
              <w:top w:w="95" w:type="dxa"/>
              <w:left w:w="115" w:type="dxa"/>
              <w:bottom w:w="95" w:type="dxa"/>
              <w:right w:w="115" w:type="dxa"/>
            </w:tcMar>
            <w:vAlign w:val="center"/>
          </w:tcPr>
          <w:p w14:paraId="4B3B14C7"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34990111" w14:textId="77777777" w:rsidR="00736A71" w:rsidRDefault="00B77AB3">
            <w:pPr>
              <w:keepNext/>
              <w:keepLines/>
              <w:suppressAutoHyphens/>
              <w:spacing w:after="0" w:line="252" w:lineRule="auto"/>
              <w:jc w:val="left"/>
            </w:pPr>
            <w:r>
              <w:rPr>
                <w:rFonts w:ascii="Calibri" w:hAnsi="Calibri"/>
                <w:b/>
                <w:color w:val="FFFFFF"/>
                <w:spacing w:val="4"/>
                <w:sz w:val="20"/>
                <w:szCs w:val="20"/>
              </w:rPr>
              <w:t>MBA</w:t>
            </w:r>
          </w:p>
        </w:tc>
        <w:tc>
          <w:tcPr>
            <w:tcW w:w="3713"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17260EAE" w14:textId="77777777">
        <w:trPr>
          <w:cantSplit/>
          <w:jc w:val="center"/>
        </w:trPr>
        <w:tc>
          <w:tcPr>
            <w:tcW w:w="1984" w:type="dxa"/>
            <w:shd w:val="clear" w:color="auto" w:fill="FFFFFF"/>
            <w:tcMar>
              <w:top w:w="95" w:type="dxa"/>
              <w:left w:w="115" w:type="dxa"/>
              <w:bottom w:w="95" w:type="dxa"/>
              <w:right w:w="115" w:type="dxa"/>
            </w:tcMar>
          </w:tcPr>
          <w:p w14:paraId="46294A2A" w14:textId="77777777" w:rsidR="00736A71" w:rsidRDefault="00B77AB3">
            <w:pPr>
              <w:keepNext/>
              <w:keepLines/>
              <w:suppressAutoHyphens/>
              <w:spacing w:after="0" w:line="252" w:lineRule="auto"/>
              <w:jc w:val="left"/>
            </w:pPr>
            <w:r>
              <w:rPr>
                <w:rFonts w:ascii="Calibri" w:hAnsi="Calibri"/>
                <w:color w:val="17384D"/>
                <w:sz w:val="21"/>
              </w:rPr>
              <w:t>Presión de apertura</w:t>
            </w:r>
          </w:p>
        </w:tc>
        <w:tc>
          <w:tcPr>
            <w:tcW w:w="3713" w:type="dxa"/>
            <w:shd w:val="clear" w:color="auto" w:fill="FFFFFF"/>
            <w:tcMar>
              <w:top w:w="95" w:type="dxa"/>
              <w:left w:w="115" w:type="dxa"/>
              <w:bottom w:w="95" w:type="dxa"/>
              <w:right w:w="115" w:type="dxa"/>
            </w:tcMar>
          </w:tcPr>
          <w:p w14:paraId="390F09B8"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63E24F2B" w14:textId="77777777">
        <w:trPr>
          <w:cantSplit/>
          <w:jc w:val="center"/>
        </w:trPr>
        <w:tc>
          <w:tcPr>
            <w:tcW w:w="1984" w:type="dxa"/>
            <w:shd w:val="clear" w:color="auto" w:fill="F2F6F8"/>
            <w:tcMar>
              <w:top w:w="95" w:type="dxa"/>
              <w:left w:w="115" w:type="dxa"/>
              <w:bottom w:w="95" w:type="dxa"/>
              <w:right w:w="115" w:type="dxa"/>
            </w:tcMar>
          </w:tcPr>
          <w:p w14:paraId="2A0DDE30" w14:textId="77777777" w:rsidR="00736A71" w:rsidRDefault="00B77AB3">
            <w:pPr>
              <w:keepNext/>
              <w:keepLines/>
              <w:suppressAutoHyphens/>
              <w:spacing w:after="0" w:line="252" w:lineRule="auto"/>
              <w:jc w:val="left"/>
            </w:pPr>
            <w:r>
              <w:rPr>
                <w:rFonts w:ascii="Calibri" w:hAnsi="Calibri"/>
                <w:color w:val="17384D"/>
                <w:sz w:val="21"/>
              </w:rPr>
              <w:t>Leucocitos en el LCR</w:t>
            </w:r>
          </w:p>
        </w:tc>
        <w:tc>
          <w:tcPr>
            <w:tcW w:w="3713" w:type="dxa"/>
            <w:shd w:val="clear" w:color="auto" w:fill="F2F6F8"/>
            <w:tcMar>
              <w:top w:w="95" w:type="dxa"/>
              <w:left w:w="115" w:type="dxa"/>
              <w:bottom w:w="95" w:type="dxa"/>
              <w:right w:w="115" w:type="dxa"/>
            </w:tcMar>
          </w:tcPr>
          <w:p w14:paraId="71119B05"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100‑1.000/µL</w:t>
            </w:r>
            <w:r>
              <w:rPr>
                <w:rFonts w:ascii="Calibri" w:hAnsi="Calibri"/>
                <w:sz w:val="21"/>
              </w:rPr>
              <w:t>, de predominio polinuclear</w:t>
            </w:r>
          </w:p>
        </w:tc>
        <w:tc>
          <w:tcPr>
            <w:tcW w:w="3713"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000AD18D" w14:textId="77777777">
        <w:trPr>
          <w:cantSplit/>
          <w:jc w:val="center"/>
        </w:trPr>
        <w:tc>
          <w:tcPr>
            <w:tcW w:w="1984" w:type="dxa"/>
            <w:shd w:val="clear" w:color="auto" w:fill="FFFFFF"/>
            <w:tcMar>
              <w:top w:w="95" w:type="dxa"/>
              <w:left w:w="115" w:type="dxa"/>
              <w:bottom w:w="95" w:type="dxa"/>
              <w:right w:w="115" w:type="dxa"/>
            </w:tcMar>
          </w:tcPr>
          <w:p w14:paraId="7C03FDA2" w14:textId="77777777" w:rsidR="00736A71" w:rsidRDefault="00B77AB3">
            <w:pPr>
              <w:keepNext/>
              <w:keepLines/>
              <w:suppressAutoHyphens/>
              <w:spacing w:after="0" w:line="252" w:lineRule="auto"/>
              <w:jc w:val="left"/>
            </w:pPr>
            <w:r>
              <w:rPr>
                <w:rFonts w:ascii="Calibri" w:hAnsi="Calibri"/>
                <w:color w:val="17384D"/>
                <w:sz w:val="21"/>
              </w:rPr>
              <w:t>Glucosa</w:t>
            </w:r>
          </w:p>
        </w:tc>
        <w:tc>
          <w:tcPr>
            <w:tcW w:w="3713" w:type="dxa"/>
            <w:shd w:val="clear" w:color="auto" w:fill="FFFFFF"/>
            <w:tcMar>
              <w:top w:w="95" w:type="dxa"/>
              <w:left w:w="115" w:type="dxa"/>
              <w:bottom w:w="95" w:type="dxa"/>
              <w:right w:w="115" w:type="dxa"/>
            </w:tcMar>
          </w:tcPr>
          <w:p w14:paraId="402627F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738F745F" w14:textId="77777777">
        <w:trPr>
          <w:cantSplit/>
          <w:jc w:val="center"/>
        </w:trPr>
        <w:tc>
          <w:tcPr>
            <w:tcW w:w="1984" w:type="dxa"/>
            <w:shd w:val="clear" w:color="auto" w:fill="F2F6F8"/>
            <w:tcMar>
              <w:top w:w="95" w:type="dxa"/>
              <w:left w:w="115" w:type="dxa"/>
              <w:bottom w:w="95" w:type="dxa"/>
              <w:right w:w="115" w:type="dxa"/>
            </w:tcMar>
          </w:tcPr>
          <w:p w14:paraId="3A15AFDE" w14:textId="77777777" w:rsidR="00736A71" w:rsidRDefault="00B77AB3">
            <w:pPr>
              <w:keepLines/>
              <w:suppressAutoHyphens/>
              <w:spacing w:after="0" w:line="252" w:lineRule="auto"/>
              <w:jc w:val="left"/>
            </w:pPr>
            <w:r>
              <w:rPr>
                <w:rFonts w:ascii="Calibri" w:hAnsi="Calibri"/>
                <w:color w:val="17384D"/>
                <w:sz w:val="21"/>
              </w:rPr>
              <w:t>Proteínas</w:t>
            </w:r>
          </w:p>
        </w:tc>
        <w:tc>
          <w:tcPr>
            <w:tcW w:w="3713" w:type="dxa"/>
            <w:shd w:val="clear" w:color="auto" w:fill="F2F6F8"/>
            <w:tcMar>
              <w:top w:w="95" w:type="dxa"/>
              <w:left w:w="115" w:type="dxa"/>
              <w:bottom w:w="95" w:type="dxa"/>
              <w:right w:w="115" w:type="dxa"/>
            </w:tcMar>
          </w:tcPr>
          <w:p w14:paraId="6D08A07A" w14:textId="77777777" w:rsidR="00736A71" w:rsidRDefault="00B77AB3">
            <w:pPr>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w:t>
            </w:r>
            <w:proofErr w:type="spellStart"/>
            <w:r>
              <w:rPr>
                <w:rFonts w:ascii="Calibri" w:hAnsi="Calibri"/>
                <w:b/>
                <w:sz w:val="21"/>
              </w:rPr>
              <w:t>dL</w:t>
            </w:r>
            <w:proofErr w:type="spellEnd"/>
          </w:p>
        </w:tc>
      </w:tr>
    </w:tbl>
    <w:p w14:paraId="6170650F" w14:textId="77777777" w:rsidR="00736A71" w:rsidRDefault="00736A71">
      <w:pPr>
        <w:widowControl w:val="0"/>
        <w:spacing w:after="0" w:line="140" w:lineRule="exact"/>
      </w:pPr>
    </w:p>
    <w:p w14:paraId="2FE1D6BA" w14:textId="77777777" w:rsidR="00736A71" w:rsidRDefault="00B77AB3">
      <w:pPr>
        <w:keepLines/>
        <w:spacing w:before="60" w:after="200"/>
      </w:pPr>
      <w:r>
        <w:rPr>
          <w:color w:val="4F5F68"/>
          <w:sz w:val="19"/>
          <w:szCs w:val="19"/>
        </w:rPr>
        <w:t>Son perfiles orientativos, con solapamiento. *En fases precoces de infección vírica puede haber LCR normal o predominio neutrofílico; con Listeria el LCR puede ser linfocitario. Ver capítulo 2.</w:t>
      </w:r>
    </w:p>
    <w:p w14:paraId="05F77517" w14:textId="77777777" w:rsidR="00736A71" w:rsidRDefault="00B77AB3">
      <w:pPr>
        <w:keepNext/>
        <w:keepLines/>
        <w:spacing w:before="200" w:after="100"/>
        <w:jc w:val="left"/>
      </w:pPr>
      <w:r>
        <w:rPr>
          <w:rFonts w:ascii="Calibri" w:hAnsi="Calibri" w:cs="Calibri"/>
          <w:b/>
          <w:color w:val="17384D"/>
        </w:rPr>
        <w:t>Perfil del LCR en la MBA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C8E017B" w14:textId="77777777">
        <w:trPr>
          <w:cantSplit/>
          <w:tblHeader/>
          <w:jc w:val="center"/>
        </w:trPr>
        <w:tc>
          <w:tcPr>
            <w:tcW w:w="1984"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Perfil habitual</w:t>
            </w:r>
          </w:p>
        </w:tc>
        <w:tc>
          <w:tcPr>
            <w:tcW w:w="3713"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Datos que hacen especialmente probable la MBA</w:t>
            </w:r>
          </w:p>
        </w:tc>
      </w:tr>
      <w:tr w:rsidR="00736A71" w14:paraId="0941BEB9" w14:textId="77777777">
        <w:trPr>
          <w:cantSplit/>
          <w:jc w:val="center"/>
        </w:trPr>
        <w:tc>
          <w:tcPr>
            <w:tcW w:w="1984"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3713"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r>
      <w:tr w:rsidR="00736A71" w14:paraId="0C4D198E" w14:textId="77777777">
        <w:trPr>
          <w:cantSplit/>
          <w:jc w:val="center"/>
        </w:trPr>
        <w:tc>
          <w:tcPr>
            <w:tcW w:w="1984"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3713"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3713"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r>
      <w:tr w:rsidR="00736A71" w14:paraId="3F5C5275" w14:textId="77777777">
        <w:trPr>
          <w:cantSplit/>
          <w:jc w:val="center"/>
        </w:trPr>
        <w:tc>
          <w:tcPr>
            <w:tcW w:w="1984"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3713"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p>
        </w:tc>
      </w:tr>
      <w:tr w:rsidR="00736A71" w14:paraId="0241230A" w14:textId="77777777">
        <w:trPr>
          <w:cantSplit/>
          <w:jc w:val="center"/>
        </w:trPr>
        <w:tc>
          <w:tcPr>
            <w:tcW w:w="1984"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3713"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w:t>
            </w:r>
            <w:proofErr w:type="spellStart"/>
            <w:r>
              <w:rPr>
                <w:rFonts w:ascii="Calibri" w:hAnsi="Calibri"/>
                <w:b/>
                <w:sz w:val="21"/>
              </w:rPr>
              <w:t>dL</w:t>
            </w:r>
            <w:proofErr w:type="spellEnd"/>
          </w:p>
        </w:tc>
      </w:tr>
    </w:tbl>
    <w:p w14:paraId="17E9D61B" w14:textId="77777777" w:rsidR="00736A71" w:rsidRDefault="00B77AB3">
      <w:pPr>
        <w:keepLines/>
        <w:spacing w:before="60" w:after="200"/>
      </w:pPr>
      <w:r>
        <w:rPr>
          <w:i/>
          <w:color w:val="4F5F68"/>
          <w:sz w:val="19"/>
          <w:szCs w:val="19"/>
        </w:rPr>
        <w:t xml:space="preserve">Este perfil aparece en más del 90 % de los pacientes. Con </w:t>
      </w:r>
      <w:r>
        <w:rPr>
          <w:b/>
          <w:i/>
          <w:color w:val="4F5F68"/>
          <w:sz w:val="19"/>
          <w:szCs w:val="19"/>
        </w:rPr>
        <w:t>Listeria</w:t>
      </w:r>
      <w:r>
        <w:rPr>
          <w:i/>
          <w:color w:val="4F5F68"/>
          <w:sz w:val="19"/>
          <w:szCs w:val="19"/>
        </w:rPr>
        <w:t>, el LCR puede ser linfocitario.</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Muy útil si se dio antibiótico antes de la PL (la SEN 2025 dice que este no influye en su rendimiento); </w:t>
            </w:r>
            <w:r>
              <w:rPr>
                <w:rFonts w:ascii="Calibri" w:hAnsi="Calibri"/>
                <w:b/>
                <w:sz w:val="21"/>
              </w:rPr>
              <w:t>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La SEN 2025 no precisa la técnica</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No aporta nada si hay Gram</w:t>
            </w:r>
          </w:p>
        </w:tc>
      </w:tr>
    </w:tbl>
    <w:p w14:paraId="10E6E48F" w14:textId="77777777" w:rsidR="00736A71" w:rsidRDefault="00736A71">
      <w:pPr>
        <w:widowControl w:val="0"/>
        <w:spacing w:after="0" w:line="140" w:lineRule="exact"/>
      </w:pPr>
    </w:p>
    <w:p w14:paraId="04DAECE3" w14:textId="77777777" w:rsidR="00736A71" w:rsidRDefault="00B77AB3">
      <w:pPr>
        <w:keepLines/>
      </w:pPr>
      <w:r>
        <w:t>El cultivo y el Gram pueden seguir siendo útiles tras iniciar el antibiótico, aunque el tratamiento previo reduce el rendimiento del cultivo (ESCMID 2016). Obtener los cultivos antes del antibiótico, pero sin retrasarlo por la PL.</w:t>
      </w:r>
    </w:p>
    <w:p w14:paraId="5DBE7703" w14:textId="77777777" w:rsidR="00736A71" w:rsidRDefault="00B77AB3">
      <w:pPr>
        <w:pStyle w:val="Prrafodelista"/>
        <w:keepLines/>
        <w:numPr>
          <w:ilvl w:val="0"/>
          <w:numId w:val="19"/>
        </w:numPr>
        <w:spacing w:after="80"/>
      </w:pPr>
      <w:r>
        <w:t xml:space="preserve">Un LCR completamente normal es muy </w:t>
      </w:r>
      <w:proofErr w:type="gramStart"/>
      <w:r>
        <w:t>raro</w:t>
      </w:r>
      <w:proofErr w:type="gramEnd"/>
      <w:r>
        <w:t xml:space="preserve"> pero existe (ESCMID): el 17 % de las neumocócicas tiene &lt;100 células/mm³, el 19 % de las meningocócicas &lt;1.000 (sobre todo si hay shock séptico) y </w:t>
      </w:r>
      <w:r>
        <w:rPr>
          <w:b/>
        </w:rPr>
        <w:t xml:space="preserve">en la meningitis por </w:t>
      </w:r>
      <w:r>
        <w:rPr>
          <w:b/>
          <w:i/>
        </w:rPr>
        <w:t>Listeria</w:t>
      </w:r>
      <w:r>
        <w:rPr>
          <w:b/>
        </w:rPr>
        <w:t xml:space="preserve"> el LCR no es típico de MBA en el 26 %</w:t>
      </w:r>
      <w:r>
        <w:t>. La SEMES 2012 cifra en hasta un 5 % las MBA con LCR "normal" en fases precoces.</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w:t>
      </w:r>
      <w:proofErr w:type="spellStart"/>
      <w:r>
        <w:rPr>
          <w:b/>
        </w:rPr>
        <w:t>leptomeníngeo</w:t>
      </w:r>
      <w:proofErr w:type="spellEnd"/>
      <w:r>
        <w:rPr>
          <w:b/>
        </w:rPr>
        <w:t xml:space="preserve">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Una MBA "decapitada" (antibiótico previo) se trata igual que una MBA (SEMES 2012).</w:t>
      </w:r>
    </w:p>
    <w:p w14:paraId="0506FB6A" w14:textId="77777777" w:rsidR="00736A71" w:rsidRDefault="00B77AB3">
      <w:pPr>
        <w:pStyle w:val="Ttulo2"/>
      </w:pPr>
      <w:bookmarkStart w:id="13" w:name="_Toc000510013"/>
      <w:r>
        <w:rPr>
          <w:color w:val="1C7C7D"/>
        </w:rPr>
        <w:t xml:space="preserve">6.1. </w:t>
      </w:r>
      <w:r>
        <w:t>Adulto ≤50 años SIN factores de riesgo (o fractura de base de cráneo)</w:t>
      </w:r>
      <w:bookmarkEnd w:id="13"/>
    </w:p>
    <w:p w14:paraId="77E7C009" w14:textId="77777777" w:rsidR="00736A71" w:rsidRDefault="00B77AB3">
      <w:pPr>
        <w:keepLines/>
      </w:pPr>
      <w:r>
        <w:t xml:space="preserve">Cubrir neumococo y meningococo (+ </w:t>
      </w:r>
      <w:r>
        <w:rPr>
          <w:i/>
        </w:rPr>
        <w:t xml:space="preserve">H. </w:t>
      </w:r>
      <w:proofErr w:type="spellStart"/>
      <w:r>
        <w:rPr>
          <w:i/>
        </w:rPr>
        <w:t>influenzae</w:t>
      </w:r>
      <w:proofErr w:type="spellEnd"/>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VANCOMICINA IV</w:t>
      </w:r>
      <w:r>
        <w:t xml:space="preserve">, con la referencia de </w:t>
      </w:r>
      <w:r>
        <w:rPr>
          <w:b/>
        </w:rPr>
        <w:t>2‑3 g/</w:t>
      </w:r>
      <w:proofErr w:type="gramStart"/>
      <w:r>
        <w:rPr>
          <w:b/>
        </w:rPr>
        <w:t>día repartidos</w:t>
      </w:r>
      <w:proofErr w:type="gramEnd"/>
      <w:r>
        <w:rPr>
          <w:b/>
        </w:rPr>
        <w:t xml:space="preserve"> cada 6‑12 h</w:t>
      </w:r>
      <w:r>
        <w:t xml:space="preserve"> de la tabla general de dosis (SEN 2025, tabla 4). Ajustar la pauta al paciente y a las concentraciones séricas; la ESCMID fija un </w:t>
      </w:r>
      <w:r>
        <w:rPr>
          <w:b/>
        </w:rPr>
        <w:t>valle de 15‑20 µg/</w:t>
      </w:r>
      <w:proofErr w:type="spellStart"/>
      <w:r>
        <w:rPr>
          <w:b/>
        </w:rPr>
        <w:t>mL</w:t>
      </w:r>
      <w:proofErr w:type="spellEnd"/>
      <w:r>
        <w:t>. La ESCMID 2016, tabla 4.</w:t>
      </w:r>
      <w:r>
        <w:t>1, ofrece una pauta por peso para la MBA comunitaria: 10‑20 mg/kg IV cada 8‑12 h. La SEN 2025 especifica 15 mg/kg cada 8‑12 h en su tabla de meningitis nosocomial y de situaciones como fractura de base de cráneo (tabla 5); son tablas con ámbitos distintos.</w:t>
      </w:r>
    </w:p>
    <w:p w14:paraId="4CD5FE14" w14:textId="77777777" w:rsidR="00736A71" w:rsidRDefault="00B77AB3">
      <w:r>
        <w:t>La vancomicina cubre el neumococo con sensibilidad disminuida a la C3G (resistencia local a ampicilina en neumococo: ≈29 %; a cefotaxima: ≈12 %, ambos con puntos de corte meníngeos; datos hospitalarios de 2024, no exclusivos de infec</w:t>
      </w:r>
      <w:r>
        <w:t xml:space="preserve">ciones del SNC). La SEN 2025 la justifica por la frecuencia creciente del neumococo resistente a penicilina (aunque en su tabla por edades, entre los 16 y los 50 años, la condiciona a que sea "zona de resistencias"). La ESCMID la indica (o la rifampicina) </w:t>
      </w:r>
      <w:r>
        <w:rPr>
          <w:b/>
        </w:rPr>
        <w:t>cuando hay riesgo de sensibilidad disminuida del neumococo</w:t>
      </w:r>
      <w:r>
        <w:t xml:space="preserve">, y cita a </w:t>
      </w:r>
      <w:r>
        <w:rPr>
          <w:b/>
        </w:rPr>
        <w:t>España entre los países con un 20‑50 % de sensibilidad disminuida a penicilina</w:t>
      </w:r>
      <w:r>
        <w:t xml:space="preserve"> (datos del ECDC de 2011). </w:t>
      </w:r>
      <w:r>
        <w:rPr>
          <w:b/>
        </w:rPr>
        <w:t>Se retira cuando el antibiograma confirma sensibilidad a la C3G</w:t>
      </w:r>
      <w:r>
        <w:t>. La NICE no incluye vancomicina empírica porque en Reino Unido la resistencia es baja.</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considerar </w:t>
      </w:r>
      <w:r>
        <w:rPr>
          <w:b/>
          <w:color w:val="17384D"/>
        </w:rPr>
        <w:t>cloranfenicol</w:t>
      </w:r>
      <w:r>
        <w:t xml:space="preserve">. </w:t>
      </w:r>
      <w:r>
        <w:t>La NICE considera graves la anafilaxia, la dificultad respiratoria y el angioedema. Esta recomendación no fija una dosis de cloranfenicol; la pauta debe concretarse con el especialista.</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lastRenderedPageBreak/>
        <w:t xml:space="preserve">Factores de riesgo de Listeria: </w:t>
      </w:r>
      <w:r>
        <w:rPr>
          <w:b/>
        </w:rPr>
        <w:t>&gt;50 años</w:t>
      </w:r>
      <w:r>
        <w:t xml:space="preserve">, embarazo, inmunosupresión (corticoides, trasplante, cáncer, VIH), diabetes, alcoholismo, nefropatía o hepatopatía (NICE; SEMES). </w:t>
      </w:r>
      <w:r>
        <w:rPr>
          <w:b/>
        </w:rPr>
        <w:t>Listeria es intrínsecamente resistente a las cefalosporinas.</w:t>
      </w:r>
      <w:r>
        <w:t xml:space="preserve"> La ESCMID advierte de que en una serie holandesa el 1,5 % de los &lt;50 años sin factores de riesgo tuvo Listeria: quien quiera cubrir esa posibilidad puede añadir ampicilina a todos los adultos.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w:t>
      </w:r>
      <w:proofErr w:type="spellStart"/>
      <w:r>
        <w:t>trimetoprim</w:t>
      </w:r>
      <w:proofErr w:type="spellEnd"/>
      <w:r>
        <w:t>, repartidos cada 8 h; para el tratamiento inicial, vía IV.</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t xml:space="preserve">La inmunodepresión se agrupa con los mayores de 50 años y el etilismo, sin una pauta independiente para cada grado de inmunosupresión. En enfermedades avanzadas hay que considerar bacilos gramnegativos, incluidos Pseudomonas y </w:t>
      </w:r>
      <w:proofErr w:type="spellStart"/>
      <w:r>
        <w:t>Klebsiella</w:t>
      </w:r>
      <w:proofErr w:type="spellEnd"/>
      <w:r>
        <w:t>. En estos pacientes, individua</w:t>
      </w:r>
      <w:r>
        <w:t>lizar la cobertura con Infecciosas según los factores de riesgo y la resistencia local (ESCMID 2016; SEMES 2012), sin extrapolar automáticamente la pauta nosocomial a la comunitaria. La NICE NG240 excluye de su alcance a las personas con inmunodeficiencia.</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r>
            <w:r>
              <w:rPr>
                <w:rFonts w:ascii="Calibri" w:hAnsi="Calibri"/>
                <w:b/>
                <w:sz w:val="21"/>
              </w:rPr>
              <w:br/>
            </w:r>
            <w:r>
              <w:rPr>
                <w:rFonts w:ascii="Calibri" w:hAnsi="Calibri"/>
                <w:b/>
                <w:sz w:val="21"/>
              </w:rPr>
              <w:t>o CEFEPIMA 2 g IV cada 8 h</w:t>
            </w:r>
            <w:r>
              <w:rPr>
                <w:rFonts w:ascii="Calibri" w:hAnsi="Calibri"/>
                <w:b/>
                <w:sz w:val="21"/>
              </w:rPr>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r>
            <w:r>
              <w:rPr>
                <w:rFonts w:ascii="Calibri" w:hAnsi="Calibri"/>
                <w:b/>
                <w:sz w:val="21"/>
              </w:rPr>
              <w:br/>
              <w:t>AZTREONAM 2 g IV cada 6‑8 h</w:t>
            </w:r>
            <w:r>
              <w:rPr>
                <w:rFonts w:ascii="Calibri" w:hAnsi="Calibri"/>
                <w:b/>
                <w:sz w:val="21"/>
              </w:rPr>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La SEMES 2012 coincide (vancomicina + </w:t>
      </w:r>
      <w:proofErr w:type="spellStart"/>
      <w:r>
        <w:rPr>
          <w:i/>
          <w:color w:val="4F5F68"/>
        </w:rPr>
        <w:t>cefepima</w:t>
      </w:r>
      <w:proofErr w:type="spellEnd"/>
      <w:r>
        <w:rPr>
          <w:i/>
          <w:color w:val="4F5F68"/>
        </w:rPr>
        <w:t>; alternativa vancomicina + meropenem). Duración, retirada de dispositivos y alternativas a la vancomicina: capítulo 6.</w:t>
      </w:r>
    </w:p>
    <w:p w14:paraId="121A0939" w14:textId="77777777" w:rsidR="00736A71" w:rsidRDefault="00B77AB3">
      <w:pPr>
        <w:pStyle w:val="Ttulo2"/>
        <w:pageBreakBefore/>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w:t>
      </w:r>
      <w:proofErr w:type="spellStart"/>
      <w:r>
        <w:t>focalidad</w:t>
      </w:r>
      <w:proofErr w:type="spellEnd"/>
      <w:r>
        <w:t xml:space="preserve">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roofErr w:type="gramStart"/>
            <w:r>
              <w:rPr>
                <w:rFonts w:ascii="Calibri" w:hAnsi="Calibri"/>
                <w:b/>
                <w:color w:val="FFFFFF"/>
                <w:spacing w:val="4"/>
                <w:sz w:val="20"/>
                <w:szCs w:val="20"/>
              </w:rPr>
              <w:t>%)*</w:t>
            </w:r>
            <w:proofErr w:type="gramEnd"/>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 </w:t>
            </w:r>
            <w:r>
              <w:rPr>
                <w:rFonts w:ascii="DejaVu Sans" w:hAnsi="DejaVu Sans"/>
                <w:sz w:val="21"/>
              </w:rPr>
              <w:t>⚠</w:t>
            </w:r>
            <w:r>
              <w:rPr>
                <w:rFonts w:ascii="DejaVu Sans" w:hAnsi="DejaVu Sans"/>
                <w:sz w:val="21"/>
              </w:rPr>
              <w:t>️</w:t>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proofErr w:type="spellStart"/>
            <w:r>
              <w:rPr>
                <w:rFonts w:ascii="Calibri" w:hAnsi="Calibri"/>
                <w:color w:val="17384D"/>
                <w:sz w:val="21"/>
              </w:rPr>
              <w:t>Linezolid</w:t>
            </w:r>
            <w:proofErr w:type="spellEnd"/>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5‑10 % / 11‑19 %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w:t>
            </w:r>
            <w:proofErr w:type="spellStart"/>
            <w:r>
              <w:rPr>
                <w:rFonts w:ascii="Calibri" w:hAnsi="Calibri"/>
                <w:sz w:val="21"/>
              </w:rPr>
              <w:t>trimetoprim</w:t>
            </w:r>
            <w:proofErr w:type="spellEnd"/>
            <w:r>
              <w:rPr>
                <w:rFonts w:ascii="Calibri" w:hAnsi="Calibri"/>
                <w:sz w:val="21"/>
              </w:rPr>
              <w:t xml:space="preserve">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21EEDDD0" w14:textId="77777777" w:rsidR="00736A71" w:rsidRDefault="00B77AB3">
      <w:pPr>
        <w:pStyle w:val="Ttulo1"/>
        <w:pageBreakBefore/>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w:t>
      </w:r>
      <w:r>
        <w:rPr>
          <w:b/>
        </w:rPr>
        <w:t>Gram, la PCR múltiple, el cultivo y el antibiograma</w:t>
      </w:r>
      <w:r>
        <w:t xml:space="preserve"> (ESCMID, grado A). Si el germen es sensible, </w:t>
      </w:r>
      <w:r>
        <w:rPr>
          <w:b/>
        </w:rPr>
        <w:t>retirar la vancomicina</w:t>
      </w:r>
      <w:r>
        <w:t xml:space="preserve"> (y la ampicilina si no es </w:t>
      </w:r>
      <w:r>
        <w:rPr>
          <w:i/>
        </w:rPr>
        <w:t>Listeria</w:t>
      </w:r>
      <w:r>
        <w:t>).</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Duración (según la jerarquía de fuentes)</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keepLines/>
              <w:suppressAutoHyphens/>
              <w:spacing w:after="0" w:line="252" w:lineRule="auto"/>
              <w:jc w:val="left"/>
            </w:pPr>
            <w:r>
              <w:rPr>
                <w:rFonts w:ascii="Calibri" w:hAnsi="Calibri"/>
                <w:sz w:val="21"/>
              </w:rPr>
              <w:t>Vancomicina + C3G, retirando la vancomicina si es sensible; ajustar a la CMI cuando llegue (ESCMID)</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w:t>
            </w:r>
            <w:proofErr w:type="spellStart"/>
            <w:r>
              <w:rPr>
                <w:rFonts w:ascii="Calibri" w:hAnsi="Calibri"/>
                <w:b/>
                <w:sz w:val="21"/>
              </w:rPr>
              <w:t>cefepima</w:t>
            </w:r>
            <w:proofErr w:type="spellEnd"/>
            <w:r>
              <w:rPr>
                <w:rFonts w:ascii="Calibri" w:hAnsi="Calibri"/>
                <w:b/>
                <w:sz w:val="21"/>
              </w:rPr>
              <w:t xml:space="preserve">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5102" w:type="dxa"/>
            <w:shd w:val="clear" w:color="auto" w:fill="FFFFFF"/>
            <w:tcMar>
              <w:top w:w="95" w:type="dxa"/>
              <w:left w:w="115" w:type="dxa"/>
              <w:bottom w:w="95" w:type="dxa"/>
              <w:right w:w="115" w:type="dxa"/>
            </w:tcMar>
          </w:tcPr>
          <w:p w14:paraId="145B0784" w14:textId="77777777" w:rsidR="00736A71" w:rsidRDefault="00B77AB3">
            <w:pPr>
              <w:keepNext/>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w:t>
            </w:r>
            <w:proofErr w:type="spellStart"/>
            <w:r>
              <w:rPr>
                <w:rFonts w:ascii="Calibri" w:hAnsi="Calibri"/>
                <w:sz w:val="21"/>
              </w:rPr>
              <w:t>linezolid</w:t>
            </w:r>
            <w:proofErr w:type="spellEnd"/>
            <w:r>
              <w:rPr>
                <w:rFonts w:ascii="Calibri" w:hAnsi="Calibri"/>
                <w:sz w:val="21"/>
              </w:rPr>
              <w:t>,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keepLines/>
              <w:suppressAutoHyphens/>
              <w:spacing w:after="0" w:line="252" w:lineRule="auto"/>
              <w:jc w:val="center"/>
            </w:pPr>
            <w:r>
              <w:rPr>
                <w:rFonts w:ascii="Calibri" w:hAnsi="Calibri"/>
                <w:b/>
                <w:i/>
                <w:sz w:val="21"/>
              </w:rPr>
              <w:t xml:space="preserve">S. </w:t>
            </w:r>
            <w:proofErr w:type="spellStart"/>
            <w:r>
              <w:rPr>
                <w:rFonts w:ascii="Calibri" w:hAnsi="Calibri"/>
                <w:b/>
                <w:i/>
                <w:sz w:val="21"/>
              </w:rPr>
              <w:t>aureus</w:t>
            </w:r>
            <w:proofErr w:type="spellEnd"/>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2F6F8"/>
            <w:tcMar>
              <w:top w:w="95" w:type="dxa"/>
              <w:left w:w="115" w:type="dxa"/>
              <w:bottom w:w="95" w:type="dxa"/>
              <w:right w:w="115" w:type="dxa"/>
            </w:tcMar>
          </w:tcPr>
          <w:p w14:paraId="3A398DDA"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5102" w:type="dxa"/>
            <w:shd w:val="clear" w:color="auto" w:fill="F2F6F8"/>
            <w:tcMar>
              <w:top w:w="95" w:type="dxa"/>
              <w:left w:w="115" w:type="dxa"/>
              <w:bottom w:w="95" w:type="dxa"/>
              <w:right w:w="115" w:type="dxa"/>
            </w:tcMar>
          </w:tcPr>
          <w:p w14:paraId="4D03A47C" w14:textId="77777777" w:rsidR="00736A71" w:rsidRDefault="00B77AB3">
            <w:pPr>
              <w:keepNext/>
              <w:keepLines/>
              <w:suppressAutoHyphens/>
              <w:spacing w:after="0" w:line="252" w:lineRule="auto"/>
              <w:jc w:val="left"/>
            </w:pPr>
            <w:r>
              <w:rPr>
                <w:rFonts w:ascii="Calibri" w:hAnsi="Calibri"/>
                <w:sz w:val="21"/>
              </w:rPr>
              <w:t>C3G; valorar meropenem con Infecciosas mientras llega el antibiograma (NICE). Alergia: aztreonam 2 g cada 6‑8 h o ciprofloxacino 400 mg cada 8‑12 h</w:t>
            </w:r>
          </w:p>
        </w:tc>
        <w:tc>
          <w:tcPr>
            <w:tcW w:w="2551" w:type="dxa"/>
            <w:shd w:val="clear" w:color="auto" w:fill="F2F6F8"/>
            <w:tcMar>
              <w:top w:w="95" w:type="dxa"/>
              <w:left w:w="115" w:type="dxa"/>
              <w:bottom w:w="95" w:type="dxa"/>
              <w:right w:w="115" w:type="dxa"/>
            </w:tcMar>
            <w:vAlign w:val="center"/>
          </w:tcPr>
          <w:p w14:paraId="1FC9FD0B"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NICE)</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14:paraId="34CA0383" w14:textId="77777777" w:rsidR="00736A71" w:rsidRDefault="00736A71">
      <w:pPr>
        <w:widowControl w:val="0"/>
        <w:spacing w:after="0" w:line="140" w:lineRule="exact"/>
      </w:pPr>
    </w:p>
    <w:p w14:paraId="44F58012" w14:textId="77777777" w:rsidR="00736A71" w:rsidRDefault="00B77AB3">
      <w:pPr>
        <w:keepNext/>
        <w:keepLines/>
        <w:pageBreakBefore/>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3402"/>
        <w:gridCol w:w="3402"/>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3402"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3402"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402"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3402"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402"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3402"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3402"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3402"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402"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3402"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w:t>
            </w:r>
            <w:proofErr w:type="spellStart"/>
            <w:r>
              <w:rPr>
                <w:rFonts w:ascii="Calibri" w:hAnsi="Calibri"/>
                <w:i/>
                <w:sz w:val="21"/>
              </w:rPr>
              <w:t>aureus</w:t>
            </w:r>
            <w:proofErr w:type="spellEnd"/>
          </w:p>
        </w:tc>
        <w:tc>
          <w:tcPr>
            <w:tcW w:w="3402"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3402"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21 días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3402"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3402"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w:t>
      </w:r>
      <w:r>
        <w:t>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Neumococo según la CMI</w:t>
      </w:r>
      <w:r>
        <w:t xml:space="preserve"> (ESCMID, tabla 4.2):</w:t>
      </w:r>
    </w:p>
    <w:p w14:paraId="67B4AF2C" w14:textId="77777777" w:rsidR="00736A71" w:rsidRDefault="00B77AB3">
      <w:pPr>
        <w:pStyle w:val="Prrafodelista"/>
        <w:keepLines/>
        <w:numPr>
          <w:ilvl w:val="0"/>
          <w:numId w:val="23"/>
        </w:numPr>
        <w:spacing w:after="40"/>
      </w:pPr>
      <w:r>
        <w:t>Sensible a penicilina (CMI &lt;0,1 µg/</w:t>
      </w:r>
      <w:proofErr w:type="spellStart"/>
      <w:r>
        <w:t>mL</w:t>
      </w:r>
      <w:proofErr w:type="spellEnd"/>
      <w:r>
        <w:t>): penicilina o amoxicilina.</w:t>
      </w:r>
    </w:p>
    <w:p w14:paraId="19B121E6" w14:textId="77777777" w:rsidR="00736A71" w:rsidRDefault="00B77AB3">
      <w:pPr>
        <w:pStyle w:val="Prrafodelista"/>
        <w:keepLines/>
        <w:numPr>
          <w:ilvl w:val="0"/>
          <w:numId w:val="23"/>
        </w:numPr>
        <w:spacing w:after="40"/>
      </w:pPr>
      <w:r>
        <w:t>Resistente a penicilina y sensible a C3G (CMI &lt;2 µg/</w:t>
      </w:r>
      <w:proofErr w:type="spellStart"/>
      <w:r>
        <w:t>mL</w:t>
      </w:r>
      <w:proofErr w:type="spellEnd"/>
      <w:r>
        <w:t xml:space="preserve">): </w:t>
      </w:r>
      <w:r>
        <w:rPr>
          <w:b/>
        </w:rPr>
        <w:t>C3G</w:t>
      </w:r>
      <w:r>
        <w:t>.</w:t>
      </w:r>
    </w:p>
    <w:p w14:paraId="3B6E3225" w14:textId="77777777" w:rsidR="00736A71" w:rsidRDefault="00B77AB3">
      <w:pPr>
        <w:pStyle w:val="Prrafodelista"/>
        <w:keepLines/>
        <w:numPr>
          <w:ilvl w:val="0"/>
          <w:numId w:val="23"/>
        </w:numPr>
        <w:spacing w:after="40"/>
      </w:pPr>
      <w:r>
        <w:t>Resistente a C3G (CMI ≥2 µg/</w:t>
      </w:r>
      <w:proofErr w:type="spellStart"/>
      <w:r>
        <w:t>mL</w:t>
      </w:r>
      <w:proofErr w:type="spellEnd"/>
      <w:r>
        <w:t xml:space="preserve">): </w:t>
      </w:r>
      <w:r>
        <w:rPr>
          <w:b/>
        </w:rPr>
        <w:t>vancomicina + rifampicina, vancomicina + C3G o rifampicina + C3G</w:t>
      </w:r>
      <w:r>
        <w:t>, con ceftriaxona 2 g cada 12 h o cefotaxima 2‑3 g cada 6 h.</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w:t>
      </w:r>
      <w:proofErr w:type="spellStart"/>
      <w:r>
        <w:t>linezolid</w:t>
      </w:r>
      <w:proofErr w:type="spellEnd"/>
      <w:r>
        <w:t xml:space="preserve">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w:t>
      </w:r>
      <w:proofErr w:type="spellStart"/>
      <w:r>
        <w:rPr>
          <w:b/>
          <w:i/>
          <w:color w:val="17384D"/>
        </w:rPr>
        <w:t>aureus</w:t>
      </w:r>
      <w:proofErr w:type="spellEnd"/>
      <w:r>
        <w:t xml:space="preserve">: la ESCMID 2016 recomienda </w:t>
      </w:r>
      <w:proofErr w:type="spellStart"/>
      <w:r>
        <w:rPr>
          <w:b/>
        </w:rPr>
        <w:t>flucloxacilina</w:t>
      </w:r>
      <w:proofErr w:type="spellEnd"/>
      <w:r>
        <w:rPr>
          <w:b/>
        </w:rPr>
        <w:t xml:space="preserve">, </w:t>
      </w:r>
      <w:proofErr w:type="spellStart"/>
      <w:r>
        <w:rPr>
          <w:b/>
        </w:rPr>
        <w:t>nafcilina</w:t>
      </w:r>
      <w:proofErr w:type="spellEnd"/>
      <w:r>
        <w:rPr>
          <w:b/>
        </w:rPr>
        <w:t xml:space="preserve"> u oxacilina si es sensible a </w:t>
      </w:r>
      <w:proofErr w:type="spellStart"/>
      <w:r>
        <w:rPr>
          <w:b/>
        </w:rPr>
        <w:t>meticilina</w:t>
      </w:r>
      <w:proofErr w:type="spellEnd"/>
      <w:r>
        <w:t xml:space="preserve">, y </w:t>
      </w:r>
      <w:r>
        <w:rPr>
          <w:b/>
        </w:rPr>
        <w:t>vancomicina si es resistente</w:t>
      </w:r>
      <w:r>
        <w:t xml:space="preserve"> (tabla 4.2) (resistencia local a </w:t>
      </w:r>
      <w:proofErr w:type="spellStart"/>
      <w:r>
        <w:t>meticilina</w:t>
      </w:r>
      <w:proofErr w:type="spellEnd"/>
      <w:r>
        <w:t xml:space="preserve"> en </w:t>
      </w:r>
      <w:r>
        <w:rPr>
          <w:i/>
        </w:rPr>
        <w:t xml:space="preserve">S. </w:t>
      </w:r>
      <w:proofErr w:type="spellStart"/>
      <w:r>
        <w:rPr>
          <w:i/>
        </w:rPr>
        <w:t>aureus</w:t>
      </w:r>
      <w:proofErr w:type="spellEnd"/>
      <w:r>
        <w:t xml:space="preserve">: 30 %; 2024). Esta tabla no incluye </w:t>
      </w:r>
      <w:r>
        <w:rPr>
          <w:i/>
        </w:rPr>
        <w:t xml:space="preserve">S. </w:t>
      </w:r>
      <w:proofErr w:type="spellStart"/>
      <w:r>
        <w:rPr>
          <w:i/>
        </w:rPr>
        <w:t>epidermidis</w:t>
      </w:r>
      <w:proofErr w:type="spellEnd"/>
      <w:r>
        <w:t xml:space="preserve">. </w:t>
      </w:r>
      <w:r>
        <w:rPr>
          <w:b/>
        </w:rPr>
        <w:t>Buscar endocarditis o absceso epidural espinal</w:t>
      </w:r>
      <w:r>
        <w:t>, que pueden requerir cirugía y más tratamiento (ESCMID).</w:t>
      </w:r>
    </w:p>
    <w:p w14:paraId="2A708F22" w14:textId="77777777" w:rsidR="00736A71" w:rsidRDefault="00B77AB3">
      <w:pPr>
        <w:pStyle w:val="Prrafodelista"/>
        <w:keepLines/>
        <w:numPr>
          <w:ilvl w:val="0"/>
          <w:numId w:val="22"/>
        </w:numPr>
        <w:spacing w:after="80"/>
      </w:pPr>
      <w:r>
        <w:t xml:space="preserve">Duración según la SEN 2025: </w:t>
      </w:r>
      <w:r>
        <w:rPr>
          <w:b/>
        </w:rPr>
        <w:t>10‑14 días en general</w:t>
      </w:r>
      <w:r>
        <w:t xml:space="preserve">; 7 días "pueden bastar" en la meningocócica; 14 días en la neumocócica; y </w:t>
      </w:r>
      <w:r>
        <w:rPr>
          <w:b/>
        </w:rPr>
        <w:t>al menos 3 semanas en Listeria y en los gramnegativos</w:t>
      </w:r>
      <w:r>
        <w:t>, por la alta tasa de recidivas con pautas más cortas.</w:t>
      </w:r>
    </w:p>
    <w:p w14:paraId="3B2FC81E" w14:textId="77777777" w:rsidR="00736A71" w:rsidRDefault="00B77AB3">
      <w:pPr>
        <w:pStyle w:val="Prrafodelista"/>
        <w:keepLines/>
        <w:numPr>
          <w:ilvl w:val="0"/>
          <w:numId w:val="22"/>
        </w:numPr>
        <w:spacing w:after="80"/>
      </w:pPr>
      <w:r>
        <w:t xml:space="preserve">H. </w:t>
      </w:r>
      <w:proofErr w:type="spellStart"/>
      <w:r>
        <w:t>influenzae</w:t>
      </w:r>
      <w:proofErr w:type="spellEnd"/>
      <w:r>
        <w:t xml:space="preserve">: la SEN 2025 propone ampicilina sin precisar sensibilidad. La ESCMID 2016 distingue cepas productoras de betalactamasa y cepas resistentes a ampicilina: comprobar el antibiograma antes de ajustar la pauta (resistencia local a ampicilina en </w:t>
      </w:r>
      <w:r>
        <w:rPr>
          <w:i/>
        </w:rPr>
        <w:t xml:space="preserve">H. </w:t>
      </w:r>
      <w:proofErr w:type="spellStart"/>
      <w:r>
        <w:rPr>
          <w:i/>
        </w:rPr>
        <w:t>influenzae</w:t>
      </w:r>
      <w:proofErr w:type="spellEnd"/>
      <w:r>
        <w:t>: ≈9 %; 2024). La duración específica de 7‑10 días procede de la ESCMID; la SEN 2025 solo da una duración general de 10‑14 días.</w:t>
      </w:r>
    </w:p>
    <w:p w14:paraId="331D0CA7" w14:textId="77777777" w:rsidR="00736A71" w:rsidRDefault="00B77AB3">
      <w:pPr>
        <w:pStyle w:val="Prrafodelista"/>
        <w:keepLines/>
        <w:numPr>
          <w:ilvl w:val="0"/>
          <w:numId w:val="22"/>
        </w:numPr>
        <w:spacing w:after="80"/>
      </w:pPr>
      <w:r>
        <w:t>Estreptococo del grupo B: la NICE propone C3G; manda la SEN 2025. La duración la da solo la NICE.</w:t>
      </w:r>
    </w:p>
    <w:p w14:paraId="7C7B2FC4" w14:textId="77777777" w:rsidR="00736A71" w:rsidRDefault="00B77AB3">
      <w:pPr>
        <w:pStyle w:val="Prrafodelista"/>
        <w:keepLines/>
        <w:numPr>
          <w:ilvl w:val="0"/>
          <w:numId w:val="22"/>
        </w:numPr>
        <w:spacing w:after="80"/>
      </w:pPr>
      <w:r>
        <w:lastRenderedPageBreak/>
        <w:t>Sin germen identificado: la ESCMID (≥2 semanas) prevalece sobre la NICE (10 días), porque la SEN no concreta este supuesto (la SEN 2025 da 10‑14 días como duración general).</w:t>
      </w:r>
    </w:p>
    <w:p w14:paraId="1CE46EE3" w14:textId="77777777" w:rsidR="00736A71" w:rsidRDefault="00B77AB3">
      <w:pPr>
        <w:pStyle w:val="Prrafodelista"/>
        <w:keepLines/>
        <w:numPr>
          <w:ilvl w:val="0"/>
          <w:numId w:val="22"/>
        </w:numPr>
        <w:spacing w:after="80"/>
      </w:pPr>
      <w:r>
        <w:t>Enterobacterias: la NICE reconoce que los 21 días no se basan en evidencia (derivan del principio de 14 días tras esterilizar el LCR); la SEN 2025 los justifica por la tasa de recidivas.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w:t>
      </w:r>
      <w:proofErr w:type="spellStart"/>
      <w:r>
        <w:rPr>
          <w:i/>
          <w:color w:val="4F5F68"/>
        </w:rPr>
        <w:t>influenzae</w:t>
      </w:r>
      <w:proofErr w:type="spellEnd"/>
      <w:r>
        <w:rPr>
          <w:i/>
          <w:color w:val="4F5F68"/>
        </w:rPr>
        <w:t>,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 </w:t>
      </w:r>
      <w:r>
        <w:rPr>
          <w:i/>
        </w:rPr>
        <w:t>Según la SEMES 2012, el mayor beneficio se obtiene con pleocitosis &gt;1.000/mm³, presión de apertura &gt;25 cm H₂O o GCS &lt;11.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su recomendación inicial sigue siendo antes o junto con el antibiótico. </w:t>
      </w:r>
      <w:r>
        <w:rPr>
          <w:i/>
        </w:rPr>
        <w:t xml:space="preserve">Mensa 2026: el beneficio disminuye significativamente si se inicia </w:t>
      </w:r>
      <w:r>
        <w:rPr>
          <w:b/>
          <w:i/>
        </w:rPr>
        <w:t>&gt;4 h</w:t>
      </w:r>
      <w:r>
        <w:rPr>
          <w:i/>
        </w:rPr>
        <w:t xml:space="preserve"> después; no afirma que desaparezca ni establece una contraindicación absoluta a partir de ese momento. ESCMID 2016 permite iniciarla hasta 4 h (grado C, por consenso). NICE 1.8.5 indica administrarla cuanto antes si el retraso es </w:t>
      </w:r>
      <w:r>
        <w:rPr>
          <w:b/>
          <w:i/>
        </w:rPr>
        <w:t>&lt;12 h</w:t>
      </w:r>
      <w:r>
        <w:rPr>
          <w:i/>
        </w:rPr>
        <w:t xml:space="preserve"> y consultar con Infecciosas si es </w:t>
      </w:r>
      <w:r>
        <w:rPr>
          <w:b/>
          <w:i/>
        </w:rPr>
        <w:t>&gt;12 h</w:t>
      </w:r>
      <w:r>
        <w:rPr>
          <w:i/>
        </w:rPr>
        <w:t>, sin retrasar el antibiótico para esperarla. La SEMES 2012 decía «no darla si ya recibía antibiótico parenteral», criterio superado por las fuentes anteriores.</w:t>
      </w:r>
    </w:p>
    <w:p w14:paraId="3586DDD1" w14:textId="77777777" w:rsidR="00736A71" w:rsidRDefault="00B77AB3">
      <w:pPr>
        <w:pStyle w:val="Prrafodelista"/>
        <w:numPr>
          <w:ilvl w:val="0"/>
          <w:numId w:val="26"/>
        </w:numPr>
        <w:spacing w:after="80"/>
      </w:pPr>
      <w:proofErr w:type="gramStart"/>
      <w:r>
        <w:rPr>
          <w:b/>
          <w:color w:val="17384D"/>
        </w:rPr>
        <w:t>Cuándo</w:t>
      </w:r>
      <w:proofErr w:type="gramEnd"/>
      <w:r>
        <w:rPr>
          <w:b/>
          <w:color w:val="17384D"/>
        </w:rPr>
        <w:t xml:space="preserve">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amplía la descripción como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Mensa señala la necesidad de prolongar los corticoides </w:t>
      </w:r>
      <w:r>
        <w:rPr>
          <w:b/>
          <w:i/>
        </w:rPr>
        <w:t>varias semanas</w:t>
      </w:r>
      <w:r>
        <w:rPr>
          <w:i/>
        </w:rPr>
        <w:t>, sin concretar pauta ni descenso. Es una propuesta para esa complicación, que requiere valoración especializada, no una prolongación sistemática de los 4 días.</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w:t>
      </w:r>
      <w:proofErr w:type="spellStart"/>
      <w:r>
        <w:rPr>
          <w:i/>
        </w:rPr>
        <w:t>fludrocortisona</w:t>
      </w:r>
      <w:proofErr w:type="spellEnd"/>
      <w:r>
        <w:rPr>
          <w:i/>
        </w:rPr>
        <w:t xml:space="preserve"> 50 µg/día en el shock con insuficiencia suprarrenal.</w:t>
      </w:r>
    </w:p>
    <w:p w14:paraId="485A0604" w14:textId="77777777" w:rsidR="00736A71" w:rsidRDefault="00B77AB3">
      <w:pPr>
        <w:pStyle w:val="Prrafodelista"/>
        <w:numPr>
          <w:ilvl w:val="0"/>
          <w:numId w:val="26"/>
        </w:numPr>
        <w:spacing w:after="80"/>
      </w:pPr>
      <w:r>
        <w:rPr>
          <w:i/>
        </w:rPr>
        <w:t>Otras precauciones de la SEMES 2012: no darla si hay hipersensibilidad, patología cerebral reciente o derivación de LCR, y asociar un inhibidor de la bomba de protones.</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w:t>
      </w:r>
      <w:proofErr w:type="spellStart"/>
      <w:r>
        <w:rPr>
          <w:i/>
        </w:rPr>
        <w:t>influenzae</w:t>
      </w:r>
      <w:proofErr w:type="spellEnd"/>
      <w:r>
        <w:rPr>
          <w:i/>
        </w:rPr>
        <w:t xml:space="preserve"> el efecto más claro es sobre la hipoacusia; en la meningocócica no se demostró efecto. </w:t>
      </w:r>
      <w:r>
        <w:rPr>
          <w:b/>
          <w:i/>
        </w:rPr>
        <w:t>El beneficio aparece en los países de renta alta y no en los de renta baja</w:t>
      </w:r>
      <w:r>
        <w:rPr>
          <w:i/>
        </w:rPr>
        <w:t>, sin exceso de efectos adversos.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4EFD6384" w14:textId="77777777" w:rsidR="00736A71" w:rsidRDefault="00B77AB3">
      <w:pPr>
        <w:pBdr>
          <w:left w:val="single" w:sz="12" w:space="7" w:color="B7CDD0"/>
        </w:pBdr>
        <w:spacing w:before="120" w:after="160"/>
        <w:ind w:left="170"/>
      </w:pPr>
      <w:r>
        <w:rPr>
          <w:i/>
          <w:color w:val="4F5F68"/>
        </w:rPr>
        <w:t xml:space="preserve">La SEMES 2012 recomendaba añadir rifampicina a la vancomicina cuando se da dexametasona, por la posible menor penetración de la vancomicina con la meninge menos inflamada. Ni la SEN 2025 ni la NICE 2024 lo recogen, y la ESCMID plantea la rifampicina como </w:t>
      </w:r>
      <w:r>
        <w:rPr>
          <w:b/>
          <w:i/>
          <w:color w:val="4F5F68"/>
        </w:rPr>
        <w:t>alternativa</w:t>
      </w:r>
      <w:r>
        <w:rPr>
          <w:i/>
          <w:color w:val="4F5F68"/>
        </w:rPr>
        <w:t xml:space="preserve"> a la vancomicina, no como añadido por la dexametasona.</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sin especificar dosis). </w:t>
      </w:r>
      <w:r>
        <w:rPr>
          <w:i/>
        </w:rPr>
        <w:t>Esto se refiere al control de la fiebre; ESCMID 2016 no recomienda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w:t>
      </w:r>
      <w:proofErr w:type="spellStart"/>
      <w:r>
        <w:t>SatO</w:t>
      </w:r>
      <w:proofErr w:type="spellEnd"/>
      <w:r>
        <w:t>₂ (SEMES 2012).</w:t>
      </w:r>
    </w:p>
    <w:p w14:paraId="308116EC" w14:textId="77777777" w:rsidR="00736A71" w:rsidRDefault="00B77AB3">
      <w:pPr>
        <w:pStyle w:val="Prrafodelista"/>
        <w:numPr>
          <w:ilvl w:val="0"/>
          <w:numId w:val="26"/>
        </w:numPr>
        <w:spacing w:after="80"/>
      </w:pPr>
      <w:r>
        <w:rPr>
          <w:b/>
        </w:rPr>
        <w:t>NO usar</w:t>
      </w:r>
      <w:r>
        <w:t xml:space="preserve"> inmunoglobulinas, heparina ni proteína C activada (ESCMID, grado D).</w:t>
      </w:r>
    </w:p>
    <w:p w14:paraId="63593B44" w14:textId="77777777" w:rsidR="00736A71" w:rsidRDefault="00B77AB3">
      <w:pPr>
        <w:pStyle w:val="Prrafodelista"/>
        <w:numPr>
          <w:ilvl w:val="0"/>
          <w:numId w:val="26"/>
        </w:numPr>
        <w:spacing w:after="80"/>
      </w:pPr>
      <w:r>
        <w:rPr>
          <w:b/>
          <w:color w:val="17384D"/>
        </w:rPr>
        <w:t>Trombosis de senos venosos</w:t>
      </w:r>
      <w:r>
        <w:t xml:space="preserve">: no </w:t>
      </w:r>
      <w:proofErr w:type="spellStart"/>
      <w:r>
        <w:t>anticoagular</w:t>
      </w:r>
      <w:proofErr w:type="spellEnd"/>
      <w:r>
        <w:t xml:space="preserve"> en la fase aguda por el riesgo de hemorragia (ESCMID). Si el paciente ya recibe anticoagulantes, </w:t>
      </w:r>
      <w:r>
        <w:rPr>
          <w:b/>
        </w:rPr>
        <w:t>considerar su retirada durante la fase aguda</w:t>
      </w:r>
      <w:r>
        <w:t xml:space="preserve">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AISLAMIENTO RESPIRATORIO SI SE SOSPECHA MENINGOCOCO, durante las primeras 24 h de tratamiento</w:t>
      </w:r>
      <w:r>
        <w:t xml:space="preserve">; con otros gérmenes no hace falta (SEN 2025). </w:t>
      </w:r>
      <w:r>
        <w:rPr>
          <w:i/>
        </w:rPr>
        <w:t>La SEMES 2012 aislaba inicialmente toda sospecha de MBA; manda la SEN 2025.</w:t>
      </w:r>
    </w:p>
    <w:p w14:paraId="7F96EEF4" w14:textId="77777777" w:rsidR="00736A71" w:rsidRDefault="00B77AB3">
      <w:pPr>
        <w:pBdr>
          <w:left w:val="single" w:sz="12" w:space="7" w:color="B7CDD0"/>
        </w:pBdr>
        <w:spacing w:before="120" w:after="160"/>
        <w:ind w:left="170"/>
      </w:pPr>
      <w:r>
        <w:rPr>
          <w:b/>
          <w:i/>
          <w:color w:val="4F5F68"/>
        </w:rPr>
        <w:t>Observación experimental:</w:t>
      </w:r>
      <w:r>
        <w:rPr>
          <w:i/>
          <w:color w:val="4F5F68"/>
        </w:rPr>
        <w:t xml:space="preserve"> en modelos animales de meningitis, vitamina B6 y ácido fólico reducen por distintos mecanismos la apoptosis neuronal en el giro dentado del hipocampo (Mensa 2026). </w:t>
      </w:r>
      <w:r>
        <w:rPr>
          <w:b/>
          <w:i/>
          <w:color w:val="4F5F68"/>
        </w:rPr>
        <w:t>No constituye una recomendación de tratamiento en humanos.</w:t>
      </w:r>
    </w:p>
    <w:p w14:paraId="5C5A009F" w14:textId="77777777" w:rsidR="00736A71" w:rsidRDefault="00B77AB3">
      <w:pPr>
        <w:pStyle w:val="Ttulo3"/>
      </w:pPr>
      <w:r>
        <w:t>8.2.1. Hipertensión intracraneal en la MBA</w:t>
      </w:r>
    </w:p>
    <w:p w14:paraId="03D6C8E1" w14:textId="77777777" w:rsidR="00736A71" w:rsidRDefault="00B77AB3">
      <w:r>
        <w:t xml:space="preserve">1. </w:t>
      </w:r>
      <w:r>
        <w:rPr>
          <w:b/>
        </w:rPr>
        <w:t>Medidas iniciales.</w:t>
      </w:r>
      <w:r>
        <w:t xml:space="preserve"> Ante sospecha de HTIC, </w:t>
      </w:r>
      <w:r>
        <w:rPr>
          <w:b/>
        </w:rPr>
        <w:t>elevar la cabecera 30‑45°</w:t>
      </w:r>
      <w:r>
        <w:t xml:space="preserve">, valorar manitol IV y considerar hiperventilación. Mensa añade </w:t>
      </w:r>
      <w:r>
        <w:rPr>
          <w:b/>
        </w:rPr>
        <w:t xml:space="preserve">mantener el sodio en valores normales y controlar la </w:t>
      </w:r>
      <w:r>
        <w:rPr>
          <w:b/>
        </w:rPr>
        <w:lastRenderedPageBreak/>
        <w:t>presión arterial</w:t>
      </w:r>
      <w:r>
        <w:t xml:space="preserve">; también propone </w:t>
      </w:r>
      <w:r>
        <w:rPr>
          <w:b/>
        </w:rPr>
        <w:t>albúmina en torno a 40 g/L</w:t>
      </w:r>
      <w:r>
        <w:t>, sin especificar cómo corregirla ni establecer una pauta de infusión de albúmina (Mensa 2026).</w:t>
      </w:r>
    </w:p>
    <w:p w14:paraId="61E50F8A" w14:textId="77777777" w:rsidR="00736A71" w:rsidRDefault="00B77AB3">
      <w:r>
        <w:t xml:space="preserve">2. </w:t>
      </w:r>
      <w:r>
        <w:rPr>
          <w:b/>
        </w:rPr>
        <w:t>Monitorización.</w:t>
      </w:r>
      <w:r>
        <w:t xml:space="preserve"> Si hay clínica de HTIC, </w:t>
      </w:r>
      <w:r>
        <w:rPr>
          <w:b/>
        </w:rPr>
        <w:t>considerar un transductor de presión intracraneal</w:t>
      </w:r>
      <w:r>
        <w:t xml:space="preserve"> (Mensa 2026). </w:t>
      </w:r>
      <w:r>
        <w:rPr>
          <w:i/>
        </w:rPr>
        <w:t>No equivale a monitorización invasiva rutinaria: NICE 1.9.6‑1.9.7 desaconseja esta y pide valoración especializada ante HTIC o hidrocefalia; ESCMID 2016 reconoce evidencia limitada y posibles daños (grado C).</w:t>
      </w:r>
    </w:p>
    <w:p w14:paraId="2B921CFE" w14:textId="77777777" w:rsidR="00736A71" w:rsidRDefault="00B77AB3">
      <w:r>
        <w:t xml:space="preserve">3. </w:t>
      </w:r>
      <w:r>
        <w:rPr>
          <w:b/>
        </w:rPr>
        <w:t>Tratamiento de la HTIC.</w:t>
      </w:r>
      <w:r>
        <w:t xml:space="preserve"> Valorar </w:t>
      </w:r>
      <w:r>
        <w:rPr>
          <w:b/>
        </w:rPr>
        <w:t>manitol 1‑2 g/kg IV en 30‑60 min</w:t>
      </w:r>
      <w:r>
        <w:t xml:space="preserve"> y considerar </w:t>
      </w:r>
      <w:r>
        <w:rPr>
          <w:b/>
        </w:rPr>
        <w:t xml:space="preserve">ventilación mecánica con hiperventilación para una </w:t>
      </w:r>
      <w:proofErr w:type="spellStart"/>
      <w:r>
        <w:rPr>
          <w:b/>
        </w:rPr>
        <w:t>PaCO</w:t>
      </w:r>
      <w:proofErr w:type="spellEnd"/>
      <w:r>
        <w:rPr>
          <w:b/>
        </w:rPr>
        <w:t>₂ de 25‑30 </w:t>
      </w:r>
      <w:proofErr w:type="spellStart"/>
      <w:r>
        <w:rPr>
          <w:b/>
        </w:rPr>
        <w:t>mmHg</w:t>
      </w:r>
      <w:proofErr w:type="spellEnd"/>
      <w:r>
        <w:t xml:space="preserve"> (Mensa 2026). No se fija la repetición del manitol ni la duración de la hiperventilación; su aplicación requiere manejo especializado.</w:t>
      </w:r>
      <w:r>
        <w:rPr>
          <w:i/>
        </w:rPr>
        <w:t xml:space="preserve"> Considerar estas medidas ante HTIC no significa usarlas de rutina: ESCMID 2016 (grado D) y NICE 1.9.4‑1.9.5 limitan los osmóticos a situaciones seleccionadas; NICE los contempla como medida temporal ante HTIC con riesgo de herniación, con consulta urgente a UCI.</w:t>
      </w:r>
    </w:p>
    <w:p w14:paraId="1F6EF96B" w14:textId="77777777" w:rsidR="00736A71" w:rsidRDefault="00B77AB3">
      <w:r>
        <w:t xml:space="preserve">4. </w:t>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(contraindicada según Mensa 2026; la ESCMID 2016 no la recomienda por exceso de mortalidad) ni </w:t>
      </w:r>
      <w:r>
        <w:rPr>
          <w:b/>
        </w:rPr>
        <w:t>glicerol</w:t>
      </w:r>
      <w:r>
        <w:t xml:space="preserve"> (ESCMID 2016; NICE 1.9.3).</w:t>
      </w:r>
    </w:p>
    <w:p w14:paraId="7F6339BC" w14:textId="77777777" w:rsidR="00736A71" w:rsidRDefault="00B77AB3">
      <w:r>
        <w:rPr>
          <w:b/>
          <w:color w:val="17384D"/>
        </w:rPr>
        <w:t xml:space="preserve">HTIC </w:t>
      </w:r>
      <w:proofErr w:type="spellStart"/>
      <w:r>
        <w:rPr>
          <w:b/>
          <w:color w:val="17384D"/>
        </w:rPr>
        <w:t>criptocócica</w:t>
      </w:r>
      <w:proofErr w:type="spellEnd"/>
      <w:r>
        <w:rPr>
          <w:b/>
          <w:color w:val="17384D"/>
        </w:rPr>
        <w:t>:</w:t>
      </w:r>
      <w:r>
        <w:t xml:space="preserve"> tiene un manejo específico; ver capítulo 7, §3.1.1. No aplicar indistintamente las medidas de la MBA y las PL evacuadoras de la criptococosis.</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Las pautas reseñadas son </w:t>
      </w:r>
      <w:r>
        <w:rPr>
          <w:b/>
          <w:i/>
          <w:color w:val="4F5F68"/>
        </w:rPr>
        <w:t>levetiracetam 20 mg/kg IV en 15 min, seguido de 500 mg cada 12 h</w:t>
      </w:r>
      <w:r>
        <w:rPr>
          <w:i/>
          <w:color w:val="4F5F68"/>
        </w:rPr>
        <w:t xml:space="preserve"> (sin especificar la vía de mantenimiento), o </w:t>
      </w:r>
      <w:r>
        <w:rPr>
          <w:b/>
          <w:i/>
          <w:color w:val="4F5F68"/>
        </w:rPr>
        <w:t>fenitoína (</w:t>
      </w:r>
      <w:proofErr w:type="spellStart"/>
      <w:r>
        <w:rPr>
          <w:b/>
          <w:i/>
          <w:color w:val="4F5F68"/>
        </w:rPr>
        <w:t>difenilhidantoína</w:t>
      </w:r>
      <w:proofErr w:type="spellEnd"/>
      <w:r>
        <w:rPr>
          <w:b/>
          <w:i/>
          <w:color w:val="4F5F68"/>
        </w:rPr>
        <w:t>),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37421D36" w14:textId="77777777">
        <w:trPr>
          <w:cantSplit/>
          <w:jc w:val="center"/>
        </w:trPr>
        <w:tc>
          <w:tcPr>
            <w:tcW w:w="2494" w:type="dxa"/>
            <w:shd w:val="clear" w:color="auto" w:fill="FFFFFF"/>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FFFFF"/>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FFFFF"/>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2F6F8"/>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2F6F8"/>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2F6F8"/>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FFFFF"/>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FFFFF"/>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FFFFF"/>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2F6F8"/>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2F6F8"/>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FFFFF"/>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FFFFF"/>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2F6F8"/>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2F6F8"/>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2F6F8"/>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FFFFF"/>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FFFFF"/>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FFFFF"/>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Otras complicaciones (SEMES 2012): shock séptico, síndrome de Waterhouse-Friderichsen, CID, SIADH, SDRA y parálisis de pares craneales.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Para su manejo específico, ver los capítulos 4 (absceso cerebral) y 5 (infecciones </w:t>
      </w:r>
      <w:proofErr w:type="spellStart"/>
      <w:r>
        <w:rPr>
          <w:i/>
          <w:color w:val="4F5F68"/>
        </w:rPr>
        <w:t>parameníngeas</w:t>
      </w:r>
      <w:proofErr w:type="spellEnd"/>
      <w:r>
        <w:rPr>
          <w:i/>
          <w:color w:val="4F5F68"/>
        </w:rPr>
        <w:t>).</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Tras una PL en urgencias, 4‑8 h de observación antes del alta, las 2 primeras en decúbito.</w:t>
      </w:r>
    </w:p>
    <w:p w14:paraId="562C0CA2" w14:textId="77777777" w:rsidR="00736A71" w:rsidRDefault="00B77AB3">
      <w:pPr>
        <w:pStyle w:val="Prrafodelista"/>
        <w:keepLines/>
        <w:numPr>
          <w:ilvl w:val="0"/>
          <w:numId w:val="28"/>
        </w:numPr>
        <w:spacing w:after="80"/>
      </w:pPr>
      <w:r>
        <w:t>Sospecha de meningitis vírica: observación si el diagnóstico es seguro y la situación clínica es buena (SEMES 2012).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Si se le da el alta con un diagnóstico no confirmado: explicar qué síntomas vigilar y pedirle que vuelva si aparecen síntomas nuevos, si un exantema deja de desaparecer a la presión o si empeora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(intubación o aspiración sin protección)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(ESCMID; SEMES 2012):</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t>; 125 mg en &lt;16 años).</w:t>
      </w:r>
    </w:p>
    <w:p w14:paraId="6E44D9FA" w14:textId="77777777" w:rsidR="00736A71" w:rsidRDefault="00B77AB3">
      <w:pPr>
        <w:pStyle w:val="Prrafodelista"/>
        <w:keepLines/>
        <w:numPr>
          <w:ilvl w:val="0"/>
          <w:numId w:val="31"/>
        </w:numPr>
        <w:spacing w:after="80"/>
      </w:pPr>
      <w:r>
        <w:rPr>
          <w:b/>
        </w:rPr>
        <w:t>RIFAMPICINA 600 mg VO cada 12 h durante 2 días</w:t>
      </w:r>
      <w:r>
        <w:t xml:space="preserve"> (ESCMID; SEMES 2012). En el embarazo, solo a partir del primer trimestre (SEN 2025; ESCMID; la SEMES 2012 la contraindicaba en toda la gestación). La SEMES 2012 la contraindica también en la hepatopatía grave, el alcoholismo, la porfiria, la hipersensibilidad a la rifampicina y si se toman anticonceptivos orales.</w:t>
      </w:r>
    </w:p>
    <w:p w14:paraId="626B456D" w14:textId="77777777" w:rsidR="00736A71" w:rsidRDefault="00B77AB3">
      <w:pPr>
        <w:pStyle w:val="Prrafodelista"/>
        <w:numPr>
          <w:ilvl w:val="0"/>
          <w:numId w:val="31"/>
        </w:numPr>
        <w:spacing w:after="80"/>
      </w:pPr>
      <w:r>
        <w:rPr>
          <w:b/>
          <w:color w:val="17384D"/>
        </w:rPr>
        <w:t>El propio paciente</w:t>
      </w:r>
      <w:r>
        <w:t xml:space="preserve">: si se ha tratado con </w:t>
      </w:r>
      <w:r>
        <w:rPr>
          <w:b/>
        </w:rPr>
        <w:t>penicilina</w:t>
      </w:r>
      <w:r>
        <w:t xml:space="preserve">, necesita una pauta </w:t>
      </w:r>
      <w:proofErr w:type="spellStart"/>
      <w:r>
        <w:t>erradicadora</w:t>
      </w:r>
      <w:proofErr w:type="spellEnd"/>
      <w:r>
        <w:t xml:space="preserve"> antes del alta; </w:t>
      </w:r>
      <w:r>
        <w:rPr>
          <w:b/>
        </w:rPr>
        <w:t>si ha recibido ceftriaxona IV, no</w:t>
      </w:r>
      <w:r>
        <w:t xml:space="preserve"> (ESCMID). </w:t>
      </w:r>
      <w:r>
        <w:rPr>
          <w:i/>
        </w:rPr>
        <w:t xml:space="preserve">Mensa 2026 coincide en que la penicilina no elimina N. </w:t>
      </w:r>
      <w:proofErr w:type="spellStart"/>
      <w:r>
        <w:rPr>
          <w:i/>
        </w:rPr>
        <w:t>meningitidis</w:t>
      </w:r>
      <w:proofErr w:type="spellEnd"/>
      <w:r>
        <w:rPr>
          <w:i/>
        </w:rPr>
        <w:t xml:space="preserve">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i/>
        </w:rPr>
        <w:t xml:space="preserve">H. </w:t>
      </w:r>
      <w:proofErr w:type="spellStart"/>
      <w:r>
        <w:rPr>
          <w:b/>
          <w:i/>
        </w:rPr>
        <w:t>influenzae</w:t>
      </w:r>
      <w:proofErr w:type="spellEnd"/>
      <w:r>
        <w:rPr>
          <w:b/>
        </w:rPr>
        <w:t xml:space="preserve"> tipo b</w:t>
      </w:r>
      <w:r>
        <w:t xml:space="preserve">: </w:t>
      </w:r>
      <w:r>
        <w:rPr>
          <w:b/>
        </w:rPr>
        <w:t>RIFAMPICINA AL CASO ÍNDICE Y A SUS CONVIVIENTES</w:t>
      </w:r>
      <w:r>
        <w:t xml:space="preserve"> (SEN 2025), </w:t>
      </w:r>
      <w:r>
        <w:rPr>
          <w:b/>
        </w:rPr>
        <w:t>600 mg VO cada 24 h durante 4 días</w:t>
      </w:r>
      <w:r>
        <w:t xml:space="preserve"> (dosis de la SEMES 2012). La SEMES 2012 la limitaba a los convivientes cuando en el domicilio hay niños &lt;6 años no vacunados, o cuando la persona trabaja con niños de esa edad; manda la SEN 2025, que no pone esa condición.</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pedir valoración radiológica especializada para buscar una fístula de LCR, hacer serología de VIH y estudiar la inmunidad (NICE 1.14).</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color w:val="17384D"/>
        </w:rPr>
        <w:t>Vacunación del adulto</w:t>
      </w:r>
      <w:r>
        <w:t xml:space="preserve">: en </w:t>
      </w:r>
      <w:r>
        <w:rPr>
          <w:b/>
        </w:rPr>
        <w:t>≥65 años, asplenia, enfermedades crónicas y VIH</w:t>
      </w:r>
      <w:r>
        <w:t xml:space="preserve">, vacuna antineumocócica </w:t>
      </w:r>
      <w:r>
        <w:rPr>
          <w:b/>
        </w:rPr>
        <w:t>conjugada de 20 serotipos en dosis única</w:t>
      </w:r>
      <w:r>
        <w:t xml:space="preserve">, o la </w:t>
      </w:r>
      <w:r>
        <w:rPr>
          <w:b/>
        </w:rPr>
        <w:t xml:space="preserve">conjugada de 13 seguida de la </w:t>
      </w:r>
      <w:proofErr w:type="spellStart"/>
      <w:r>
        <w:rPr>
          <w:b/>
        </w:rPr>
        <w:t>polisacárida</w:t>
      </w:r>
      <w:proofErr w:type="spellEnd"/>
      <w:r>
        <w:rPr>
          <w:b/>
        </w:rPr>
        <w:t xml:space="preserve"> de 23</w:t>
      </w:r>
      <w:r>
        <w:t xml:space="preserve">, según el protocolo de cada comunidad autónoma. Frente al meningococo hay vacunas contra el </w:t>
      </w:r>
      <w:r>
        <w:rPr>
          <w:b/>
        </w:rPr>
        <w:t>C</w:t>
      </w:r>
      <w:r>
        <w:t xml:space="preserve">, la </w:t>
      </w:r>
      <w:r>
        <w:rPr>
          <w:b/>
        </w:rPr>
        <w:t>tetravalente ACWY</w:t>
      </w:r>
      <w:r>
        <w:t xml:space="preserve"> (a los 12 años en el calendario español desde 2019) y dos contra el </w:t>
      </w:r>
      <w:r>
        <w:rPr>
          <w:b/>
        </w:rPr>
        <w:t>B</w:t>
      </w:r>
      <w:r>
        <w:t xml:space="preserve"> (4CMenB y </w:t>
      </w:r>
      <w:proofErr w:type="spellStart"/>
      <w:r>
        <w:t>MenB-fHbp</w:t>
      </w:r>
      <w:proofErr w:type="spellEnd"/>
      <w:r>
        <w:t xml:space="preserve">). </w:t>
      </w:r>
      <w:r>
        <w:rPr>
          <w:i/>
        </w:rPr>
        <w:t xml:space="preserve">En Europa, los </w:t>
      </w:r>
      <w:proofErr w:type="spellStart"/>
      <w:r>
        <w:rPr>
          <w:i/>
        </w:rPr>
        <w:t>serogrupos</w:t>
      </w:r>
      <w:proofErr w:type="spellEnd"/>
      <w:r>
        <w:rPr>
          <w:i/>
        </w:rPr>
        <w:t xml:space="preserve"> B e Y son hoy los más frecuentes. Para las recomendaciones actualizadas, remitirse al Comité Asesor de Vacunas.</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Si hay hipoacusia, derivar </w:t>
      </w:r>
      <w:r>
        <w:rPr>
          <w:b/>
        </w:rPr>
        <w:t>de forma urgente</w:t>
      </w:r>
      <w:r>
        <w:t xml:space="preserve"> a ORL de un centro con implante coclear: actuar pronto evita que la cóclea se osifique y deje de servir el implante (ESCMID).</w:t>
      </w:r>
    </w:p>
    <w:p w14:paraId="3E7C8A36" w14:textId="77777777" w:rsidR="00736A71" w:rsidRDefault="00B77AB3">
      <w:pPr>
        <w:pStyle w:val="Prrafodelista"/>
        <w:numPr>
          <w:ilvl w:val="0"/>
          <w:numId w:val="26"/>
        </w:numPr>
        <w:spacing w:after="80"/>
      </w:pPr>
      <w:r>
        <w:rPr>
          <w:b/>
        </w:rPr>
        <w:t>Revisión por un médico del hospital a las 4‑6 semanas del alta</w:t>
      </w:r>
      <w:r>
        <w:t xml:space="preserve"> (NICE 1.13.2), y </w:t>
      </w:r>
      <w:r>
        <w:rPr>
          <w:b/>
        </w:rPr>
        <w:t>revisión de los antiepilépticos a los 3 meses</w:t>
      </w:r>
      <w:r>
        <w:t xml:space="preserve"> si los toma (NICE 1.12.4).</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050202FD" w14:textId="77777777" w:rsidR="00736A71" w:rsidRDefault="00B77AB3">
      <w:pPr>
        <w:pStyle w:val="Prrafodelista"/>
        <w:numPr>
          <w:ilvl w:val="0"/>
          <w:numId w:val="26"/>
        </w:numPr>
        <w:spacing w:after="80"/>
      </w:pPr>
      <w:r>
        <w:rPr>
          <w:b/>
          <w:color w:val="17384D"/>
        </w:rPr>
        <w:t>Secuelas persistentes</w:t>
      </w:r>
      <w:r>
        <w:t xml:space="preserve">: auditivas o vestibulares y alteraciones cognitivas tardías. </w:t>
      </w:r>
      <w:r>
        <w:rPr>
          <w:i/>
        </w:rPr>
        <w:t xml:space="preserve">Mensa 2026 enumera pérdida auditiva, déficits focales, secuelas psicológicas y neurocognitivas, crisis, hidrocefalia, trastornos del habla y alteraciones visuales. Aproximadamente el </w:t>
      </w:r>
      <w:r>
        <w:rPr>
          <w:b/>
          <w:i/>
        </w:rPr>
        <w:t>30 % de los adultos supervivientes</w:t>
      </w:r>
      <w:r>
        <w:rPr>
          <w:i/>
        </w:rPr>
        <w:t xml:space="preserve"> presenta déficit focal, hipoacusia, epilepsia o deterioro cognitivo que persiste </w:t>
      </w:r>
      <w:r>
        <w:rPr>
          <w:b/>
          <w:i/>
        </w:rPr>
        <w:t>&gt;3 meses tras el alta</w:t>
      </w:r>
      <w:r>
        <w:rPr>
          <w:i/>
        </w:rPr>
        <w:t>. Es una estimación de secuelas, no un plazo para demorar el seguimiento.</w:t>
      </w:r>
    </w:p>
    <w:p w14:paraId="39396A45" w14:textId="77777777" w:rsidR="00736A71" w:rsidRDefault="00B77AB3">
      <w:pPr>
        <w:pStyle w:val="Ttulo1"/>
      </w:pPr>
      <w:bookmarkStart w:id="27" w:name="_Toc000510027"/>
      <w:r>
        <w:rPr>
          <w:color w:val="1C7C7D"/>
        </w:rPr>
        <w:t xml:space="preserve">12. </w:t>
      </w:r>
      <w:r>
        <w:t>Notas para el contexto español y europeo</w:t>
      </w:r>
      <w:bookmarkEnd w:id="27"/>
    </w:p>
    <w:p w14:paraId="6AAEA20B" w14:textId="77777777" w:rsidR="00736A71" w:rsidRDefault="00B77AB3">
      <w:pPr>
        <w:pStyle w:val="Prrafodelista"/>
        <w:keepLines/>
        <w:numPr>
          <w:ilvl w:val="0"/>
          <w:numId w:val="33"/>
        </w:numPr>
        <w:spacing w:after="80"/>
      </w:pPr>
      <w:r>
        <w:rPr>
          <w:b/>
          <w:color w:val="17384D"/>
        </w:rPr>
        <w:t>VANCOMICINA EMPÍRICA: SÍ EN ESPAÑA.</w:t>
      </w:r>
      <w:r>
        <w:t xml:space="preserve"> La ESCMID adapta el tratamiento empírico a la resistencia local y sitúa a </w:t>
      </w:r>
      <w:r>
        <w:rPr>
          <w:b/>
        </w:rPr>
        <w:t>España (con Francia y Rumanía) entre los países con un 20‑50 % de neumococos con sensibilidad disminuida a penicilina</w:t>
      </w:r>
      <w:r>
        <w:t xml:space="preserve">, frente a &lt;1 % en Países Bajos, Inglaterra, Dinamarca o Alemania (ECDC 2011). La </w:t>
      </w:r>
      <w:r>
        <w:rPr>
          <w:b/>
        </w:rPr>
        <w:t>SEMES 2012</w:t>
      </w:r>
      <w:r>
        <w:t xml:space="preserve"> ya indicaba añadir vancomicina donde hay muchas resistencias a penicilinas y C3G; la </w:t>
      </w:r>
      <w:r>
        <w:rPr>
          <w:b/>
        </w:rPr>
        <w:t>SEN 2025</w:t>
      </w:r>
      <w:r>
        <w:t xml:space="preserve"> la justifica por la frecuencia creciente del neumococo resistente. La </w:t>
      </w:r>
      <w:r>
        <w:rPr>
          <w:b/>
        </w:rPr>
        <w:t>NICE</w:t>
      </w:r>
      <w:r>
        <w:t xml:space="preserve"> no la incluye porque en Reino Unido la resistencia es baja. Las fuentes con datos de resistencia no aportan datos españoles de resistencia más recientes que los del ECDC de 2011.</w:t>
      </w:r>
    </w:p>
    <w:p w14:paraId="488B7D0D" w14:textId="77777777" w:rsidR="00736A71" w:rsidRDefault="00B77AB3">
      <w:pPr>
        <w:pStyle w:val="Prrafodelista"/>
        <w:keepLines/>
        <w:numPr>
          <w:ilvl w:val="0"/>
          <w:numId w:val="33"/>
        </w:numPr>
        <w:spacing w:after="80"/>
      </w:pPr>
      <w:r>
        <w:rPr>
          <w:b/>
          <w:color w:val="17384D"/>
        </w:rPr>
        <w:t>Penicilina</w:t>
      </w:r>
      <w:r>
        <w:t xml:space="preserve">: solo como tratamiento dirigido si la </w:t>
      </w:r>
      <w:r>
        <w:rPr>
          <w:b/>
        </w:rPr>
        <w:t>CMI de penicilina es &lt;0,1 µg/</w:t>
      </w:r>
      <w:proofErr w:type="spellStart"/>
      <w:r>
        <w:rPr>
          <w:b/>
        </w:rPr>
        <w:t>mL</w:t>
      </w:r>
      <w:proofErr w:type="spellEnd"/>
      <w:r>
        <w:t xml:space="preserve"> (ESCMID).</w:t>
      </w:r>
    </w:p>
    <w:p w14:paraId="2A493BA2" w14:textId="77777777" w:rsidR="00736A71" w:rsidRDefault="00B77AB3">
      <w:pPr>
        <w:pStyle w:val="Prrafodelista"/>
        <w:keepLines/>
        <w:numPr>
          <w:ilvl w:val="0"/>
          <w:numId w:val="33"/>
        </w:numPr>
        <w:spacing w:after="80"/>
      </w:pPr>
      <w:r>
        <w:rPr>
          <w:b/>
          <w:color w:val="17384D"/>
        </w:rPr>
        <w:t>Dosis de cefotaxima</w:t>
      </w:r>
      <w:r>
        <w:t>: 2 g cada 4‑6 h (ESCMID); 2‑3 g cada 6 h si el neumococo es resistente a C3G (ESCMID).</w:t>
      </w:r>
    </w:p>
    <w:p w14:paraId="56817C82" w14:textId="77777777" w:rsidR="00736A71" w:rsidRDefault="00B77AB3">
      <w:pPr>
        <w:pStyle w:val="Prrafodelista"/>
        <w:keepLines/>
        <w:numPr>
          <w:ilvl w:val="0"/>
          <w:numId w:val="33"/>
        </w:numPr>
        <w:spacing w:after="80"/>
      </w:pPr>
      <w:r>
        <w:rPr>
          <w:b/>
          <w:color w:val="17384D"/>
        </w:rPr>
        <w:t>TC antes de la PL</w:t>
      </w:r>
      <w:r>
        <w:t xml:space="preserve">: la </w:t>
      </w:r>
      <w:r>
        <w:rPr>
          <w:b/>
        </w:rPr>
        <w:t>SEN 2025</w:t>
      </w:r>
      <w:r>
        <w:t xml:space="preserve"> la mantiene como recomendable pero </w:t>
      </w:r>
      <w:r>
        <w:rPr>
          <w:b/>
        </w:rPr>
        <w:t>solo obligatoria con criterios</w:t>
      </w:r>
      <w:r>
        <w:t xml:space="preserve">, más cerca de la ESCMID y la NICE, que la restringen porque retrasa el antibiótico. Si se hace, </w:t>
      </w:r>
      <w:r>
        <w:rPr>
          <w:b/>
        </w:rPr>
        <w:t>antibiótico primero</w:t>
      </w:r>
      <w:r>
        <w:t>.</w:t>
      </w:r>
    </w:p>
    <w:p w14:paraId="40926C15" w14:textId="77777777" w:rsidR="00736A71" w:rsidRDefault="00B77AB3">
      <w:pPr>
        <w:pStyle w:val="Prrafodelista"/>
        <w:keepLines/>
        <w:numPr>
          <w:ilvl w:val="0"/>
          <w:numId w:val="33"/>
        </w:numPr>
        <w:spacing w:after="80"/>
      </w:pPr>
      <w:r>
        <w:rPr>
          <w:b/>
          <w:color w:val="17384D"/>
        </w:rPr>
        <w:t>Meningococo en España</w:t>
      </w:r>
      <w:r>
        <w:t xml:space="preserve">: la incidencia cayó más de un 50 % en 2020‑2022; los </w:t>
      </w:r>
      <w:proofErr w:type="spellStart"/>
      <w:r>
        <w:t>serogrupos</w:t>
      </w:r>
      <w:proofErr w:type="spellEnd"/>
      <w:r>
        <w:t xml:space="preserve"> B e Y son hoy los más frecuentes en Europa, y por eso la vacuna tetravalente ACWY ha sustituido a la del </w:t>
      </w:r>
      <w:proofErr w:type="spellStart"/>
      <w:r>
        <w:t>serogrupo</w:t>
      </w:r>
      <w:proofErr w:type="spellEnd"/>
      <w:r>
        <w:t xml:space="preserve"> C a los 12 años.</w:t>
      </w:r>
    </w:p>
    <w:p w14:paraId="4C4927D6" w14:textId="77777777" w:rsidR="00736A71" w:rsidRDefault="00B77AB3">
      <w:pPr>
        <w:pStyle w:val="Prrafodelista"/>
        <w:keepLines/>
        <w:numPr>
          <w:ilvl w:val="0"/>
          <w:numId w:val="33"/>
        </w:numPr>
        <w:spacing w:after="80"/>
      </w:pPr>
      <w:r>
        <w:rPr>
          <w:b/>
          <w:color w:val="17384D"/>
        </w:rPr>
        <w:lastRenderedPageBreak/>
        <w:t>Ceftriaxona y soluciones con calcio</w:t>
      </w:r>
      <w:r>
        <w:t>: son incompatibles (alerta de la MHRA citada por la NICE).</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w:t>
      </w:r>
      <w:proofErr w:type="spellStart"/>
      <w:r>
        <w:rPr>
          <w:sz w:val="20"/>
          <w:szCs w:val="20"/>
        </w:rPr>
        <w:t>Carra</w:t>
      </w:r>
      <w:proofErr w:type="spellEnd"/>
      <w:r>
        <w:rPr>
          <w:sz w:val="20"/>
          <w:szCs w:val="20"/>
        </w:rPr>
        <w:t xml:space="preserve"> JC, Rodrigo Armenteros P, Erburu Iriarte M. Infecciones bacterianas. En: Manual del residente de neurología.</w:t>
      </w:r>
      <w:r>
        <w:rPr>
          <w:sz w:val="20"/>
          <w:szCs w:val="20"/>
        </w:rPr>
        <w:t>: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w:t>
      </w:r>
      <w:proofErr w:type="spellStart"/>
      <w:r>
        <w:rPr>
          <w:i/>
          <w:sz w:val="20"/>
          <w:szCs w:val="20"/>
        </w:rPr>
        <w:t>romboencefalitis</w:t>
      </w:r>
      <w:proofErr w:type="spellEnd"/>
      <w:r>
        <w:rPr>
          <w:i/>
          <w:sz w:val="20"/>
          <w:szCs w:val="20"/>
        </w:rPr>
        <w:t xml:space="preserve">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i/>
          <w:sz w:val="20"/>
          <w:szCs w:val="20"/>
        </w:rPr>
        <w:t xml:space="preserve">Dexametasona mantenida en el neumococo y H. </w:t>
      </w:r>
      <w:proofErr w:type="spellStart"/>
      <w:r>
        <w:rPr>
          <w:i/>
          <w:sz w:val="20"/>
          <w:szCs w:val="20"/>
        </w:rPr>
        <w:t>influenzae</w:t>
      </w:r>
      <w:proofErr w:type="spellEnd"/>
      <w:r>
        <w:rPr>
          <w:i/>
          <w:sz w:val="20"/>
          <w:szCs w:val="20"/>
        </w:rPr>
        <w:t>, aislamiento respiratorio de 24 h en la meningocócica, quimioprofilaxis (rifampicina en el embarazo desde el primer trimestre; Hib al caso índice) y vacunación del adulto.</w:t>
      </w:r>
    </w:p>
    <w:p w14:paraId="5D1606A8" w14:textId="77777777" w:rsidR="00736A71" w:rsidRDefault="00B77AB3">
      <w:pPr>
        <w:pStyle w:val="Prrafodelista"/>
        <w:numPr>
          <w:ilvl w:val="0"/>
          <w:numId w:val="35"/>
        </w:numPr>
        <w:suppressAutoHyphens/>
        <w:spacing w:after="40" w:line="259" w:lineRule="auto"/>
        <w:jc w:val="left"/>
      </w:pPr>
      <w:r>
        <w:rPr>
          <w:i/>
          <w:sz w:val="20"/>
          <w:szCs w:val="20"/>
        </w:rPr>
        <w:t>Posibles erratas y datos dudosos: dosis de cloxacilina baja y ampicilina para Hib sin precisar sensibilidad.</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Carod Artal FJ. Infecciones víricas. En: Manual del residente de neurología. [Lugar desconocido]: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Completa vasculopatía retardada, HTIC, hidrocefalia, foco ORL y secuelas.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w:t>
      </w:r>
      <w:proofErr w:type="spellStart"/>
      <w:r>
        <w:rPr>
          <w:sz w:val="20"/>
          <w:szCs w:val="20"/>
        </w:rPr>
        <w:t>Dzupova</w:t>
      </w:r>
      <w:proofErr w:type="spellEnd"/>
      <w:r>
        <w:rPr>
          <w:sz w:val="20"/>
          <w:szCs w:val="20"/>
        </w:rPr>
        <w:t xml:space="preserve"> O, Esposito S, Klein M, </w:t>
      </w:r>
      <w:proofErr w:type="spellStart"/>
      <w:r>
        <w:rPr>
          <w:sz w:val="20"/>
          <w:szCs w:val="20"/>
        </w:rPr>
        <w:t>Kloek</w:t>
      </w:r>
      <w:proofErr w:type="spellEnd"/>
      <w:r>
        <w:rPr>
          <w:sz w:val="20"/>
          <w:szCs w:val="20"/>
        </w:rPr>
        <w:t xml:space="preserve"> AT, et al. </w:t>
      </w:r>
      <w:r w:rsidRPr="001157B1">
        <w:rPr>
          <w:sz w:val="20"/>
          <w:szCs w:val="20"/>
          <w:lang w:val="en-GB"/>
        </w:rPr>
        <w:t xml:space="preserve">ESCMID guideline: diagnosis and treatment of acute bacterial meningitis. Clin </w:t>
      </w:r>
      <w:proofErr w:type="spellStart"/>
      <w:r w:rsidRPr="001157B1">
        <w:rPr>
          <w:sz w:val="20"/>
          <w:szCs w:val="20"/>
          <w:lang w:val="en-GB"/>
        </w:rPr>
        <w:t>Microbiol</w:t>
      </w:r>
      <w:proofErr w:type="spellEnd"/>
      <w:r w:rsidRPr="001157B1">
        <w:rPr>
          <w:sz w:val="20"/>
          <w:szCs w:val="20"/>
          <w:lang w:val="en-GB"/>
        </w:rPr>
        <w:t xml:space="preserve"> Infect. </w:t>
      </w:r>
      <w:r>
        <w:rPr>
          <w:sz w:val="20"/>
          <w:szCs w:val="20"/>
        </w:rPr>
        <w:t xml:space="preserve">2016;22 </w:t>
      </w:r>
      <w:proofErr w:type="spellStart"/>
      <w:r>
        <w:rPr>
          <w:sz w:val="20"/>
          <w:szCs w:val="20"/>
        </w:rPr>
        <w:t>Suppl</w:t>
      </w:r>
      <w:proofErr w:type="spellEnd"/>
      <w:r>
        <w:rPr>
          <w:sz w:val="20"/>
          <w:szCs w:val="20"/>
        </w:rPr>
        <w:t xml:space="preserve"> </w:t>
      </w:r>
      <w:proofErr w:type="gramStart"/>
      <w:r>
        <w:rPr>
          <w:sz w:val="20"/>
          <w:szCs w:val="20"/>
        </w:rPr>
        <w:t>3:S</w:t>
      </w:r>
      <w:proofErr w:type="gramEnd"/>
      <w:r>
        <w:rPr>
          <w:sz w:val="20"/>
          <w:szCs w:val="20"/>
        </w:rPr>
        <w:t xml:space="preserve">37‑62. </w:t>
      </w:r>
      <w:hyperlink r:id="rId8" w:history="1">
        <w:proofErr w:type="gramStart"/>
        <w:r>
          <w:rPr>
            <w:color w:val="185C91"/>
            <w:sz w:val="20"/>
            <w:szCs w:val="20"/>
            <w:u w:val="single"/>
          </w:rPr>
          <w:t>doi:10.1016/j.cmi</w:t>
        </w:r>
        <w:proofErr w:type="gramEnd"/>
        <w:r>
          <w:rPr>
            <w:color w:val="185C91"/>
            <w:sz w:val="20"/>
            <w:szCs w:val="20"/>
            <w:u w:val="single"/>
          </w:rPr>
          <w:t>.2016.01.007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Nivel 3 en esta revisión: complementa lo que la SEN y Mensa no concretan.</w:t>
      </w:r>
      <w:r>
        <w:rPr>
          <w:color w:val="4F5F68"/>
          <w:sz w:val="20"/>
          <w:szCs w:val="20"/>
        </w:rPr>
        <w:t xml:space="preserve"> </w:t>
      </w:r>
      <w:r>
        <w:rPr>
          <w:i/>
          <w:color w:val="4F5F68"/>
          <w:sz w:val="20"/>
          <w:szCs w:val="20"/>
        </w:rPr>
        <w:t>Guía europea d</w:t>
      </w:r>
      <w:r>
        <w:rPr>
          <w:i/>
          <w:color w:val="4F5F68"/>
          <w:sz w:val="20"/>
          <w:szCs w:val="20"/>
        </w:rPr>
        <w:t>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Pauta empírica (vancomicina o rifampicina; ampicilina si &gt;50 años), tratamiento dirigido según la CMI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sidRPr="001157B1">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2024. (NICE </w:t>
      </w:r>
      <w:proofErr w:type="spellStart"/>
      <w:r>
        <w:rPr>
          <w:sz w:val="20"/>
          <w:szCs w:val="20"/>
        </w:rPr>
        <w:t>guideline</w:t>
      </w:r>
      <w:proofErr w:type="spellEnd"/>
      <w:r>
        <w:rPr>
          <w:sz w:val="20"/>
          <w:szCs w:val="20"/>
        </w:rPr>
        <w:t>; NG240).</w:t>
      </w:r>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Nivel 4 en esta revisión;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La combinación de alarma, 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Los tiempos: antibiótico en &lt;1 h, antibiótico prehospitalario.</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La duración por germen cuando la SEN y la ESCMID no la fijan (enterobacterias, estreptococo del grupo B)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por la baja resistencia del neumococo en Reino Unido: no es aplicable a España en ese punto.</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w:t>
      </w:r>
      <w:proofErr w:type="spellStart"/>
      <w:r>
        <w:rPr>
          <w:sz w:val="20"/>
          <w:szCs w:val="20"/>
        </w:rPr>
        <w:t>Edicomplet</w:t>
      </w:r>
      <w:proofErr w:type="spellEnd"/>
      <w:r>
        <w:rPr>
          <w:sz w:val="20"/>
          <w:szCs w:val="20"/>
        </w:rPr>
        <w: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Nivel 5 en esta revisión: estructura de urgencias y aspectos no cubiertos por las fuentes superiores.</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Epidemiología española (incidencia de 4‑8/100.000, mortalidad de hasta el 18‑25 %) y etiología en situaciones especiales.</w:t>
      </w:r>
    </w:p>
    <w:p w14:paraId="6EAA58AC" w14:textId="77777777" w:rsidR="00736A71" w:rsidRDefault="00B77AB3">
      <w:pPr>
        <w:pStyle w:val="Prrafodelista"/>
        <w:numPr>
          <w:ilvl w:val="0"/>
          <w:numId w:val="35"/>
        </w:numPr>
        <w:suppressAutoHyphens/>
        <w:spacing w:after="40" w:line="259" w:lineRule="auto"/>
        <w:jc w:val="left"/>
      </w:pPr>
      <w:r>
        <w:rPr>
          <w:i/>
          <w:sz w:val="20"/>
          <w:szCs w:val="20"/>
        </w:rPr>
        <w:t>Valores normales del LCR y LCR normal en fases precoces.</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Aislamiento respiratorio, definición de los contactos y profilaxis frente a meningococo y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Medidas de soporte no sustituidas por las fuentes superiores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i/>
          <w:sz w:val="20"/>
          <w:szCs w:val="20"/>
        </w:rPr>
        <w:t>Desactualizado en: TC en todos los &gt;50 años, no dar dexametasona si ya hay antibiótico, rifampicina contraindicada en todo el embarazo, rifampicina añadida a la vancomicina si se da dexametasona, aislamiento de toda sospecha de MBA y profilaxis de Hib limitada a los domicilios con niños pequeños no vacunados.</w:t>
      </w:r>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2026-10-06T12:54:00Z</dcterms:modified>
  <cp:category/>
</cp:coreProperties>
</file>