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DeepResearch多Agent行业深度研究助手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关键技术栈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FastAPI（REST API / SSE 流式返回）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LangGraph（多智能体状态编排）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LangChain（Agent 构建与工具调用）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Milvus（向量检索 / RAG）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PostgreSQL（长期记忆与结构化持久化）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Redis（短期状态与会话能力）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DashScope Embedding + Qwen（向量化与推理）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Vue3 + TypeScript + Vite（前端工作台）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268"/>
        <w:gridCol w:w="6011"/>
      </w:tblGrid>
      <w:tr>
        <w:tc>
          <w:tcPr>
            <w:tcW w:w="22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19240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657600" cy="20383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项目亮点</w:t>
      </w:r>
      <w:bookmarkEnd w:id="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基于 </w:t>
      </w:r>
      <w:r>
        <w:rPr>
          <w:rFonts w:eastAsia="等线" w:ascii="Arial" w:cs="Arial" w:hAnsi="Arial"/>
          <w:b w:val="true"/>
          <w:sz w:val="22"/>
        </w:rPr>
        <w:t>LangGraph + ResearchState</w:t>
      </w:r>
      <w:r>
        <w:rPr>
          <w:rFonts w:eastAsia="等线" w:ascii="Arial" w:cs="Arial" w:hAnsi="Arial"/>
          <w:sz w:val="22"/>
        </w:rPr>
        <w:t xml:space="preserve"> 实现多 Agent 编排，将 Intent Router、Planner、Web Scout、Local Scout、Evidence Judge、Analyst、Writer 解耦，形成可维护的节点化执行链路。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构建 </w:t>
      </w:r>
      <w:r>
        <w:rPr>
          <w:rFonts w:eastAsia="等线" w:ascii="Arial" w:cs="Arial" w:hAnsi="Arial"/>
          <w:b w:val="true"/>
          <w:sz w:val="22"/>
        </w:rPr>
        <w:t>Bocha Web Search + Milvus RAG</w:t>
      </w:r>
      <w:r>
        <w:rPr>
          <w:rFonts w:eastAsia="等线" w:ascii="Arial" w:cs="Arial" w:hAnsi="Arial"/>
          <w:sz w:val="22"/>
        </w:rPr>
        <w:t xml:space="preserve"> 的双路检索，并行召回外部信息与本地知识，提升证据覆盖率，降低单源信息偏差。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等线" w:ascii="Arial" w:cs="Arial" w:hAnsi="Arial"/>
          <w:b w:val="true"/>
          <w:sz w:val="22"/>
        </w:rPr>
        <w:t>规则引擎 + LLM 意图识别</w:t>
      </w:r>
      <w:r>
        <w:rPr>
          <w:rFonts w:eastAsia="等线" w:ascii="Arial" w:cs="Arial" w:hAnsi="Arial"/>
          <w:sz w:val="22"/>
        </w:rPr>
        <w:t xml:space="preserve"> 做路由分流，在保证质量的同时控制时延与 Token 成本。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在证据处理环节引入 </w:t>
      </w:r>
      <w:r>
        <w:rPr>
          <w:rFonts w:eastAsia="等线" w:ascii="Arial" w:cs="Arial" w:hAnsi="Arial"/>
          <w:b w:val="true"/>
          <w:sz w:val="22"/>
        </w:rPr>
        <w:t>Evidence Judge（相关性过滤、去重、冲突检测、信源标注）</w:t>
      </w:r>
      <w:r>
        <w:rPr>
          <w:rFonts w:eastAsia="等线" w:ascii="Arial" w:cs="Arial" w:hAnsi="Arial"/>
          <w:sz w:val="22"/>
        </w:rPr>
        <w:t xml:space="preserve">，把“可检索”提升为“可用证据”，增强结果可靠性。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设计 </w:t>
      </w:r>
      <w:r>
        <w:rPr>
          <w:rFonts w:eastAsia="等线" w:ascii="Arial" w:cs="Arial" w:hAnsi="Arial"/>
          <w:b w:val="true"/>
          <w:sz w:val="22"/>
        </w:rPr>
        <w:t>Reflect 反思补搜机制 + 迭代预算控制</w:t>
      </w:r>
      <w:r>
        <w:rPr>
          <w:rFonts w:eastAsia="等线" w:ascii="Arial" w:cs="Arial" w:hAnsi="Arial"/>
          <w:sz w:val="22"/>
        </w:rPr>
        <w:t xml:space="preserve">，当证据不足时自动生成补充查询并二次检索，实现“检索-分析-补搜”的闭环优化。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输出阶段强调 </w:t>
      </w:r>
      <w:r>
        <w:rPr>
          <w:rFonts w:eastAsia="等线" w:ascii="Arial" w:cs="Arial" w:hAnsi="Arial"/>
          <w:b w:val="true"/>
          <w:sz w:val="22"/>
        </w:rPr>
        <w:t>引用约束与溯源校验</w:t>
      </w:r>
      <w:r>
        <w:rPr>
          <w:rFonts w:eastAsia="等线" w:ascii="Arial" w:cs="Arial" w:hAnsi="Arial"/>
          <w:sz w:val="22"/>
        </w:rPr>
        <w:t xml:space="preserve">，通过来源编号与校验策略抑制幻觉引用，提升报告可核查性与可追溯性。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实现 </w:t>
      </w:r>
      <w:r>
        <w:rPr>
          <w:rFonts w:eastAsia="等线" w:ascii="Arial" w:cs="Arial" w:hAnsi="Arial"/>
          <w:b w:val="true"/>
          <w:sz w:val="22"/>
        </w:rPr>
        <w:t>短期记忆（会话）+ 长期记忆（用户）+ 向量语义记忆（Milvus）</w:t>
      </w:r>
      <w:r>
        <w:rPr>
          <w:rFonts w:eastAsia="等线" w:ascii="Arial" w:cs="Arial" w:hAnsi="Arial"/>
          <w:sz w:val="22"/>
        </w:rPr>
        <w:t xml:space="preserve"> 的分层记忆体系，支持跨轮次上下文注入与个性化应答。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后端使用 </w:t>
      </w:r>
      <w:r>
        <w:rPr>
          <w:rFonts w:eastAsia="等线" w:ascii="Arial" w:cs="Arial" w:hAnsi="Arial"/>
          <w:b w:val="true"/>
          <w:sz w:val="22"/>
        </w:rPr>
        <w:t>FastAPI + SSE</w:t>
      </w:r>
      <w:r>
        <w:rPr>
          <w:rFonts w:eastAsia="等线" w:ascii="Arial" w:cs="Arial" w:hAnsi="Arial"/>
          <w:sz w:val="22"/>
        </w:rPr>
        <w:t xml:space="preserve"> 输出节点级阶段事件，前端基于 </w:t>
      </w:r>
      <w:r>
        <w:rPr>
          <w:rFonts w:eastAsia="等线" w:ascii="Arial" w:cs="Arial" w:hAnsi="Arial"/>
          <w:b w:val="true"/>
          <w:sz w:val="22"/>
        </w:rPr>
        <w:t>Vue3</w:t>
      </w:r>
      <w:r>
        <w:rPr>
          <w:rFonts w:eastAsia="等线" w:ascii="Arial" w:cs="Arial" w:hAnsi="Arial"/>
          <w:sz w:val="22"/>
        </w:rPr>
        <w:t xml:space="preserve"> 实时展示执行过程，提升可观测性与调试效率。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 </w:t>
      </w:r>
      <w:r>
        <w:rPr>
          <w:rFonts w:eastAsia="等线" w:ascii="Arial" w:cs="Arial" w:hAnsi="Arial"/>
          <w:b w:val="true"/>
          <w:sz w:val="22"/>
        </w:rPr>
        <w:t>CLI + Web</w:t>
      </w:r>
      <w:r>
        <w:rPr>
          <w:rFonts w:eastAsia="等线" w:ascii="Arial" w:cs="Arial" w:hAnsi="Arial"/>
          <w:sz w:val="22"/>
        </w:rPr>
        <w:t xml:space="preserve"> 双入口，形成从算法编排、服务接口到可视化交互的完整工程链路，便于演示和持续迭代。  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289"/>
        <w:gridCol w:w="1990"/>
      </w:tblGrid>
      <w:tr>
        <w:tc>
          <w:tcPr>
            <w:tcW w:w="628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838575" cy="21431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04900" cy="19907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95693">
    <w:lvl>
      <w:numFmt w:val="bullet"/>
      <w:suff w:val="tab"/>
      <w:lvlText w:val="•"/>
      <w:rPr>
        <w:color w:val="3370ff"/>
      </w:rPr>
    </w:lvl>
  </w:abstractNum>
  <w:abstractNum w:abstractNumId="1995694">
    <w:lvl>
      <w:numFmt w:val="bullet"/>
      <w:suff w:val="tab"/>
      <w:lvlText w:val="•"/>
      <w:rPr>
        <w:color w:val="3370ff"/>
      </w:rPr>
    </w:lvl>
  </w:abstractNum>
  <w:abstractNum w:abstractNumId="1995695">
    <w:lvl>
      <w:numFmt w:val="bullet"/>
      <w:suff w:val="tab"/>
      <w:lvlText w:val="•"/>
      <w:rPr>
        <w:color w:val="3370ff"/>
      </w:rPr>
    </w:lvl>
  </w:abstractNum>
  <w:abstractNum w:abstractNumId="1995696">
    <w:lvl>
      <w:numFmt w:val="bullet"/>
      <w:suff w:val="tab"/>
      <w:lvlText w:val="•"/>
      <w:rPr>
        <w:color w:val="3370ff"/>
      </w:rPr>
    </w:lvl>
  </w:abstractNum>
  <w:abstractNum w:abstractNumId="1995697">
    <w:lvl>
      <w:numFmt w:val="bullet"/>
      <w:suff w:val="tab"/>
      <w:lvlText w:val="•"/>
      <w:rPr>
        <w:color w:val="3370ff"/>
      </w:rPr>
    </w:lvl>
  </w:abstractNum>
  <w:abstractNum w:abstractNumId="1995698">
    <w:lvl>
      <w:numFmt w:val="bullet"/>
      <w:suff w:val="tab"/>
      <w:lvlText w:val="•"/>
      <w:rPr>
        <w:color w:val="3370ff"/>
      </w:rPr>
    </w:lvl>
  </w:abstractNum>
  <w:abstractNum w:abstractNumId="1995699">
    <w:lvl>
      <w:numFmt w:val="bullet"/>
      <w:suff w:val="tab"/>
      <w:lvlText w:val="•"/>
      <w:rPr>
        <w:color w:val="3370ff"/>
      </w:rPr>
    </w:lvl>
  </w:abstractNum>
  <w:abstractNum w:abstractNumId="1995700">
    <w:lvl>
      <w:numFmt w:val="bullet"/>
      <w:suff w:val="tab"/>
      <w:lvlText w:val="•"/>
      <w:rPr>
        <w:color w:val="3370ff"/>
      </w:rPr>
    </w:lvl>
  </w:abstractNum>
  <w:abstractNum w:abstractNumId="1995701">
    <w:lvl>
      <w:numFmt w:val="bullet"/>
      <w:suff w:val="tab"/>
      <w:lvlText w:val="•"/>
      <w:rPr>
        <w:color w:val="3370ff"/>
      </w:rPr>
    </w:lvl>
  </w:abstractNum>
  <w:abstractNum w:abstractNumId="1995702">
    <w:lvl>
      <w:numFmt w:val="bullet"/>
      <w:suff w:val="tab"/>
      <w:lvlText w:val="•"/>
      <w:rPr>
        <w:color w:val="3370ff"/>
      </w:rPr>
    </w:lvl>
  </w:abstractNum>
  <w:abstractNum w:abstractNumId="1995703">
    <w:lvl>
      <w:numFmt w:val="bullet"/>
      <w:suff w:val="tab"/>
      <w:lvlText w:val="•"/>
      <w:rPr>
        <w:color w:val="3370ff"/>
      </w:rPr>
    </w:lvl>
  </w:abstractNum>
  <w:abstractNum w:abstractNumId="1995704">
    <w:lvl>
      <w:numFmt w:val="bullet"/>
      <w:suff w:val="tab"/>
      <w:lvlText w:val="•"/>
      <w:rPr>
        <w:color w:val="3370ff"/>
      </w:rPr>
    </w:lvl>
  </w:abstractNum>
  <w:abstractNum w:abstractNumId="1995705">
    <w:lvl>
      <w:numFmt w:val="bullet"/>
      <w:suff w:val="tab"/>
      <w:lvlText w:val="•"/>
      <w:rPr>
        <w:color w:val="3370ff"/>
      </w:rPr>
    </w:lvl>
  </w:abstractNum>
  <w:abstractNum w:abstractNumId="1995706">
    <w:lvl>
      <w:numFmt w:val="bullet"/>
      <w:suff w:val="tab"/>
      <w:lvlText w:val="•"/>
      <w:rPr>
        <w:color w:val="3370ff"/>
      </w:rPr>
    </w:lvl>
  </w:abstractNum>
  <w:abstractNum w:abstractNumId="1995707">
    <w:lvl>
      <w:numFmt w:val="bullet"/>
      <w:suff w:val="tab"/>
      <w:lvlText w:val="•"/>
      <w:rPr>
        <w:color w:val="3370ff"/>
      </w:rPr>
    </w:lvl>
  </w:abstractNum>
  <w:abstractNum w:abstractNumId="1995708">
    <w:lvl>
      <w:numFmt w:val="bullet"/>
      <w:suff w:val="tab"/>
      <w:lvlText w:val="•"/>
      <w:rPr>
        <w:color w:val="3370ff"/>
      </w:rPr>
    </w:lvl>
  </w:abstractNum>
  <w:abstractNum w:abstractNumId="1995709">
    <w:lvl>
      <w:numFmt w:val="bullet"/>
      <w:suff w:val="tab"/>
      <w:lvlText w:val="•"/>
      <w:rPr>
        <w:color w:val="3370ff"/>
      </w:rPr>
    </w:lvl>
  </w:abstractNum>
  <w:abstractNum w:abstractNumId="1995710">
    <w:lvl>
      <w:numFmt w:val="bullet"/>
      <w:suff w:val="tab"/>
      <w:lvlText w:val="•"/>
      <w:rPr>
        <w:color w:val="3370ff"/>
      </w:rPr>
    </w:lvl>
  </w:abstractNum>
  <w:num w:numId="1">
    <w:abstractNumId w:val="1995693"/>
  </w:num>
  <w:num w:numId="2">
    <w:abstractNumId w:val="1995694"/>
  </w:num>
  <w:num w:numId="3">
    <w:abstractNumId w:val="1995695"/>
  </w:num>
  <w:num w:numId="4">
    <w:abstractNumId w:val="1995696"/>
  </w:num>
  <w:num w:numId="5">
    <w:abstractNumId w:val="1995697"/>
  </w:num>
  <w:num w:numId="6">
    <w:abstractNumId w:val="1995698"/>
  </w:num>
  <w:num w:numId="7">
    <w:abstractNumId w:val="1995699"/>
  </w:num>
  <w:num w:numId="8">
    <w:abstractNumId w:val="1995700"/>
  </w:num>
  <w:num w:numId="9">
    <w:abstractNumId w:val="1995701"/>
  </w:num>
  <w:num w:numId="10">
    <w:abstractNumId w:val="1995702"/>
  </w:num>
  <w:num w:numId="11">
    <w:abstractNumId w:val="1995703"/>
  </w:num>
  <w:num w:numId="12">
    <w:abstractNumId w:val="1995704"/>
  </w:num>
  <w:num w:numId="13">
    <w:abstractNumId w:val="1995705"/>
  </w:num>
  <w:num w:numId="14">
    <w:abstractNumId w:val="1995706"/>
  </w:num>
  <w:num w:numId="15">
    <w:abstractNumId w:val="1995707"/>
  </w:num>
  <w:num w:numId="16">
    <w:abstractNumId w:val="1995708"/>
  </w:num>
  <w:num w:numId="17">
    <w:abstractNumId w:val="1995709"/>
  </w:num>
  <w:num w:numId="18">
    <w:abstractNumId w:val="19957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2026-05-06T04:38:55Z</dcterms:created>
  <dc:creator>Apache POI</dc:creator>
</cp:coreProperties>
</file>