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售后入口与订单状态</w:t>
      </w:r>
    </w:p>
    <w:p>
      <w:pPr>
        <w:pStyle w:val="Heading2"/>
      </w:pPr>
      <w:r>
        <w:t>当前订单状态规则</w:t>
      </w:r>
    </w:p>
    <w:p>
      <w:r>
        <w:t>仅已支付且已完成的订单可申请售后。</w:t>
      </w:r>
    </w:p>
    <w:p>
      <w:r>
        <w:t>虚拟商品不进入售后流程。</w:t>
      </w:r>
    </w:p>
    <w:p>
      <w:pPr>
        <w:pStyle w:val="Heading2"/>
      </w:pPr>
      <w:r>
        <w:t>接口与客户端约束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对象</w:t>
            </w:r>
          </w:p>
        </w:tc>
        <w:tc>
          <w:tcPr>
            <w:tcW w:type="dxa" w:w="4320"/>
          </w:tcPr>
          <w:p>
            <w:r>
              <w:t>当前约束</w:t>
            </w:r>
          </w:p>
        </w:tc>
      </w:tr>
      <w:tr>
        <w:tc>
          <w:tcPr>
            <w:tcW w:type="dxa" w:w="4320"/>
          </w:tcPr>
          <w:p>
            <w:r>
              <w:t>售后接口 v2</w:t>
            </w:r>
          </w:p>
        </w:tc>
        <w:tc>
          <w:tcPr>
            <w:tcW w:type="dxa" w:w="4320"/>
          </w:tcPr>
          <w:p>
            <w:r>
              <w:t>售后接口 v2 必须提供 source_channel。</w:t>
            </w:r>
          </w:p>
        </w:tc>
      </w:tr>
      <w:tr>
        <w:tc>
          <w:tcPr>
            <w:tcW w:type="dxa" w:w="4320"/>
          </w:tcPr>
          <w:p>
            <w:r>
              <w:t>Flutter 客户端</w:t>
            </w:r>
          </w:p>
        </w:tc>
        <w:tc>
          <w:tcPr>
            <w:tcW w:type="dxa" w:w="4320"/>
          </w:tcPr>
          <w:p>
            <w:r>
              <w:t>Flutter 客户端必须使用相同的入口可见性规则。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