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After-sale entry and order status</w:t>
      </w:r>
    </w:p>
    <w:p>
      <w:pPr>
        <w:pStyle w:val="Heading2"/>
      </w:pPr>
      <w:r>
        <w:t>Current order-state rules</w:t>
      </w:r>
    </w:p>
    <w:p>
      <w:r>
        <w:t>Only paid and completed orders may request after-sale service.</w:t>
      </w:r>
    </w:p>
    <w:p>
      <w:r>
        <w:t>Virtual goods are excluded from the after-sale flow.</w:t>
      </w:r>
    </w:p>
    <w:p>
      <w:pPr>
        <w:pStyle w:val="Heading2"/>
      </w:pPr>
      <w:r>
        <w:t>API and client constraints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Object</w:t>
            </w:r>
          </w:p>
        </w:tc>
        <w:tc>
          <w:tcPr>
            <w:tcW w:type="dxa" w:w="4320"/>
          </w:tcPr>
          <w:p>
            <w:r>
              <w:t>Current constraint</w:t>
            </w:r>
          </w:p>
        </w:tc>
      </w:tr>
      <w:tr>
        <w:tc>
          <w:tcPr>
            <w:tcW w:type="dxa" w:w="4320"/>
          </w:tcPr>
          <w:p>
            <w:r>
              <w:t>After-sale API v2</w:t>
            </w:r>
          </w:p>
        </w:tc>
        <w:tc>
          <w:tcPr>
            <w:tcW w:type="dxa" w:w="4320"/>
          </w:tcPr>
          <w:p>
            <w:r>
              <w:t>After-sale API v2 requires source_channel.</w:t>
            </w:r>
          </w:p>
        </w:tc>
      </w:tr>
      <w:tr>
        <w:tc>
          <w:tcPr>
            <w:tcW w:type="dxa" w:w="4320"/>
          </w:tcPr>
          <w:p>
            <w:r>
              <w:t>Flutter client</w:t>
            </w:r>
          </w:p>
        </w:tc>
        <w:tc>
          <w:tcPr>
            <w:tcW w:type="dxa" w:w="4320"/>
          </w:tcPr>
          <w:p>
            <w:r>
              <w:t>The Flutter client must use the same entry visibility rules.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