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i-tib-界面结合能的分子动力学计算"/>
    <w:p>
      <w:pPr>
        <w:pStyle w:val="Heading1"/>
      </w:pPr>
      <w:r>
        <w:t xml:space="preserve">Ti-TiB </w:t>
      </w:r>
      <w:r>
        <w:rPr>
          <w:rFonts w:hint="eastAsia"/>
        </w:rPr>
        <w:t xml:space="preserve">界面结合能的分子动力学计算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本研究采用分子动力学（MD）方法计算了不同温度下</w:t>
      </w:r>
      <w:r>
        <w:t xml:space="preserve"> Ti-TiB </w:t>
      </w:r>
      <w:r>
        <w:rPr>
          <w:rFonts w:hint="eastAsia"/>
        </w:rPr>
        <w:t xml:space="preserve">金属基复合材料界面的结合能。计算结果表明，在</w:t>
      </w:r>
      <w:r>
        <w:t xml:space="preserve"> 100-500°C </w:t>
      </w:r>
      <w:r>
        <w:rPr>
          <w:rFonts w:hint="eastAsia"/>
        </w:rPr>
        <w:t xml:space="preserve">温度范围内，Ti-TiB</w:t>
      </w:r>
      <w:r>
        <w:t xml:space="preserve"> </w:t>
      </w:r>
      <w:r>
        <w:rPr>
          <w:rFonts w:hint="eastAsia"/>
        </w:rPr>
        <w:t xml:space="preserve">界面结合能为</w:t>
      </w:r>
      <w:r>
        <w:t xml:space="preserve"> 5.05-5.92 </w:t>
      </w:r>
      <w:r>
        <w:rPr>
          <w:rFonts w:hint="eastAsia"/>
        </w:rPr>
        <w:t xml:space="preserve">J/m²，与文献报道的第一性原理计算结果（4.95-6.04</w:t>
      </w:r>
      <w:r>
        <w:t xml:space="preserve"> </w:t>
      </w:r>
      <w:r>
        <w:rPr>
          <w:rFonts w:hint="eastAsia"/>
        </w:rPr>
        <w:t xml:space="preserve">J/m²）吻合良好，验证了计算方法的可靠性。结合能随温度升高而增大，体现了高温下界面结合增强的趋势。</w:t>
      </w:r>
    </w:p>
    <w:bookmarkEnd w:id="9"/>
    <w:bookmarkStart w:id="10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钛基复合材料（TMCs）因其优异的比强度、耐腐蚀性和高温性能，在航空航天领域具有重要应用前景。TiB</w:t>
      </w:r>
      <w:r>
        <w:t xml:space="preserve"> </w:t>
      </w:r>
      <w:r>
        <w:rPr>
          <w:rFonts w:hint="eastAsia"/>
        </w:rPr>
        <w:t xml:space="preserve">作为增强相与</w:t>
      </w:r>
      <w:r>
        <w:t xml:space="preserve"> Ti </w:t>
      </w:r>
      <w:r>
        <w:rPr>
          <w:rFonts w:hint="eastAsia"/>
        </w:rPr>
        <w:t xml:space="preserve">基体具有良好的化学相容性和热膨胀匹配性，是理想的增强体选择。界面结合能是表征复合材料界面强度的重要参数，直接影响材料的力学性能。</w:t>
      </w:r>
    </w:p>
    <w:bookmarkEnd w:id="10"/>
    <w:bookmarkStart w:id="18" w:name="计算方法"/>
    <w:p>
      <w:pPr>
        <w:pStyle w:val="Heading2"/>
      </w:pPr>
      <w:r>
        <w:t xml:space="preserve">2. </w:t>
      </w:r>
      <w:r>
        <w:rPr>
          <w:rFonts w:hint="eastAsia"/>
        </w:rPr>
        <w:t xml:space="preserve">计算方法</w:t>
      </w:r>
    </w:p>
    <w:bookmarkStart w:id="14" w:name="模型构建"/>
    <w:p>
      <w:pPr>
        <w:pStyle w:val="Heading3"/>
      </w:pPr>
      <w:r>
        <w:t xml:space="preserve">2.1 </w:t>
      </w:r>
      <w:r>
        <w:rPr>
          <w:rFonts w:hint="eastAsia"/>
        </w:rPr>
        <w:t xml:space="preserve">模型构建</w:t>
      </w:r>
    </w:p>
    <w:p>
      <w:pPr>
        <w:pStyle w:val="FirstParagraph"/>
      </w:pPr>
      <w:r>
        <w:rPr>
          <w:rFonts w:hint="eastAsia"/>
        </w:rPr>
        <w:t xml:space="preserve">本研究构建的</w:t>
      </w:r>
      <w:r>
        <w:t xml:space="preserve"> Ti-TiB </w:t>
      </w:r>
      <w:r>
        <w:rPr>
          <w:rFonts w:hint="eastAsia"/>
        </w:rPr>
        <w:t xml:space="preserve">界面模型如图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BodyText"/>
      </w:pPr>
      <w:r>
        <w:drawing>
          <wp:inline>
            <wp:extent cx="5334000" cy="5120640"/>
            <wp:effectExtent b="0" l="0" r="0" t="0"/>
            <wp:docPr descr="Ti-TiB 界面模型示意图" title="" id="12" name="Picture"/>
            <a:graphic>
              <a:graphicData uri="http://schemas.openxmlformats.org/drawingml/2006/picture">
                <pic:pic>
                  <pic:nvPicPr>
                    <pic:cNvPr descr="figures/fig4_interface_schemati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 </w:t>
      </w:r>
      <w:r>
        <w:t xml:space="preserve">Ti-TiB </w:t>
      </w:r>
      <w:r>
        <w:rPr>
          <w:rFonts w:hint="eastAsia"/>
        </w:rPr>
        <w:t xml:space="preserve">界面模型示意图</w:t>
      </w:r>
    </w:p>
    <w:p>
      <w:pPr>
        <w:pStyle w:val="BodyText"/>
      </w:pPr>
      <w:r>
        <w:rPr>
          <w:rFonts w:hint="eastAsia"/>
        </w:rPr>
        <w:t xml:space="preserve">模型参数如下：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界面模型</w:t>
      </w:r>
      <w:r>
        <w:rPr>
          <w:rFonts w:hint="eastAsia"/>
        </w:rPr>
        <w:t xml:space="preserve">：Ti-TiB</w:t>
      </w:r>
      <w:r>
        <w:t xml:space="preserve"> </w:t>
      </w:r>
      <w:r>
        <w:rPr>
          <w:rFonts w:hint="eastAsia"/>
        </w:rPr>
        <w:t xml:space="preserve">界面体系，包含</w:t>
      </w:r>
      <w:r>
        <w:t xml:space="preserve"> 1,007,916 </w:t>
      </w:r>
      <w:r>
        <w:rPr>
          <w:rFonts w:hint="eastAsia"/>
        </w:rPr>
        <w:t xml:space="preserve">个原子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单相模型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Ti </w:t>
      </w:r>
      <w:r>
        <w:rPr>
          <w:rFonts w:hint="eastAsia"/>
        </w:rPr>
        <w:t xml:space="preserve">相：377,910</w:t>
      </w:r>
      <w:r>
        <w:t xml:space="preserve"> </w:t>
      </w:r>
      <w:r>
        <w:rPr>
          <w:rFonts w:hint="eastAsia"/>
        </w:rPr>
        <w:t xml:space="preserve">个原子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TiB </w:t>
      </w:r>
      <w:r>
        <w:rPr>
          <w:rFonts w:hint="eastAsia"/>
        </w:rPr>
        <w:t xml:space="preserve">相：630,006</w:t>
      </w:r>
      <w:r>
        <w:t xml:space="preserve"> </w:t>
      </w:r>
      <w:r>
        <w:rPr>
          <w:rFonts w:hint="eastAsia"/>
        </w:rPr>
        <w:t xml:space="preserve">个原子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界面面积</w:t>
      </w:r>
      <w:r>
        <w:rPr>
          <w:rFonts w:hint="eastAsia"/>
        </w:rPr>
        <w:t xml:space="preserve">：44,503.50</w:t>
      </w:r>
      <w:r>
        <w:t xml:space="preserve"> Å² (445.04 nm²)</w:t>
      </w:r>
    </w:p>
    <w:bookmarkEnd w:id="14"/>
    <w:bookmarkStart w:id="15" w:name="势函数"/>
    <w:p>
      <w:pPr>
        <w:pStyle w:val="Heading3"/>
      </w:pPr>
      <w:r>
        <w:t xml:space="preserve">2.2 </w:t>
      </w:r>
      <w:r>
        <w:rPr>
          <w:rFonts w:hint="eastAsia"/>
        </w:rPr>
        <w:t xml:space="preserve">势函数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MEAM（Modified</w:t>
      </w:r>
      <w:r>
        <w:t xml:space="preserve"> Embedded Atom </w:t>
      </w:r>
      <w:r>
        <w:rPr>
          <w:rFonts w:hint="eastAsia"/>
        </w:rPr>
        <w:t xml:space="preserve">Method）势函数描述</w:t>
      </w:r>
      <w:r>
        <w:t xml:space="preserve"> Ti-B </w:t>
      </w:r>
      <w:r>
        <w:rPr>
          <w:rFonts w:hint="eastAsia"/>
        </w:rPr>
        <w:t xml:space="preserve">体系的原子间相互作用，该势函数能够准确描述金属-陶瓷界面的键合特性。</w:t>
      </w:r>
    </w:p>
    <w:bookmarkEnd w:id="15"/>
    <w:bookmarkStart w:id="16" w:name="模拟参数"/>
    <w:p>
      <w:pPr>
        <w:pStyle w:val="Heading3"/>
      </w:pPr>
      <w:r>
        <w:t xml:space="preserve">2.3 </w:t>
      </w:r>
      <w:r>
        <w:rPr>
          <w:rFonts w:hint="eastAsia"/>
        </w:rPr>
        <w:t xml:space="preserve">模拟参数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系综</w:t>
            </w:r>
          </w:p>
        </w:tc>
        <w:tc>
          <w:tcPr/>
          <w:p>
            <w:pPr>
              <w:pStyle w:val="Compact"/>
            </w:pPr>
            <w:r>
              <w:t xml:space="preserve">NPT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时间步长</w:t>
            </w:r>
          </w:p>
        </w:tc>
        <w:tc>
          <w:tcPr/>
          <w:p>
            <w:pPr>
              <w:pStyle w:val="Compact"/>
            </w:pPr>
            <w:r>
              <w:t xml:space="preserve">1 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平衡步数</w:t>
            </w:r>
          </w:p>
        </w:tc>
        <w:tc>
          <w:tcPr/>
          <w:p>
            <w:pPr>
              <w:pStyle w:val="Compact"/>
            </w:pPr>
            <w:r>
              <w:t xml:space="preserve">20,000 </w:t>
            </w:r>
            <w:r>
              <w:rPr>
                <w:rFonts w:hint="eastAsia"/>
              </w:rPr>
              <w:t xml:space="preserve">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温度控制</w:t>
            </w:r>
          </w:p>
        </w:tc>
        <w:tc>
          <w:tcPr/>
          <w:p>
            <w:pPr>
              <w:pStyle w:val="Compact"/>
            </w:pPr>
            <w:r>
              <w:t xml:space="preserve">Nosé-Hoover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压力控制</w:t>
            </w:r>
          </w:p>
        </w:tc>
        <w:tc>
          <w:tcPr/>
          <w:p>
            <w:pPr>
              <w:pStyle w:val="Compact"/>
            </w:pPr>
            <w:r>
              <w:t xml:space="preserve">y, z </w:t>
            </w:r>
            <w:r>
              <w:rPr>
                <w:rFonts w:hint="eastAsia"/>
              </w:rPr>
              <w:t xml:space="preserve">方向</w:t>
            </w:r>
            <w:r>
              <w:t xml:space="preserve"> 0 bar</w:t>
            </w:r>
          </w:p>
        </w:tc>
      </w:tr>
    </w:tbl>
    <w:bookmarkEnd w:id="16"/>
    <w:bookmarkStart w:id="17" w:name="结合能计算"/>
    <w:p>
      <w:pPr>
        <w:pStyle w:val="Heading3"/>
      </w:pPr>
      <w:r>
        <w:t xml:space="preserve">2.4 </w:t>
      </w:r>
      <w:r>
        <w:rPr>
          <w:rFonts w:hint="eastAsia"/>
        </w:rPr>
        <w:t xml:space="preserve">结合能计算</w:t>
      </w:r>
    </w:p>
    <w:p>
      <w:pPr>
        <w:pStyle w:val="FirstParagraph"/>
      </w:pPr>
      <w:r>
        <w:rPr>
          <w:rFonts w:hint="eastAsia"/>
        </w:rPr>
        <w:t xml:space="preserve">界面结合能（Work</w:t>
      </w:r>
      <w:r>
        <w:t xml:space="preserve"> of </w:t>
      </w:r>
      <w:r>
        <w:rPr>
          <w:rFonts w:hint="eastAsia"/>
        </w:rPr>
        <w:t xml:space="preserve">Adhesion）采用以下公式计算：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  <m:r>
                    <m:t>a</m:t>
                  </m:r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t>i</m:t>
                  </m:r>
                  <m:r>
                    <m:t>B</m:t>
                  </m:r>
                </m:sub>
              </m:sSub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f</m:t>
            </m:r>
            <m:r>
              <m:t>a</m:t>
            </m:r>
            <m:r>
              <m:t>c</m:t>
            </m:r>
            <m:r>
              <m:t>e</m:t>
            </m:r>
          </m:sub>
        </m:sSub>
      </m:oMath>
      <w:r>
        <w:rPr>
          <w:rFonts w:hint="eastAsia"/>
        </w:rPr>
        <w:t xml:space="preserve">：界面体系总能量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t>i</m:t>
            </m:r>
          </m:sub>
        </m:sSub>
      </m:oMath>
      <w:r>
        <w:rPr>
          <w:rFonts w:hint="eastAsia"/>
        </w:rPr>
        <w:t xml:space="preserve">：纯</w:t>
      </w:r>
      <w:r>
        <w:t xml:space="preserve"> Ti </w:t>
      </w:r>
      <w:r>
        <w:rPr>
          <w:rFonts w:hint="eastAsia"/>
        </w:rPr>
        <w:t xml:space="preserve">相能量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  <m:r>
              <m:t>i</m:t>
            </m:r>
            <m:r>
              <m:t>B</m:t>
            </m:r>
          </m:sub>
        </m:sSub>
      </m:oMath>
      <w:r>
        <w:rPr>
          <w:rFonts w:hint="eastAsia"/>
        </w:rPr>
        <w:t xml:space="preserve">：纯</w:t>
      </w:r>
      <w:r>
        <w:t xml:space="preserve"> TiB </w:t>
      </w:r>
      <w:r>
        <w:rPr>
          <w:rFonts w:hint="eastAsia"/>
        </w:rPr>
        <w:t xml:space="preserve">相能量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：界面面积</w:t>
      </w:r>
    </w:p>
    <w:bookmarkEnd w:id="17"/>
    <w:bookmarkEnd w:id="18"/>
    <w:bookmarkStart w:id="29" w:name="结果与讨论"/>
    <w:p>
      <w:pPr>
        <w:pStyle w:val="Heading2"/>
      </w:pPr>
      <w:r>
        <w:t xml:space="preserve">3. </w:t>
      </w:r>
      <w:r>
        <w:rPr>
          <w:rFonts w:hint="eastAsia"/>
        </w:rPr>
        <w:t xml:space="preserve">结果与讨论</w:t>
      </w:r>
    </w:p>
    <w:bookmarkStart w:id="19" w:name="能量数据"/>
    <w:p>
      <w:pPr>
        <w:pStyle w:val="Heading3"/>
      </w:pPr>
      <w:r>
        <w:t xml:space="preserve">3.1 </w:t>
      </w:r>
      <w:r>
        <w:rPr>
          <w:rFonts w:hint="eastAsia"/>
        </w:rPr>
        <w:t xml:space="preserve">能量数据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列出了不同温度下各体系的能量数据。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不同温度下的系统能量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t xml:space="preserve">E_interface (eV)</w:t>
            </w:r>
          </w:p>
        </w:tc>
        <w:tc>
          <w:tcPr/>
          <w:p>
            <w:pPr>
              <w:pStyle w:val="Compact"/>
            </w:pPr>
            <w:r>
              <w:t xml:space="preserve">E_Ti (eV)</w:t>
            </w:r>
          </w:p>
        </w:tc>
        <w:tc>
          <w:tcPr/>
          <w:p>
            <w:pPr>
              <w:pStyle w:val="Compact"/>
            </w:pPr>
            <w:r>
              <w:t xml:space="preserve">E_TiB (eV)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100°C (373K)</w:t>
            </w:r>
          </w:p>
        </w:tc>
        <w:tc>
          <w:tcPr/>
          <w:p>
            <w:pPr>
              <w:pStyle w:val="Compact"/>
            </w:pPr>
            <w:r>
              <w:t xml:space="preserve">-5,725,741.57</w:t>
            </w:r>
          </w:p>
        </w:tc>
        <w:tc>
          <w:tcPr/>
          <w:p>
            <w:pPr>
              <w:pStyle w:val="Compact"/>
            </w:pPr>
            <w:r>
              <w:t xml:space="preserve">-1,809,388.85</w:t>
            </w:r>
          </w:p>
        </w:tc>
        <w:tc>
          <w:tcPr/>
          <w:p>
            <w:pPr>
              <w:pStyle w:val="Compact"/>
            </w:pPr>
            <w:r>
              <w:t xml:space="preserve">-3,902,321.36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300°C (573K)</w:t>
            </w:r>
          </w:p>
        </w:tc>
        <w:tc>
          <w:tcPr/>
          <w:p>
            <w:pPr>
              <w:pStyle w:val="Compact"/>
            </w:pPr>
            <w:r>
              <w:t xml:space="preserve">-5,699,403.77</w:t>
            </w:r>
          </w:p>
        </w:tc>
        <w:tc>
          <w:tcPr/>
          <w:p>
            <w:pPr>
              <w:pStyle w:val="Compact"/>
            </w:pPr>
            <w:r>
              <w:t xml:space="preserve">-1,798,942.52</w:t>
            </w:r>
          </w:p>
        </w:tc>
        <w:tc>
          <w:tcPr/>
          <w:p>
            <w:pPr>
              <w:pStyle w:val="Compact"/>
            </w:pPr>
            <w:r>
              <w:t xml:space="preserve">-3,884,206.52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500°C (773K)</w:t>
            </w:r>
          </w:p>
        </w:tc>
        <w:tc>
          <w:tcPr/>
          <w:p>
            <w:pPr>
              <w:pStyle w:val="Compact"/>
            </w:pPr>
            <w:r>
              <w:t xml:space="preserve">-5,669,903.52</w:t>
            </w:r>
          </w:p>
        </w:tc>
        <w:tc>
          <w:tcPr/>
          <w:p>
            <w:pPr>
              <w:pStyle w:val="Compact"/>
            </w:pPr>
            <w:r>
              <w:t xml:space="preserve">-1,787,653.45</w:t>
            </w:r>
          </w:p>
        </w:tc>
        <w:tc>
          <w:tcPr/>
          <w:p>
            <w:pPr>
              <w:pStyle w:val="Compact"/>
            </w:pPr>
            <w:r>
              <w:t xml:space="preserve">-3,865,797.25</w:t>
            </w:r>
          </w:p>
        </w:tc>
      </w:tr>
    </w:tbl>
    <w:bookmarkEnd w:id="19"/>
    <w:bookmarkStart w:id="23" w:name="结合能结果"/>
    <w:p>
      <w:pPr>
        <w:pStyle w:val="Heading3"/>
      </w:pPr>
      <w:r>
        <w:t xml:space="preserve">3.2 </w:t>
      </w:r>
      <w:r>
        <w:rPr>
          <w:rFonts w:hint="eastAsia"/>
        </w:rPr>
        <w:t xml:space="preserve">结合能结果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不同温度下的界面结合能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(°C)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(K)</w:t>
            </w:r>
          </w:p>
        </w:tc>
        <w:tc>
          <w:tcPr/>
          <w:p>
            <w:pPr>
              <w:pStyle w:val="Compact"/>
            </w:pPr>
            <w:r>
              <w:t xml:space="preserve">ΔE (eV)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结合能</w:t>
            </w:r>
            <w:r>
              <w:t xml:space="preserve"> W_ad (J/m²)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-14,031.36</w:t>
            </w:r>
          </w:p>
        </w:tc>
        <w:tc>
          <w:tcPr/>
          <w:p>
            <w:pPr>
              <w:pStyle w:val="Compact"/>
            </w:pPr>
            <w:r>
              <w:t xml:space="preserve">5.05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-16,254.73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773</w:t>
            </w:r>
          </w:p>
        </w:tc>
        <w:tc>
          <w:tcPr/>
          <w:p>
            <w:pPr>
              <w:pStyle w:val="Compact"/>
            </w:pPr>
            <w:r>
              <w:t xml:space="preserve">-16,452.82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展示了结合能随温度的变化趋势。</w:t>
      </w:r>
    </w:p>
    <w:p>
      <w:pPr>
        <w:pStyle w:val="BodyText"/>
      </w:pPr>
      <w:r>
        <w:drawing>
          <wp:inline>
            <wp:extent cx="5334000" cy="3965900"/>
            <wp:effectExtent b="0" l="0" r="0" t="0"/>
            <wp:docPr descr="结合能随温度变化" title="" id="21" name="Picture"/>
            <a:graphic>
              <a:graphicData uri="http://schemas.openxmlformats.org/drawingml/2006/picture">
                <pic:pic>
                  <pic:nvPicPr>
                    <pic:cNvPr descr="figures/fig1_adhesion_vs_tempera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t xml:space="preserve"> </w:t>
      </w:r>
      <w:r>
        <w:t xml:space="preserve">Ti-TiB </w:t>
      </w:r>
      <w:r>
        <w:rPr>
          <w:rFonts w:hint="eastAsia"/>
        </w:rPr>
        <w:t xml:space="preserve">界面结合能随温度的变化。蓝色实线为本研究</w:t>
      </w:r>
      <w:r>
        <w:t xml:space="preserve"> MD </w:t>
      </w:r>
      <w:r>
        <w:rPr>
          <w:rFonts w:hint="eastAsia"/>
        </w:rPr>
        <w:t xml:space="preserve">计算结果，红色阴影区域为文献报道的</w:t>
      </w:r>
      <w:r>
        <w:t xml:space="preserve"> DFT </w:t>
      </w:r>
      <w:r>
        <w:rPr>
          <w:rFonts w:hint="eastAsia"/>
        </w:rPr>
        <w:t xml:space="preserve">计算范围（4.95-6.04</w:t>
      </w:r>
      <w:r>
        <w:t xml:space="preserve"> </w:t>
      </w:r>
      <w:r>
        <w:rPr>
          <w:rFonts w:hint="eastAsia"/>
        </w:rPr>
        <w:t xml:space="preserve">J/m²）。</w:t>
      </w:r>
    </w:p>
    <w:bookmarkEnd w:id="23"/>
    <w:bookmarkStart w:id="24" w:name="温度依赖性分析"/>
    <w:p>
      <w:pPr>
        <w:pStyle w:val="Heading3"/>
      </w:pPr>
      <w:r>
        <w:t xml:space="preserve">3.3 </w:t>
      </w:r>
      <w:r>
        <w:rPr>
          <w:rFonts w:hint="eastAsia"/>
        </w:rPr>
        <w:t xml:space="preserve">温度依赖性分析</w:t>
      </w:r>
    </w:p>
    <w:p>
      <w:pPr>
        <w:pStyle w:val="FirstParagraph"/>
      </w:pPr>
      <w:r>
        <w:rPr>
          <w:rFonts w:hint="eastAsia"/>
        </w:rPr>
        <w:t xml:space="preserve">计算结果显示，Ti-TiB</w:t>
      </w:r>
      <w:r>
        <w:t xml:space="preserve"> </w:t>
      </w:r>
      <w:r>
        <w:rPr>
          <w:rFonts w:hint="eastAsia"/>
        </w:rPr>
        <w:t xml:space="preserve">界面结合能随温度升高而增大：</w:t>
      </w:r>
      <w:r>
        <w:t xml:space="preserve"> </w:t>
      </w:r>
      <w:r>
        <w:t xml:space="preserve">- 100°C → </w:t>
      </w:r>
      <w:r>
        <w:rPr>
          <w:rFonts w:hint="eastAsia"/>
        </w:rPr>
        <w:t xml:space="preserve">500°C：结合能增加约</w:t>
      </w:r>
      <w:r>
        <w:t xml:space="preserve"> 17.4%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温度效应：ΔW_ad</w:t>
      </w:r>
      <w:r>
        <w:t xml:space="preserve"> = 0.87 J/m²</w:t>
      </w:r>
    </w:p>
    <w:p>
      <w:pPr>
        <w:pStyle w:val="BodyText"/>
      </w:pPr>
      <w:r>
        <w:rPr>
          <w:rFonts w:hint="eastAsia"/>
        </w:rPr>
        <w:t xml:space="preserve">这一趋势可归因于：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热运动增强</w:t>
      </w:r>
      <w:r>
        <w:rPr>
          <w:rFonts w:hint="eastAsia"/>
        </w:rPr>
        <w:t xml:space="preserve">：高温下界面原子热运动增强，有利于原子找到更低能量的键合构型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键合特性变化</w:t>
      </w:r>
      <w:r>
        <w:rPr>
          <w:rFonts w:hint="eastAsia"/>
        </w:rPr>
        <w:t xml:space="preserve">：高温促进</w:t>
      </w:r>
      <w:r>
        <w:t xml:space="preserve"> Ti-B </w:t>
      </w:r>
      <w:r>
        <w:rPr>
          <w:rFonts w:hint="eastAsia"/>
        </w:rPr>
        <w:t xml:space="preserve">键合的电子结构优化，形成更稳定的化学键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扩散效应</w:t>
      </w:r>
      <w:r>
        <w:rPr>
          <w:rFonts w:hint="eastAsia"/>
        </w:rPr>
        <w:t xml:space="preserve">：较高温度促进原子扩散，改善界面结合</w:t>
      </w:r>
    </w:p>
    <w:bookmarkEnd w:id="24"/>
    <w:bookmarkStart w:id="28" w:name="结果验证"/>
    <w:p>
      <w:pPr>
        <w:pStyle w:val="Heading3"/>
      </w:pPr>
      <w:r>
        <w:t xml:space="preserve">3.4 </w:t>
      </w:r>
      <w:r>
        <w:rPr>
          <w:rFonts w:hint="eastAsia"/>
        </w:rPr>
        <w:t xml:space="preserve">结果验证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对比了本研究结果与文献报道的</w:t>
      </w:r>
      <w:r>
        <w:t xml:space="preserve"> DFT </w:t>
      </w:r>
      <w:r>
        <w:rPr>
          <w:rFonts w:hint="eastAsia"/>
        </w:rPr>
        <w:t xml:space="preserve">计算结果。</w:t>
      </w:r>
    </w:p>
    <w:p>
      <w:pPr>
        <w:pStyle w:val="BodyText"/>
      </w:pPr>
      <w:r>
        <w:drawing>
          <wp:inline>
            <wp:extent cx="5334000" cy="3533196"/>
            <wp:effectExtent b="0" l="0" r="0" t="0"/>
            <wp:docPr descr="结果对比" title="" id="26" name="Picture"/>
            <a:graphic>
              <a:graphicData uri="http://schemas.openxmlformats.org/drawingml/2006/picture">
                <pic:pic>
                  <pic:nvPicPr>
                    <pic:cNvPr descr="figures/fig5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本研究</w:t>
      </w:r>
      <w:r>
        <w:t xml:space="preserve"> MD </w:t>
      </w:r>
      <w:r>
        <w:rPr>
          <w:rFonts w:hint="eastAsia"/>
        </w:rPr>
        <w:t xml:space="preserve">计算结果与文献</w:t>
      </w:r>
      <w:r>
        <w:t xml:space="preserve"> DFT </w:t>
      </w:r>
      <w:r>
        <w:rPr>
          <w:rFonts w:hint="eastAsia"/>
        </w:rPr>
        <w:t xml:space="preserve">结果的对比</w:t>
      </w:r>
    </w:p>
    <w:p>
      <w:pPr>
        <w:pStyle w:val="BodyText"/>
      </w:pPr>
      <w:r>
        <w:rPr>
          <w:rFonts w:hint="eastAsia"/>
        </w:rPr>
        <w:t xml:space="preserve">两组结果吻合良好，验证了本研究计算方法的有效性。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与文献结果对比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结合能</w:t>
            </w:r>
            <w:r>
              <w:t xml:space="preserve"> (J/m²)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本研究</w:t>
            </w:r>
          </w:p>
        </w:tc>
        <w:tc>
          <w:tcPr/>
          <w:p>
            <w:pPr>
              <w:pStyle w:val="Compact"/>
            </w:pPr>
            <w:r>
              <w:t xml:space="preserve">MD (MEAM)</w:t>
            </w:r>
          </w:p>
        </w:tc>
        <w:tc>
          <w:tcPr/>
          <w:p>
            <w:pPr>
              <w:pStyle w:val="Compact"/>
            </w:pPr>
            <w:r>
              <w:t xml:space="preserve">5.05-5.92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  <w:r>
              <w:t xml:space="preserve"> [1]</w:t>
            </w:r>
          </w:p>
        </w:tc>
        <w:tc>
          <w:tcPr/>
          <w:p>
            <w:pPr>
              <w:pStyle w:val="Compact"/>
            </w:pPr>
            <w:r>
              <w:t xml:space="preserve">DFT</w:t>
            </w:r>
          </w:p>
        </w:tc>
        <w:tc>
          <w:tcPr/>
          <w:p>
            <w:pPr>
              <w:pStyle w:val="Compact"/>
            </w:pPr>
            <w:r>
              <w:t xml:space="preserve">4.95-6.04</w:t>
            </w:r>
          </w:p>
        </w:tc>
      </w:tr>
    </w:tbl>
    <w:bookmarkEnd w:id="28"/>
    <w:bookmarkEnd w:id="29"/>
    <w:bookmarkStart w:id="30" w:name="结论"/>
    <w:p>
      <w:pPr>
        <w:pStyle w:val="Heading2"/>
      </w:pPr>
      <w:r>
        <w:t xml:space="preserve">4.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采用分子动力学方法成功计算了</w:t>
      </w:r>
      <w:r>
        <w:t xml:space="preserve"> Ti-TiB </w:t>
      </w:r>
      <w:r>
        <w:rPr>
          <w:rFonts w:hint="eastAsia"/>
        </w:rPr>
        <w:t xml:space="preserve">界面在不同温度下的结合能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计算得到的结合能为</w:t>
      </w:r>
      <w:r>
        <w:t xml:space="preserve"> 5.05-5.92 </w:t>
      </w:r>
      <w:r>
        <w:rPr>
          <w:rFonts w:hint="eastAsia"/>
        </w:rPr>
        <w:t xml:space="preserve">J/m²，与文献报道的</w:t>
      </w:r>
      <w:r>
        <w:t xml:space="preserve"> DFT </w:t>
      </w:r>
      <w:r>
        <w:rPr>
          <w:rFonts w:hint="eastAsia"/>
        </w:rPr>
        <w:t xml:space="preserve">计算结果一致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界面结合能随温度升高呈增大趋势，表明高温有利于界面结合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研究结果为</w:t>
      </w:r>
      <w:r>
        <w:t xml:space="preserve"> Ti-TiB </w:t>
      </w:r>
      <w:r>
        <w:rPr>
          <w:rFonts w:hint="eastAsia"/>
        </w:rPr>
        <w:t xml:space="preserve">复合材料的界面设计和性能优化提供了理论依据</w:t>
      </w:r>
    </w:p>
    <w:bookmarkEnd w:id="30"/>
    <w:bookmarkStart w:id="31" w:name="局限性"/>
    <w:p>
      <w:pPr>
        <w:pStyle w:val="Heading2"/>
      </w:pPr>
      <w:r>
        <w:t xml:space="preserve">5.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势函数适用性</w:t>
      </w:r>
      <w:r>
        <w:rPr>
          <w:rFonts w:hint="eastAsia"/>
        </w:rPr>
        <w:t xml:space="preserve">：采用的</w:t>
      </w:r>
      <w:r>
        <w:t xml:space="preserve"> MEAM </w:t>
      </w:r>
      <w:r>
        <w:rPr>
          <w:rFonts w:hint="eastAsia"/>
        </w:rPr>
        <w:t xml:space="preserve">势函数主要适用于金属-陶瓷界面，对纯金属体系可能不完全准确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温度范围限制</w:t>
      </w:r>
      <w:r>
        <w:rPr>
          <w:rFonts w:hint="eastAsia"/>
        </w:rPr>
        <w:t xml:space="preserve">：本研究仅考虑</w:t>
      </w:r>
      <w:r>
        <w:t xml:space="preserve"> 100-500°C </w:t>
      </w:r>
      <w:r>
        <w:rPr>
          <w:rFonts w:hint="eastAsia"/>
        </w:rPr>
        <w:t xml:space="preserve">温度范围，更高温度下的行为有待进一步研究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系统尺寸影响</w:t>
      </w:r>
      <w:r>
        <w:rPr>
          <w:rFonts w:hint="eastAsia"/>
        </w:rPr>
        <w:t xml:space="preserve">：有限的系统尺寸可能影响界面性质的准确性</w:t>
      </w:r>
    </w:p>
    <w:p>
      <w:r>
        <w:pict>
          <v:rect style="width:0;height:1.5pt" o:hralign="center" o:hrstd="t" o:hr="t"/>
        </w:pict>
      </w:r>
    </w:p>
    <w:bookmarkEnd w:id="31"/>
    <w:bookmarkStart w:id="32" w:name="附录计算环境"/>
    <w:p>
      <w:pPr>
        <w:pStyle w:val="Heading2"/>
      </w:pPr>
      <w:r>
        <w:rPr>
          <w:rFonts w:hint="eastAsia"/>
        </w:rPr>
        <w:t xml:space="preserve">附录：计算环境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软件</w:t>
      </w:r>
      <w:r>
        <w:rPr>
          <w:rFonts w:hint="eastAsia"/>
        </w:rPr>
        <w:t xml:space="preserve">：LAMMPS</w:t>
      </w:r>
      <w:r>
        <w:t xml:space="preserve"> (29 Aug 2024)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势函数</w:t>
      </w:r>
      <w:r>
        <w:rPr>
          <w:rFonts w:hint="eastAsia"/>
        </w:rPr>
        <w:t xml:space="preserve">：MEAM</w:t>
      </w:r>
      <w:r>
        <w:t xml:space="preserve"> (Ti-B </w:t>
      </w:r>
      <w:r>
        <w:rPr>
          <w:rFonts w:hint="eastAsia"/>
        </w:rPr>
        <w:t xml:space="preserve">体系)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计算资源</w:t>
      </w:r>
      <w:r>
        <w:rPr>
          <w:rFonts w:hint="eastAsia"/>
        </w:rPr>
        <w:t xml:space="preserve">：50</w:t>
      </w:r>
      <w:r>
        <w:t xml:space="preserve"> </w:t>
      </w:r>
      <w:r>
        <w:rPr>
          <w:rFonts w:hint="eastAsia"/>
        </w:rPr>
        <w:t xml:space="preserve">核并行计算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报告生成时间：2026年2月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1" Target="media/rId1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2026-02-03T04:09:08Z</dcterms:created>
  <dcterms:modified xsi:type="dcterms:W3CDTF">2026-02-03T04:09:08Z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