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生产者补贴、种植惯性与农户大豆扩种——来自黑龙江农户面板的微观证据与主体建模仿真</w:t>
      </w:r>
    </w:p>
    <w:p>
      <w:pPr>
        <w:pStyle w:val="FirstParagraph"/>
      </w:pPr>
      <w:r>
        <w:rPr>
          <w:rFonts w:hint="eastAsia"/>
          <w:b/>
          <w:bCs/>
        </w:rPr>
        <w:t xml:space="preserve">摘要：</w:t>
      </w:r>
      <w:r>
        <w:rPr>
          <w:rFonts w:hint="eastAsia"/>
        </w:rPr>
        <w:t xml:space="preserve">扩种大豆是保障我国粮油安全的重要政策目标，其成效最终取决于农户的种植决策。本文利用全国农村固定观察点黑龙江样本2021—2024年农户面板数据，构建”微观计量校准+主体建模（ABM）仿真”的两层分析框架：首先以动态离散选择模型估计大豆种植参与和种植份额对玉米—大豆预期净收益差的行为响应，进而将估计参数注入农户主体模型，对2025—2030年差异化补贴政策组合进行前瞻仿真。研究发现：（1）大豆与玉米的预期市场净收益差平均约为每亩-470元，生产者补贴差（2024年约330元/亩）显著收窄但未完全弥合该缺口；（2）补贴差每提高100元/亩，农户大豆种植概率平均提高约2.8个百分点，且响应强度随经营规模单调递增，大规模农户约为小规模农户的8倍；（3）种植决策存在很强的状态依赖，上年种豆使当年续种概率提高约27个百分点，政策的跨期”棘轮”效应明显；（4）情景仿真显示，维持现行补贴强度下样本区大豆面积份额到2030年可升至19%左右；将补贴增量瞄准新增轮作面积的财政效率最高，每提升1个百分点份额的财政成本比普惠性提标低约27%。据此，本文提出”稳定存量补贴预期、增量瞄准轮作扩面、区域差异化投放”的政策组合。</w:t>
      </w:r>
    </w:p>
    <w:p>
      <w:pPr>
        <w:pStyle w:val="BodyText"/>
      </w:pPr>
      <w:r>
        <w:rPr>
          <w:rFonts w:hint="eastAsia"/>
          <w:b/>
          <w:bCs/>
        </w:rPr>
        <w:t xml:space="preserve">关键词：</w:t>
      </w:r>
      <w:r>
        <w:rPr>
          <w:rFonts w:hint="eastAsia"/>
        </w:rPr>
        <w:t xml:space="preserve">大豆扩种；生产者补贴；种植结构；动态离散选择；主体建模</w:t>
      </w:r>
    </w:p>
    <w:bookmarkStart w:id="9" w:name="一引言"/>
    <w:p>
      <w:pPr>
        <w:pStyle w:val="Heading1"/>
      </w:pPr>
      <w:r>
        <w:rPr>
          <w:rFonts w:hint="eastAsia"/>
        </w:rPr>
        <w:t xml:space="preserve">一、引言</w:t>
      </w:r>
    </w:p>
    <w:p>
      <w:pPr>
        <w:pStyle w:val="FirstParagraph"/>
      </w:pPr>
      <w:r>
        <w:rPr>
          <w:rFonts w:hint="eastAsia"/>
        </w:rPr>
        <w:t xml:space="preserve">大豆是我国对外依存度最高的大宗农产品，进口依存度长期保持在80%以上。2019年农业农村部启动实施”大豆振兴计划”，2022年、2023年中央一号文件连续对”扩大大豆油料生产”作出部署，黑龙江作为全国最大的大豆主产省承担了最主要的扩种任务。政策工具箱的核心是玉米、大豆差异化生产者补贴：大豆生产者补贴标准持续显著高于玉米，2023年以来原则上保持在每亩350元以上，比玉米高出300元/亩以上。然而，补贴驱动的扩种能走多远、财政代价多大、补贴结构如何优化，均取决于一个微观问题：农户的种植选择对补贴差究竟有多敏感？</w:t>
      </w:r>
    </w:p>
    <w:p>
      <w:pPr>
        <w:pStyle w:val="BodyText"/>
      </w:pPr>
      <w:r>
        <w:rPr>
          <w:rFonts w:hint="eastAsia"/>
        </w:rPr>
        <w:t xml:space="preserve">已有文献对农业供给反应的研究传统深厚。自Nerlove（1956）以来，作物面积对预期价格的响应一直是农业经济学的核心议题；Chavas和Holt（1990）将风险因素纳入玉米—大豆面积配置模型，奠定了两作物竞争框架。国内研究多利用省级或县级面积数据估计大豆供给弹性与临储、目标价格改革的政策效应，但宏观数据难以识别农户层面的决策机制——参与（种不种）与强度（种多少）两个边际、种植惯性（状态依赖）、邻里示范等微观机制在加总数据中相互混淆。而这些机制恰恰决定了补贴政策的动态效果：若存在强状态依赖，一次性补贴冲击会通过”进入—锁定”机制产生持续效应；若响应集中于大户，补贴的瞄准设计就有优化空间。</w:t>
      </w:r>
    </w:p>
    <w:p>
      <w:pPr>
        <w:pStyle w:val="BodyText"/>
      </w:pPr>
      <w:r>
        <w:rPr>
          <w:rFonts w:hint="eastAsia"/>
        </w:rPr>
        <w:t xml:space="preserve">在方法上，评估尚未发生的政策组合（如提高补贴标准、改变补贴结构）需要超出样本区间的反事实模拟。主体建模（agent-based</w:t>
      </w:r>
      <w:r>
        <w:t xml:space="preserve"> </w:t>
      </w:r>
      <w:r>
        <w:rPr>
          <w:rFonts w:hint="eastAsia"/>
        </w:rPr>
        <w:t xml:space="preserve">model，ABM）为此提供了自然工具：以真实农户为主体、以计量估计的行为方程为决策规则，可以在保持微观异质性和动态反馈（惯性、同伴效应、轮作农学约束）的同时进行政策前瞻（Berger,</w:t>
      </w:r>
      <w:r>
        <w:t xml:space="preserve"> </w:t>
      </w:r>
      <w:r>
        <w:rPr>
          <w:rFonts w:hint="eastAsia"/>
        </w:rPr>
        <w:t xml:space="preserve">2001；Happe</w:t>
      </w:r>
      <w:r>
        <w:t xml:space="preserve"> et al., </w:t>
      </w:r>
      <w:r>
        <w:rPr>
          <w:rFonts w:hint="eastAsia"/>
        </w:rPr>
        <w:t xml:space="preserve">2006）。但国内应用中行为参数多为外部设定，缺乏与微观计量的严格对接，</w:t>
      </w:r>
      <w:r>
        <w:rPr>
          <w:rFonts w:hint="eastAsia"/>
        </w:rPr>
        <w:t xml:space="preserve">“计量校准的ABM”</w:t>
      </w:r>
      <w:r>
        <w:rPr>
          <w:rFonts w:hint="eastAsia"/>
        </w:rPr>
        <w:t xml:space="preserve">仍属少见。</w:t>
      </w:r>
    </w:p>
    <w:p>
      <w:pPr>
        <w:pStyle w:val="BodyText"/>
      </w:pPr>
      <w:r>
        <w:rPr>
          <w:rFonts w:hint="eastAsia"/>
        </w:rPr>
        <w:t xml:space="preserve">本文利用全国农村固定观察点黑龙江样本2021—2024年的农户面板数据，对上述问题给出一个微观的、可外推的回答。样本覆盖三个代表性县区：松嫩平原南部玉米优势区的哈尔滨市双城区、三江平原农牧交错区的佳木斯市桦南县、松嫩平原西北部旱作区的齐齐哈尔市甘南县，恰好构成大豆适宜性由低到高的梯度。本文的分析分两层展开。第一层，从原始问卷逐户构建”玉米—大豆预期净收益差”（含市场收益差与补贴差两个可分解部分），以动态混合logit模型估计参与方程、以分数logit模型估计份额方程，处理状态依赖、村内同伴效应与未观测异质性。第二层，将参与方程与份额方程的系数及其协方差矩阵注入ABM，以2024年为基年校准，经留出样本回测检验后，对2025—2030年六种政策情景进行蒙特卡洛仿真，并反解实现给定扩种目标（大豆面积份额10%、15%、20%）所需的补贴标准与财政成本。</w:t>
      </w:r>
    </w:p>
    <w:p>
      <w:pPr>
        <w:pStyle w:val="BodyText"/>
      </w:pPr>
      <w:r>
        <w:rPr>
          <w:rFonts w:hint="eastAsia"/>
        </w:rPr>
        <w:t xml:space="preserve">本文可能的边际贡献有三。其一，利用全国农村固定观察点微观面板，在农户层面同时识别大豆种植决策的价格（收益差）响应、状态依赖与规模异质性，为”补贴究竟有没有用、对谁有用”提供直接证据；其二，方法上将微观计量与ABM严格对接——行为参数、参数不确定性（系数协方差）、未观测户异质性与宏观年度冲击均进入仿真，政策结论附带可信区间，避免了行为参数外生设定的任意性；其三，政策上给出补贴—份额响应曲线、目标反解与财政成本前沿，并比较普惠性提标与瞄准增量的轮作补贴的财政效率，为差异化补贴的结构优化提供定量依据。</w:t>
      </w:r>
    </w:p>
    <w:p>
      <w:pPr>
        <w:pStyle w:val="BodyText"/>
      </w:pPr>
      <w:r>
        <w:rPr>
          <w:rFonts w:hint="eastAsia"/>
        </w:rPr>
        <w:t xml:space="preserve">本文余下部分安排如下：第二部分梳理政策背景并给出分析框架；第三部分介绍数据与变量构建；第四部分报告计量结果；第五部分给出ABM的结构、校准与验证；第六部分报告政策情景仿真结果；最后是结论与政策含义。</w:t>
      </w:r>
    </w:p>
    <w:bookmarkEnd w:id="9"/>
    <w:bookmarkStart w:id="12" w:name="二政策背景与分析框架"/>
    <w:p>
      <w:pPr>
        <w:pStyle w:val="Heading1"/>
      </w:pPr>
      <w:r>
        <w:rPr>
          <w:rFonts w:hint="eastAsia"/>
        </w:rPr>
        <w:t xml:space="preserve">二、政策背景与分析框架</w:t>
      </w:r>
    </w:p>
    <w:bookmarkStart w:id="10" w:name="一玉米大豆差异化生产者补贴"/>
    <w:p>
      <w:pPr>
        <w:pStyle w:val="Heading2"/>
      </w:pPr>
      <w:r>
        <w:rPr>
          <w:rFonts w:hint="eastAsia"/>
        </w:rPr>
        <w:t xml:space="preserve">（一）玉米、大豆差异化生产者补贴</w:t>
      </w:r>
    </w:p>
    <w:p>
      <w:pPr>
        <w:pStyle w:val="FirstParagraph"/>
      </w:pPr>
      <w:r>
        <w:rPr>
          <w:rFonts w:hint="eastAsia"/>
        </w:rPr>
        <w:t xml:space="preserve">2016年玉米临时收储制度改革后，东北地区建立玉米、大豆”市场化收购+生产者补贴”机制。黑龙江省按照”省级统一测算、县域组织落实”的方式确定分作物亩均补贴标准。2019年”大豆振兴计划”实施后，大豆与玉米的补贴差持续拉大：2021年大豆生产者补贴248元/亩、玉米68元/亩；2022年分别为248元/亩和28元/亩；2023年起大豆补贴原则上保持在350元/亩以上，玉米降至约15—20元/亩，补贴差扩大到330元/亩左右。此外，黑龙江自2022年起对新增大豆轮作面积实施每亩150元的耕地轮作补贴试点。本文利用样本农户申报的分作物补贴金额对上述标准进行了交叉验证：以”纯玉米户申报补贴金额/玉米播种面积”反推的玉米亩均补贴率，在三县2021—2024年分别为43—63元、28—40元、14—19元和17—20元，与官方标准基本吻合，说明补贴发放到户情况良好。</w:t>
      </w:r>
    </w:p>
    <w:bookmarkEnd w:id="10"/>
    <w:bookmarkStart w:id="11" w:name="二农户种植决策的分析框架"/>
    <w:p>
      <w:pPr>
        <w:pStyle w:val="Heading2"/>
      </w:pPr>
      <w:r>
        <w:rPr>
          <w:rFonts w:hint="eastAsia"/>
        </w:rPr>
        <w:t xml:space="preserve">（二）农户种植决策的分析框架</w:t>
      </w:r>
    </w:p>
    <w:p>
      <w:pPr>
        <w:pStyle w:val="FirstParagraph"/>
      </w:pPr>
      <w:r>
        <w:rPr>
          <w:rFonts w:hint="eastAsia"/>
        </w:rPr>
        <w:t xml:space="preserve">考虑农户</w:t>
      </w:r>
      <m:oMath>
        <m:r>
          <m:t>i</m:t>
        </m:r>
      </m:oMath>
      <w:r>
        <w:rPr>
          <w:rFonts w:hint="eastAsia"/>
        </w:rPr>
        <w:t xml:space="preserve">在年份</w:t>
      </w:r>
      <m:oMath>
        <m:r>
          <m:t>t</m:t>
        </m:r>
      </m:oMath>
      <w:r>
        <w:rPr>
          <w:rFonts w:hint="eastAsia"/>
        </w:rPr>
        <w:t xml:space="preserve">于玉米（</w:t>
      </w:r>
      <m:oMath>
        <m:r>
          <m:t>m</m:t>
        </m:r>
      </m:oMath>
      <w:r>
        <w:rPr>
          <w:rFonts w:hint="eastAsia"/>
        </w:rPr>
        <w:t xml:space="preserve">）与大豆（</w:t>
      </w:r>
      <m:oMath>
        <m:r>
          <m:t>s</m:t>
        </m:r>
      </m:oMath>
      <w:r>
        <w:rPr>
          <w:rFonts w:hint="eastAsia"/>
        </w:rPr>
        <w:t xml:space="preserve">）之间配置既定耕地</w:t>
      </w:r>
      <m:oMath>
        <m:sSub>
          <m:e>
            <m:r>
              <m:t>B</m:t>
            </m:r>
          </m:e>
          <m:sub>
            <m:r>
              <m:t>i</m:t>
            </m:r>
            <m:r>
              <m:t>t</m:t>
            </m:r>
          </m:sub>
        </m:sSub>
      </m:oMath>
      <w:r>
        <w:rPr>
          <w:rFonts w:hint="eastAsia"/>
        </w:rPr>
        <w:t xml:space="preserve">。设两作物的亩均预期净收益分别为</w:t>
      </w:r>
      <m:oMath>
        <m:sSub>
          <m:e>
            <m:r>
              <m:t>π</m:t>
            </m:r>
          </m:e>
          <m:sub>
            <m:r>
              <m:t>m</m:t>
            </m:r>
            <m:r>
              <m:rPr>
                <m:sty m:val="p"/>
              </m:rPr>
              <m:t>,</m:t>
            </m:r>
            <m:r>
              <m:t>i</m:t>
            </m:r>
            <m:r>
              <m:t>t</m:t>
            </m:r>
          </m:sub>
        </m:sSub>
      </m:oMath>
      <w:r>
        <w:rPr>
          <w:rFonts w:hint="eastAsia"/>
        </w:rPr>
        <w:t xml:space="preserve">与</w:t>
      </w:r>
      <m:oMath>
        <m:sSub>
          <m:e>
            <m:r>
              <m:t>π</m:t>
            </m:r>
          </m:e>
          <m:sub>
            <m:r>
              <m:t>s</m:t>
            </m:r>
            <m:r>
              <m:rPr>
                <m:sty m:val="p"/>
              </m:rPr>
              <m:t>,</m:t>
            </m:r>
            <m:r>
              <m:t>i</m:t>
            </m:r>
            <m:r>
              <m:t>t</m:t>
            </m:r>
          </m:sub>
        </m:sSub>
      </m:oMath>
      <w:r>
        <w:rPr>
          <w:rFonts w:hint="eastAsia"/>
        </w:rPr>
        <w:t xml:space="preserve">，其差额</w:t>
      </w:r>
    </w:p>
    <w:p>
      <w:pPr>
        <w:pStyle w:val="BodyText"/>
      </w:pPr>
      <m:oMathPara>
        <m:oMathParaPr>
          <m:jc m:val="center"/>
        </m:oMathParaPr>
        <m:oMath>
          <m:r>
            <m:rPr>
              <m:sty m:val="p"/>
            </m:rPr>
            <m:t>Δ</m:t>
          </m:r>
          <m:sSub>
            <m:e>
              <m:r>
                <m:t>π</m:t>
              </m:r>
            </m:e>
            <m:sub>
              <m:r>
                <m:t>i</m:t>
              </m:r>
              <m:r>
                <m:t>t</m:t>
              </m:r>
            </m:sub>
          </m:sSub>
          <m:r>
            <m:rPr>
              <m:sty m:val="p"/>
            </m:rPr>
            <m:t>=</m:t>
          </m:r>
          <m:d>
            <m:dPr>
              <m:begChr m:val="("/>
              <m:sepChr m:val=""/>
              <m:endChr m:val=")"/>
              <m:grow/>
            </m:dPr>
            <m:e>
              <m:sSub>
                <m:e>
                  <m:acc>
                    <m:accPr>
                      <m:chr m:val="̂"/>
                    </m:accPr>
                    <m:e>
                      <m:r>
                        <m:t>p</m:t>
                      </m:r>
                    </m:e>
                  </m:acc>
                </m:e>
                <m:sub>
                  <m:r>
                    <m:t>s</m:t>
                  </m:r>
                  <m:r>
                    <m:rPr>
                      <m:sty m:val="p"/>
                    </m:rPr>
                    <m:t>,</m:t>
                  </m:r>
                  <m:r>
                    <m:t>c</m:t>
                  </m:r>
                  <m:r>
                    <m:t>t</m:t>
                  </m:r>
                  <m:r>
                    <m:rPr>
                      <m:sty m:val="p"/>
                    </m:rPr>
                    <m:t>−</m:t>
                  </m:r>
                  <m:r>
                    <m:t>1</m:t>
                  </m:r>
                </m:sub>
              </m:sSub>
              <m:sSub>
                <m:e>
                  <m:acc>
                    <m:accPr>
                      <m:chr m:val="̂"/>
                    </m:accPr>
                    <m:e>
                      <m:r>
                        <m:t>y</m:t>
                      </m:r>
                    </m:e>
                  </m:acc>
                </m:e>
                <m:sub>
                  <m:r>
                    <m:t>s</m:t>
                  </m:r>
                  <m:r>
                    <m:rPr>
                      <m:sty m:val="p"/>
                    </m:rPr>
                    <m:t>,</m:t>
                  </m:r>
                  <m:r>
                    <m:t>i</m:t>
                  </m:r>
                </m:sub>
              </m:sSub>
              <m:r>
                <m:rPr>
                  <m:sty m:val="p"/>
                </m:rPr>
                <m:t>−</m:t>
              </m:r>
              <m:sSub>
                <m:e>
                  <m:acc>
                    <m:accPr>
                      <m:chr m:val="̂"/>
                    </m:accPr>
                    <m:e>
                      <m:r>
                        <m:t>c</m:t>
                      </m:r>
                    </m:e>
                  </m:acc>
                </m:e>
                <m:sub>
                  <m:r>
                    <m:t>s</m:t>
                  </m:r>
                  <m:r>
                    <m:rPr>
                      <m:sty m:val="p"/>
                    </m:rPr>
                    <m:t>,</m:t>
                  </m:r>
                  <m:r>
                    <m:t>c</m:t>
                  </m:r>
                  <m:r>
                    <m:t>t</m:t>
                  </m:r>
                  <m:r>
                    <m:rPr>
                      <m:sty m:val="p"/>
                    </m:rPr>
                    <m:t>−</m:t>
                  </m:r>
                  <m:r>
                    <m:t>1</m:t>
                  </m:r>
                </m:sub>
              </m:sSub>
              <m:r>
                <m:rPr>
                  <m:sty m:val="p"/>
                </m:rPr>
                <m:t>+</m:t>
              </m:r>
              <m:r>
                <m:t>s</m:t>
              </m:r>
              <m:r>
                <m:t>u</m:t>
              </m:r>
              <m:sSub>
                <m:e>
                  <m:r>
                    <m:t>b</m:t>
                  </m:r>
                </m:e>
                <m:sub>
                  <m:r>
                    <m:t>s</m:t>
                  </m:r>
                  <m:r>
                    <m:rPr>
                      <m:sty m:val="p"/>
                    </m:rPr>
                    <m:t>,</m:t>
                  </m:r>
                  <m:r>
                    <m:t>t</m:t>
                  </m:r>
                </m:sub>
              </m:sSub>
            </m:e>
          </m:d>
          <m:r>
            <m:rPr>
              <m:sty m:val="p"/>
            </m:rPr>
            <m:t>−</m:t>
          </m:r>
          <m:d>
            <m:dPr>
              <m:begChr m:val="("/>
              <m:sepChr m:val=""/>
              <m:endChr m:val=")"/>
              <m:grow/>
            </m:dPr>
            <m:e>
              <m:sSub>
                <m:e>
                  <m:acc>
                    <m:accPr>
                      <m:chr m:val="̂"/>
                    </m:accPr>
                    <m:e>
                      <m:r>
                        <m:t>p</m:t>
                      </m:r>
                    </m:e>
                  </m:acc>
                </m:e>
                <m:sub>
                  <m:r>
                    <m:t>m</m:t>
                  </m:r>
                  <m:r>
                    <m:rPr>
                      <m:sty m:val="p"/>
                    </m:rPr>
                    <m:t>,</m:t>
                  </m:r>
                  <m:r>
                    <m:t>c</m:t>
                  </m:r>
                  <m:r>
                    <m:t>t</m:t>
                  </m:r>
                  <m:r>
                    <m:rPr>
                      <m:sty m:val="p"/>
                    </m:rPr>
                    <m:t>−</m:t>
                  </m:r>
                  <m:r>
                    <m:t>1</m:t>
                  </m:r>
                </m:sub>
              </m:sSub>
              <m:sSub>
                <m:e>
                  <m:acc>
                    <m:accPr>
                      <m:chr m:val="̂"/>
                    </m:accPr>
                    <m:e>
                      <m:r>
                        <m:t>y</m:t>
                      </m:r>
                    </m:e>
                  </m:acc>
                </m:e>
                <m:sub>
                  <m:r>
                    <m:t>m</m:t>
                  </m:r>
                  <m:r>
                    <m:rPr>
                      <m:sty m:val="p"/>
                    </m:rPr>
                    <m:t>,</m:t>
                  </m:r>
                  <m:r>
                    <m:t>i</m:t>
                  </m:r>
                </m:sub>
              </m:sSub>
              <m:r>
                <m:rPr>
                  <m:sty m:val="p"/>
                </m:rPr>
                <m:t>−</m:t>
              </m:r>
              <m:sSub>
                <m:e>
                  <m:acc>
                    <m:accPr>
                      <m:chr m:val="̂"/>
                    </m:accPr>
                    <m:e>
                      <m:r>
                        <m:t>c</m:t>
                      </m:r>
                    </m:e>
                  </m:acc>
                </m:e>
                <m:sub>
                  <m:r>
                    <m:t>m</m:t>
                  </m:r>
                  <m:r>
                    <m:rPr>
                      <m:sty m:val="p"/>
                    </m:rPr>
                    <m:t>,</m:t>
                  </m:r>
                  <m:r>
                    <m:t>c</m:t>
                  </m:r>
                  <m:r>
                    <m:t>t</m:t>
                  </m:r>
                  <m:r>
                    <m:rPr>
                      <m:sty m:val="p"/>
                    </m:rPr>
                    <m:t>−</m:t>
                  </m:r>
                  <m:r>
                    <m:t>1</m:t>
                  </m:r>
                </m:sub>
              </m:sSub>
              <m:r>
                <m:rPr>
                  <m:sty m:val="p"/>
                </m:rPr>
                <m:t>+</m:t>
              </m:r>
              <m:r>
                <m:t>s</m:t>
              </m:r>
              <m:r>
                <m:t>u</m:t>
              </m:r>
              <m:sSub>
                <m:e>
                  <m:r>
                    <m:t>b</m:t>
                  </m:r>
                </m:e>
                <m:sub>
                  <m:r>
                    <m:t>m</m:t>
                  </m:r>
                  <m:r>
                    <m:rPr>
                      <m:sty m:val="p"/>
                    </m:rPr>
                    <m:t>,</m:t>
                  </m:r>
                  <m:r>
                    <m:t>t</m:t>
                  </m:r>
                </m:sub>
              </m:sSub>
            </m:e>
          </m:d>
          <m:r>
            <m:t>  </m:t>
          </m:r>
          <m:r>
            <m:rPr>
              <m:sty m:val="p"/>
            </m:rPr>
            <m:t>(</m:t>
          </m:r>
          <m:r>
            <m:t>1</m:t>
          </m:r>
          <m:r>
            <m:rPr>
              <m:sty m:val="p"/>
            </m:rPr>
            <m:t>)</m:t>
          </m:r>
        </m:oMath>
      </m:oMathPara>
    </w:p>
    <w:p>
      <w:pPr>
        <w:pStyle w:val="FirstParagraph"/>
      </w:pPr>
      <w:r>
        <w:rPr>
          <w:rFonts w:hint="eastAsia"/>
        </w:rPr>
        <w:t xml:space="preserve">是种植选择的核心经济信号。其中价格与亩均现金成本按县域</w:t>
      </w:r>
      <m:oMath>
        <m:r>
          <m:t>c</m:t>
        </m:r>
      </m:oMath>
      <w:r>
        <w:rPr>
          <w:rFonts w:hint="eastAsia"/>
        </w:rPr>
        <w:t xml:space="preserve">上一年实现值形成朴素预期（播种决策发生在春季，当年价格尚不可知，而补贴标准在播种前已经公布，故取当年值）；</w:t>
      </w:r>
      <m:oMath>
        <m:sSub>
          <m:e>
            <m:acc>
              <m:accPr>
                <m:chr m:val="̂"/>
              </m:accPr>
              <m:e>
                <m:r>
                  <m:t>y</m:t>
                </m:r>
              </m:e>
            </m:acc>
          </m:e>
          <m:sub>
            <m:r>
              <m:t>k</m:t>
            </m:r>
            <m:r>
              <m:rPr>
                <m:sty m:val="p"/>
              </m:rPr>
              <m:t>,</m:t>
            </m:r>
            <m:r>
              <m:t>i</m:t>
            </m:r>
          </m:sub>
        </m:sSub>
      </m:oMath>
      <w:r>
        <w:rPr>
          <w:rFonts w:hint="eastAsia"/>
        </w:rPr>
        <w:t xml:space="preserve">为农户</w:t>
      </w:r>
      <m:oMath>
        <m:r>
          <m:t>k</m:t>
        </m:r>
      </m:oMath>
      <w:r>
        <w:rPr>
          <w:rFonts w:hint="eastAsia"/>
        </w:rPr>
        <w:t xml:space="preserve">作物的潜在单产。式（1）可分解为市场收益差</w:t>
      </w:r>
      <m:oMath>
        <m:r>
          <m:rPr>
            <m:sty m:val="p"/>
          </m:rPr>
          <m:t>Δ</m:t>
        </m:r>
        <m:sSubSup>
          <m:e>
            <m:r>
              <m:t>π</m:t>
            </m:r>
          </m:e>
          <m:sub>
            <m:r>
              <m:t>i</m:t>
            </m:r>
            <m:r>
              <m:t>t</m:t>
            </m:r>
          </m:sub>
          <m:sup>
            <m:r>
              <m:t>m</m:t>
            </m:r>
            <m:r>
              <m:t>k</m:t>
            </m:r>
            <m:r>
              <m:t>t</m:t>
            </m:r>
          </m:sup>
        </m:sSubSup>
      </m:oMath>
      <w:r>
        <w:rPr>
          <w:rFonts w:hint="eastAsia"/>
        </w:rPr>
        <w:t xml:space="preserve">与补贴差</w:t>
      </w:r>
      <m:oMath>
        <m:r>
          <m:rPr>
            <m:sty m:val="p"/>
          </m:rPr>
          <m:t>Δ</m:t>
        </m:r>
        <m:sSubSup>
          <m:e>
            <m:r>
              <m:t>π</m:t>
            </m:r>
          </m:e>
          <m:sub>
            <m:r>
              <m:t>t</m:t>
            </m:r>
          </m:sub>
          <m:sup>
            <m:r>
              <m:t>s</m:t>
            </m:r>
            <m:r>
              <m:t>u</m:t>
            </m:r>
            <m:r>
              <m:t>b</m:t>
            </m:r>
          </m:sup>
        </m:sSubSup>
        <m:r>
          <m:rPr>
            <m:sty m:val="p"/>
          </m:rPr>
          <m:t>=</m:t>
        </m:r>
        <m:r>
          <m:t>s</m:t>
        </m:r>
        <m:r>
          <m:t>u</m:t>
        </m:r>
        <m:sSub>
          <m:e>
            <m:r>
              <m:t>b</m:t>
            </m:r>
          </m:e>
          <m:sub>
            <m:r>
              <m:t>s</m:t>
            </m:r>
            <m:r>
              <m:rPr>
                <m:sty m:val="p"/>
              </m:rPr>
              <m:t>,</m:t>
            </m:r>
            <m:r>
              <m:t>t</m:t>
            </m:r>
          </m:sub>
        </m:sSub>
        <m:r>
          <m:rPr>
            <m:sty m:val="p"/>
          </m:rPr>
          <m:t>−</m:t>
        </m:r>
        <m:r>
          <m:t>s</m:t>
        </m:r>
        <m:r>
          <m:t>u</m:t>
        </m:r>
        <m:sSub>
          <m:e>
            <m:r>
              <m:t>b</m:t>
            </m:r>
          </m:e>
          <m:sub>
            <m:r>
              <m:t>m</m:t>
            </m:r>
            <m:r>
              <m:rPr>
                <m:sty m:val="p"/>
              </m:rPr>
              <m:t>,</m:t>
            </m:r>
            <m:r>
              <m:t>t</m:t>
            </m:r>
          </m:sub>
        </m:sSub>
      </m:oMath>
      <w:r>
        <w:rPr>
          <w:rFonts w:hint="eastAsia"/>
        </w:rPr>
        <w:t xml:space="preserve">两部分，这一分解是政策仿真的接口：补贴情景只改变第二项。</w:t>
      </w:r>
    </w:p>
    <w:p>
      <w:pPr>
        <w:pStyle w:val="BodyText"/>
      </w:pPr>
      <w:r>
        <w:rPr>
          <w:rFonts w:hint="eastAsia"/>
        </w:rPr>
        <w:t xml:space="preserve">农户决策包含两个边际。参与边际（种不种大豆）由潜在效用比较决定，除</w:t>
      </w:r>
      <m:oMath>
        <m:r>
          <m:rPr>
            <m:sty m:val="p"/>
          </m:rPr>
          <m:t>Δ</m:t>
        </m:r>
        <m:r>
          <m:t>π</m:t>
        </m:r>
      </m:oMath>
      <w:r>
        <w:rPr>
          <w:rFonts w:hint="eastAsia"/>
        </w:rPr>
        <w:t xml:space="preserve">外还受三类动态与社会因素影响：一是状态依赖——种子、农机具、技术学习与销售渠道的专用性投资使上年种豆者本年更可能续种（Foster</w:t>
      </w:r>
      <w:r>
        <w:t xml:space="preserve"> and Rosenzweig, </w:t>
      </w:r>
      <w:r>
        <w:rPr>
          <w:rFonts w:hint="eastAsia"/>
        </w:rPr>
        <w:t xml:space="preserve">1995）；二是村内同伴效应——邻里的种植结果提供信息外部性（Conley</w:t>
      </w:r>
      <w:r>
        <w:t xml:space="preserve"> and Udry, </w:t>
      </w:r>
      <w:r>
        <w:rPr>
          <w:rFonts w:hint="eastAsia"/>
        </w:rPr>
        <w:t xml:space="preserve">2010）；三是未观测的户异质性（土壤、偏好、能力）。强度边际（种多少）在参与者内部由份额方程刻画，受轮作农学约束（大豆重迎茬减产）与地块规模影响。第三、四部分的计量模型即对应这一框架，第五部分的ABM则将其动态化并纳入一般化的反馈。</w:t>
      </w:r>
    </w:p>
    <w:bookmarkEnd w:id="11"/>
    <w:bookmarkEnd w:id="12"/>
    <w:bookmarkStart w:id="16" w:name="三数据变量与描述性事实"/>
    <w:p>
      <w:pPr>
        <w:pStyle w:val="Heading1"/>
      </w:pPr>
      <w:r>
        <w:rPr>
          <w:rFonts w:hint="eastAsia"/>
        </w:rPr>
        <w:t xml:space="preserve">三、数据、变量与描述性事实</w:t>
      </w:r>
    </w:p>
    <w:bookmarkStart w:id="13" w:name="一数据来源与样本"/>
    <w:p>
      <w:pPr>
        <w:pStyle w:val="Heading2"/>
      </w:pPr>
      <w:r>
        <w:rPr>
          <w:rFonts w:hint="eastAsia"/>
        </w:rPr>
        <w:t xml:space="preserve">（一）数据来源与样本</w:t>
      </w:r>
    </w:p>
    <w:p>
      <w:pPr>
        <w:pStyle w:val="FirstParagraph"/>
      </w:pPr>
      <w:r>
        <w:rPr>
          <w:rFonts w:hint="eastAsia"/>
        </w:rPr>
        <w:t xml:space="preserve">本文数据来自全国农村固定观察点调查黑龙江省样本2021—2024年的户问卷与村问卷。观察点样本覆盖双城区（松嫩平原南部，玉米优势区）、桦南县（三江平原南缘）与甘南县（松嫩平原西北部旱作区）三个县区。原始数据经过如下清洗：（1）以身份证号为主键、村代码加户主姓名为辅键匹配农户，剔除同年重复录入记录；（2）从”种植业分产品生产及销售情况表”与”种植业分产品成本投入表”逐产品提取播种面积、产量、销售量与销售收入及各项现金投入；（3）对单产、销售单价、亩均成本设定农艺合理域（如玉米单产100—1000公斤/亩、大豆30—350公斤/亩），越界值置缺失。最终得到玉米或大豆播种面积为正的非平衡面板884户次、366户，其中含上年种植信息（用于构造滞后变量）的估计样本496户次。种植业亩均现金成本包括种子、化肥、外购有机肥、农药、农膜、排灌、机械作业、运输仓储、贷款利息、保险费、其他费用及雇工支出，不含土地租金与自家劳动折价。</w:t>
      </w:r>
    </w:p>
    <w:bookmarkEnd w:id="13"/>
    <w:bookmarkStart w:id="14" w:name="二变量构建"/>
    <w:p>
      <w:pPr>
        <w:pStyle w:val="Heading2"/>
      </w:pPr>
      <w:r>
        <w:rPr>
          <w:rFonts w:hint="eastAsia"/>
        </w:rPr>
        <w:t xml:space="preserve">（二）变量构建</w:t>
      </w:r>
    </w:p>
    <w:p>
      <w:pPr>
        <w:pStyle w:val="FirstParagraph"/>
      </w:pPr>
      <w:r>
        <w:rPr>
          <w:rFonts w:hint="eastAsia"/>
        </w:rPr>
        <w:t xml:space="preserve">被解释变量为大豆种植参与</w:t>
      </w:r>
      <m:oMath>
        <m:sSub>
          <m:e>
            <m:r>
              <m:t>D</m:t>
            </m:r>
          </m:e>
          <m:sub>
            <m:r>
              <m:t>i</m:t>
            </m:r>
            <m:r>
              <m:t>t</m:t>
            </m:r>
          </m:sub>
        </m:sSub>
      </m:oMath>
      <w:r>
        <w:rPr>
          <w:rFonts w:hint="eastAsia"/>
        </w:rPr>
        <w:t xml:space="preserve">（大豆播种面积&gt;0）与大豆份额</w:t>
      </w:r>
      <m:oMath>
        <m:sSub>
          <m:e>
            <m:r>
              <m:t>s</m:t>
            </m:r>
          </m:e>
          <m:sub>
            <m:r>
              <m:t>i</m:t>
            </m:r>
            <m:r>
              <m:t>t</m:t>
            </m:r>
          </m:sub>
        </m:sSub>
      </m:oMath>
      <w:r>
        <w:rPr>
          <w:rFonts w:hint="eastAsia"/>
        </w:rPr>
        <w:t xml:space="preserve">（大豆面积/玉米大豆合计面积）。核心解释变量</w:t>
      </w:r>
      <m:oMath>
        <m:r>
          <m:rPr>
            <m:sty m:val="p"/>
          </m:rPr>
          <m:t>Δ</m:t>
        </m:r>
        <m:sSub>
          <m:e>
            <m:r>
              <m:t>π</m:t>
            </m:r>
          </m:e>
          <m:sub>
            <m:r>
              <m:t>i</m:t>
            </m:r>
            <m:r>
              <m:t>t</m:t>
            </m:r>
          </m:sub>
        </m:sSub>
      </m:oMath>
      <w:r>
        <w:rPr>
          <w:rFonts w:hint="eastAsia"/>
        </w:rPr>
        <w:t xml:space="preserve">按式（1）构建：价格与亩均成本取县×年中位数（县内有效观测不足5个时回退全样本中位数）；潜在单产采用经验贝叶斯收缩，</w:t>
      </w:r>
    </w:p>
    <w:p>
      <w:pPr>
        <w:pStyle w:val="BodyText"/>
      </w:pPr>
      <m:oMathPara>
        <m:oMathParaPr>
          <m:jc m:val="center"/>
        </m:oMathParaPr>
        <m:oMath>
          <m:sSub>
            <m:e>
              <m:acc>
                <m:accPr>
                  <m:chr m:val="̂"/>
                </m:accPr>
                <m:e>
                  <m:r>
                    <m:t>y</m:t>
                  </m:r>
                </m:e>
              </m:acc>
            </m:e>
            <m:sub>
              <m:r>
                <m:t>k</m:t>
              </m:r>
              <m:r>
                <m:rPr>
                  <m:sty m:val="p"/>
                </m:rPr>
                <m:t>,</m:t>
              </m:r>
              <m:r>
                <m:t>i</m:t>
              </m:r>
              <m:r>
                <m:rPr>
                  <m:sty m:val="p"/>
                </m:rPr>
                <m:t>,</m:t>
              </m:r>
              <m:r>
                <m:t>t</m:t>
              </m:r>
            </m:sub>
          </m:sSub>
          <m:r>
            <m:rPr>
              <m:sty m:val="p"/>
            </m:rPr>
            <m:t>=</m:t>
          </m:r>
          <m:f>
            <m:fPr>
              <m:type m:val="bar"/>
            </m:fPr>
            <m:num>
              <m:nary>
                <m:naryPr>
                  <m:chr m:val="∑"/>
                  <m:limLoc m:val="undOvr"/>
                  <m:subHide m:val="off"/>
                  <m:supHide m:val="on"/>
                </m:naryPr>
                <m:sub>
                  <m:r>
                    <m:t>τ</m:t>
                  </m:r>
                  <m:r>
                    <m:rPr>
                      <m:sty m:val="p"/>
                    </m:rPr>
                    <m:t>&lt;</m:t>
                  </m:r>
                  <m:r>
                    <m:t>t</m:t>
                  </m:r>
                </m:sub>
                <m:sup>
                  <m:r>
                    <m:t>​</m:t>
                  </m:r>
                </m:sup>
                <m:e>
                  <m:sSub>
                    <m:e>
                      <m:r>
                        <m:t>y</m:t>
                      </m:r>
                    </m:e>
                    <m:sub>
                      <m:r>
                        <m:t>k</m:t>
                      </m:r>
                      <m:r>
                        <m:rPr>
                          <m:sty m:val="p"/>
                        </m:rPr>
                        <m:t>,</m:t>
                      </m:r>
                      <m:r>
                        <m:t>i</m:t>
                      </m:r>
                      <m:r>
                        <m:t>τ</m:t>
                      </m:r>
                    </m:sub>
                  </m:sSub>
                </m:e>
              </m:nary>
              <m:r>
                <m:rPr>
                  <m:sty m:val="p"/>
                </m:rPr>
                <m:t>+</m:t>
              </m:r>
              <m:r>
                <m:t>K</m:t>
              </m:r>
              <m:r>
                <m:t> </m:t>
              </m:r>
              <m:sSub>
                <m:e>
                  <m:acc>
                    <m:accPr>
                      <m:chr m:val="̃"/>
                    </m:accPr>
                    <m:e>
                      <m:r>
                        <m:t>y</m:t>
                      </m:r>
                    </m:e>
                  </m:acc>
                </m:e>
                <m:sub>
                  <m:r>
                    <m:t>k</m:t>
                  </m:r>
                  <m:r>
                    <m:rPr>
                      <m:sty m:val="p"/>
                    </m:rPr>
                    <m:t>,</m:t>
                  </m:r>
                  <m:r>
                    <m:t>c</m:t>
                  </m:r>
                </m:sub>
              </m:sSub>
            </m:num>
            <m:den>
              <m:sSub>
                <m:e>
                  <m:r>
                    <m:t>n</m:t>
                  </m:r>
                </m:e>
                <m:sub>
                  <m:r>
                    <m:t>k</m:t>
                  </m:r>
                  <m:r>
                    <m:rPr>
                      <m:sty m:val="p"/>
                    </m:rPr>
                    <m:t>,</m:t>
                  </m:r>
                  <m:r>
                    <m:t>i</m:t>
                  </m:r>
                  <m:r>
                    <m:rPr>
                      <m:sty m:val="p"/>
                    </m:rPr>
                    <m:t>,</m:t>
                  </m:r>
                  <m:r>
                    <m:t>t</m:t>
                  </m:r>
                </m:sub>
              </m:sSub>
              <m:r>
                <m:rPr>
                  <m:sty m:val="p"/>
                </m:rPr>
                <m:t>+</m:t>
              </m:r>
              <m:r>
                <m:t>K</m:t>
              </m:r>
            </m:den>
          </m:f>
          <m:r>
            <m:rPr>
              <m:sty m:val="p"/>
            </m:rPr>
            <m:t>,</m:t>
          </m:r>
          <m:r>
            <m:t>  </m:t>
          </m:r>
          <m:r>
            <m:t>K</m:t>
          </m:r>
          <m:r>
            <m:rPr>
              <m:sty m:val="p"/>
            </m:rPr>
            <m:t>=</m:t>
          </m:r>
          <m:r>
            <m:t>2</m:t>
          </m:r>
          <m:r>
            <m:t>  </m:t>
          </m:r>
          <m:r>
            <m:rPr>
              <m:sty m:val="p"/>
            </m:rPr>
            <m:t>(</m:t>
          </m:r>
          <m:r>
            <m:t>2</m:t>
          </m:r>
          <m:r>
            <m:rPr>
              <m:sty m:val="p"/>
            </m:rPr>
            <m:t>)</m:t>
          </m:r>
        </m:oMath>
      </m:oMathPara>
    </w:p>
    <w:p>
      <w:pPr>
        <w:pStyle w:val="FirstParagraph"/>
      </w:pPr>
      <w:r>
        <w:rPr>
          <w:rFonts w:hint="eastAsia"/>
        </w:rPr>
        <w:t xml:space="preserve">即农户历史单产均值向县中位数收缩，从未种植该作物的农户取县中位数，避免自选择造成的单产高估；补贴标准取上文的官方省级口径。控制变量包括户主年龄、受教育年限、家庭劳动力人数与经营规模对数</w:t>
      </w:r>
      <m:oMath>
        <m:r>
          <m:rPr>
            <m:sty m:val="p"/>
          </m:rPr>
          <m:t>ln</m:t>
        </m:r>
        <m:sSub>
          <m:e>
            <m:r>
              <m:t>B</m:t>
            </m:r>
          </m:e>
          <m:sub>
            <m:r>
              <m:t>i</m:t>
            </m:r>
            <m:r>
              <m:t>t</m:t>
            </m:r>
          </m:sub>
        </m:sSub>
      </m:oMath>
      <w:r>
        <w:rPr>
          <w:rFonts w:hint="eastAsia"/>
        </w:rPr>
        <w:t xml:space="preserve">。村内同伴变量</w:t>
      </w:r>
      <m:oMath>
        <m:sSub>
          <m:e>
            <m:acc>
              <m:accPr>
                <m:chr m:val="‾"/>
              </m:accPr>
              <m:e>
                <m:r>
                  <m:t>s</m:t>
                </m:r>
              </m:e>
            </m:acc>
          </m:e>
          <m:sub>
            <m:r>
              <m:rPr>
                <m:sty m:val="p"/>
              </m:rPr>
              <m:t>−</m:t>
            </m:r>
            <m:r>
              <m:t>i</m:t>
            </m:r>
            <m:r>
              <m:rPr>
                <m:sty m:val="p"/>
              </m:rPr>
              <m:t>,</m:t>
            </m:r>
            <m:r>
              <m:t>v</m:t>
            </m:r>
            <m:r>
              <m:rPr>
                <m:sty m:val="p"/>
              </m:rPr>
              <m:t>,</m:t>
            </m:r>
            <m:r>
              <m:t>t</m:t>
            </m:r>
            <m:r>
              <m:rPr>
                <m:sty m:val="p"/>
              </m:rPr>
              <m:t>−</m:t>
            </m:r>
            <m:r>
              <m:t>1</m:t>
            </m:r>
          </m:sub>
        </m:sSub>
      </m:oMath>
      <w:r>
        <w:rPr>
          <w:rFonts w:hint="eastAsia"/>
        </w:rPr>
        <w:t xml:space="preserve">为剔除本户后上年村内其他样本户的平均大豆份额（leave-one-out，缓解Manski（1993）反射问题）。</w:t>
      </w:r>
    </w:p>
    <w:bookmarkEnd w:id="14"/>
    <w:bookmarkStart w:id="15" w:name="三描述性事实"/>
    <w:p>
      <w:pPr>
        <w:pStyle w:val="Heading2"/>
      </w:pPr>
      <w:r>
        <w:rPr>
          <w:rFonts w:hint="eastAsia"/>
        </w:rPr>
        <w:t xml:space="preserve">（三）描述性事实</w:t>
      </w:r>
    </w:p>
    <w:p>
      <w:pPr>
        <w:pStyle w:val="FirstParagraph"/>
      </w:pPr>
      <w:r>
        <w:rPr>
          <w:rFonts w:hint="eastAsia"/>
        </w:rPr>
        <w:t xml:space="preserve">表1报告分县分年的大豆参与率与面积份额。三个典型事实值得注意。第一，区域分化极其显著：双城区四年内无一户种植大豆——在玉米单产高达800—900公斤/亩的核心玉米带，大豆完全不具竞争力，属于结构性零参与；桦南、甘南两县参与率则在11%—62%之间波动。第二，2023年后扩种加速：全样本面积加权大豆份额从2021年的5.5%、2022年的4.0%升至2023年的7.7%和2024年的13.0%，与2023年补贴差从220元/亩跳升至330元/亩以上的时点吻合。第三，收益差的空间梯度与参与行为高度一致：估计样本中大豆对玉米的市场净收益差中位数，双城区为-621元/亩、桦南县为-505元/亩、甘南县为-233元/亩；加上补贴差后总收益差分别为-378、-258和+35元/亩——唯一转正的甘南县正是参与率最稳定的县，而2024年桦南县在豆价相对坚挺与350元补贴共同作用下参与率跳升至62%。总体看，市场收益缺口（平均约-470元/亩）大于现行补贴差（220—335元/亩），差异化补贴显著收窄但尚未完全弥合大豆的收益劣势，这构成理解后文行为弹性估计的背景。</w:t>
      </w:r>
    </w:p>
    <w:p>
      <w:pPr>
        <w:pStyle w:val="BodyText"/>
      </w:pPr>
      <w:r>
        <w:rPr>
          <w:rFonts w:hint="eastAsia"/>
          <w:b/>
          <w:bCs/>
        </w:rPr>
        <w:t xml:space="preserve">表1</w:t>
      </w:r>
      <w:r>
        <w:rPr>
          <w:b/>
          <w:bCs/>
        </w:rPr>
        <w:t xml:space="preserve"> </w:t>
      </w:r>
      <w:r>
        <w:rPr>
          <w:rFonts w:hint="eastAsia"/>
          <w:b/>
          <w:bCs/>
        </w:rPr>
        <w:t xml:space="preserve">分县分年大豆种植参与率与面积份额</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县区</w:t>
            </w:r>
          </w:p>
        </w:tc>
        <w:tc>
          <w:tcPr/>
          <w:p>
            <w:pPr>
              <w:pStyle w:val="Compact"/>
            </w:pPr>
            <w:r>
              <w:rPr>
                <w:rFonts w:hint="eastAsia"/>
              </w:rPr>
              <w:t xml:space="preserve">指标</w:t>
            </w:r>
          </w:p>
        </w:tc>
        <w:tc>
          <w:tcPr/>
          <w:p>
            <w:pPr>
              <w:pStyle w:val="Compact"/>
            </w:pPr>
            <w:r>
              <w:t xml:space="preserve">2021</w:t>
            </w:r>
          </w:p>
        </w:tc>
        <w:tc>
          <w:tcPr/>
          <w:p>
            <w:pPr>
              <w:pStyle w:val="Compact"/>
            </w:pPr>
            <w:r>
              <w:t xml:space="preserve">2022</w:t>
            </w:r>
          </w:p>
        </w:tc>
        <w:tc>
          <w:tcPr/>
          <w:p>
            <w:pPr>
              <w:pStyle w:val="Compact"/>
            </w:pPr>
            <w:r>
              <w:t xml:space="preserve">2023</w:t>
            </w:r>
          </w:p>
        </w:tc>
        <w:tc>
          <w:tcPr/>
          <w:p>
            <w:pPr>
              <w:pStyle w:val="Compact"/>
            </w:pPr>
            <w:r>
              <w:t xml:space="preserve">2024</w:t>
            </w:r>
          </w:p>
        </w:tc>
      </w:tr>
      <w:tr>
        <w:tc>
          <w:tcPr/>
          <w:p>
            <w:pPr>
              <w:pStyle w:val="Compact"/>
            </w:pPr>
            <w:r>
              <w:rPr>
                <w:rFonts w:hint="eastAsia"/>
              </w:rPr>
              <w:t xml:space="preserve">双城区</w:t>
            </w:r>
          </w:p>
        </w:tc>
        <w:tc>
          <w:tcPr/>
          <w:p>
            <w:pPr>
              <w:pStyle w:val="Compact"/>
            </w:pPr>
            <w:r>
              <w:rPr>
                <w:rFonts w:hint="eastAsia"/>
              </w:rPr>
              <w:t xml:space="preserve">户数</w:t>
            </w:r>
          </w:p>
        </w:tc>
        <w:tc>
          <w:tcPr/>
          <w:p>
            <w:pPr>
              <w:pStyle w:val="Compact"/>
            </w:pPr>
            <w:r>
              <w:t xml:space="preserve">110</w:t>
            </w:r>
          </w:p>
        </w:tc>
        <w:tc>
          <w:tcPr/>
          <w:p>
            <w:pPr>
              <w:pStyle w:val="Compact"/>
            </w:pPr>
            <w:r>
              <w:t xml:space="preserve">112</w:t>
            </w:r>
          </w:p>
        </w:tc>
        <w:tc>
          <w:tcPr/>
          <w:p>
            <w:pPr>
              <w:pStyle w:val="Compact"/>
            </w:pPr>
            <w:r>
              <w:t xml:space="preserve">77</w:t>
            </w:r>
          </w:p>
        </w:tc>
        <w:tc>
          <w:tcPr/>
          <w:p>
            <w:pPr>
              <w:pStyle w:val="Compact"/>
            </w:pPr>
            <w:r>
              <w:t xml:space="preserve">48</w:t>
            </w:r>
          </w:p>
        </w:tc>
      </w:tr>
      <w:tr>
        <w:tc>
          <w:tcPr/>
          <w:p>
            <w:pPr>
              <w:pStyle w:val="Compact"/>
            </w:pPr>
          </w:p>
        </w:tc>
        <w:tc>
          <w:tcPr/>
          <w:p>
            <w:pPr>
              <w:pStyle w:val="Compact"/>
            </w:pPr>
            <w:r>
              <w:rPr>
                <w:rFonts w:hint="eastAsia"/>
              </w:rPr>
              <w:t xml:space="preserve">参与率（%）</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p>
        </w:tc>
        <w:tc>
          <w:tcPr/>
          <w:p>
            <w:pPr>
              <w:pStyle w:val="Compact"/>
            </w:pPr>
            <w:r>
              <w:rPr>
                <w:rFonts w:hint="eastAsia"/>
              </w:rPr>
              <w:t xml:space="preserve">面积份额（%）</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rPr>
                <w:rFonts w:hint="eastAsia"/>
              </w:rPr>
              <w:t xml:space="preserve">桦南县</w:t>
            </w:r>
          </w:p>
        </w:tc>
        <w:tc>
          <w:tcPr/>
          <w:p>
            <w:pPr>
              <w:pStyle w:val="Compact"/>
            </w:pPr>
            <w:r>
              <w:rPr>
                <w:rFonts w:hint="eastAsia"/>
              </w:rPr>
              <w:t xml:space="preserve">户数</w:t>
            </w:r>
          </w:p>
        </w:tc>
        <w:tc>
          <w:tcPr/>
          <w:p>
            <w:pPr>
              <w:pStyle w:val="Compact"/>
            </w:pPr>
            <w:r>
              <w:t xml:space="preserve">87</w:t>
            </w:r>
          </w:p>
        </w:tc>
        <w:tc>
          <w:tcPr/>
          <w:p>
            <w:pPr>
              <w:pStyle w:val="Compact"/>
            </w:pPr>
            <w:r>
              <w:t xml:space="preserve">91</w:t>
            </w:r>
          </w:p>
        </w:tc>
        <w:tc>
          <w:tcPr/>
          <w:p>
            <w:pPr>
              <w:pStyle w:val="Compact"/>
            </w:pPr>
            <w:r>
              <w:t xml:space="preserve">62</w:t>
            </w:r>
          </w:p>
        </w:tc>
        <w:tc>
          <w:tcPr/>
          <w:p>
            <w:pPr>
              <w:pStyle w:val="Compact"/>
            </w:pPr>
            <w:r>
              <w:t xml:space="preserve">21</w:t>
            </w:r>
          </w:p>
        </w:tc>
      </w:tr>
      <w:tr>
        <w:tc>
          <w:tcPr/>
          <w:p>
            <w:pPr>
              <w:pStyle w:val="Compact"/>
            </w:pPr>
          </w:p>
        </w:tc>
        <w:tc>
          <w:tcPr/>
          <w:p>
            <w:pPr>
              <w:pStyle w:val="Compact"/>
            </w:pPr>
            <w:r>
              <w:rPr>
                <w:rFonts w:hint="eastAsia"/>
              </w:rPr>
              <w:t xml:space="preserve">参与率（%）</w:t>
            </w:r>
          </w:p>
        </w:tc>
        <w:tc>
          <w:tcPr/>
          <w:p>
            <w:pPr>
              <w:pStyle w:val="Compact"/>
            </w:pPr>
            <w:r>
              <w:t xml:space="preserve">18.4</w:t>
            </w:r>
          </w:p>
        </w:tc>
        <w:tc>
          <w:tcPr/>
          <w:p>
            <w:pPr>
              <w:pStyle w:val="Compact"/>
            </w:pPr>
            <w:r>
              <w:t xml:space="preserve">16.5</w:t>
            </w:r>
          </w:p>
        </w:tc>
        <w:tc>
          <w:tcPr/>
          <w:p>
            <w:pPr>
              <w:pStyle w:val="Compact"/>
            </w:pPr>
            <w:r>
              <w:t xml:space="preserve">11.3</w:t>
            </w:r>
          </w:p>
        </w:tc>
        <w:tc>
          <w:tcPr/>
          <w:p>
            <w:pPr>
              <w:pStyle w:val="Compact"/>
            </w:pPr>
            <w:r>
              <w:t xml:space="preserve">61.9</w:t>
            </w:r>
          </w:p>
        </w:tc>
      </w:tr>
      <w:tr>
        <w:tc>
          <w:tcPr/>
          <w:p>
            <w:pPr>
              <w:pStyle w:val="Compact"/>
            </w:pPr>
          </w:p>
        </w:tc>
        <w:tc>
          <w:tcPr/>
          <w:p>
            <w:pPr>
              <w:pStyle w:val="Compact"/>
            </w:pPr>
            <w:r>
              <w:rPr>
                <w:rFonts w:hint="eastAsia"/>
              </w:rPr>
              <w:t xml:space="preserve">面积份额（%）</w:t>
            </w:r>
          </w:p>
        </w:tc>
        <w:tc>
          <w:tcPr/>
          <w:p>
            <w:pPr>
              <w:pStyle w:val="Compact"/>
            </w:pPr>
            <w:r>
              <w:t xml:space="preserve">8.6</w:t>
            </w:r>
          </w:p>
        </w:tc>
        <w:tc>
          <w:tcPr/>
          <w:p>
            <w:pPr>
              <w:pStyle w:val="Compact"/>
            </w:pPr>
            <w:r>
              <w:t xml:space="preserve">8.6</w:t>
            </w:r>
          </w:p>
        </w:tc>
        <w:tc>
          <w:tcPr/>
          <w:p>
            <w:pPr>
              <w:pStyle w:val="Compact"/>
            </w:pPr>
            <w:r>
              <w:t xml:space="preserve">7.5</w:t>
            </w:r>
          </w:p>
        </w:tc>
        <w:tc>
          <w:tcPr/>
          <w:p>
            <w:pPr>
              <w:pStyle w:val="Compact"/>
            </w:pPr>
            <w:r>
              <w:t xml:space="preserve">58.4</w:t>
            </w:r>
          </w:p>
        </w:tc>
      </w:tr>
      <w:tr>
        <w:tc>
          <w:tcPr/>
          <w:p>
            <w:pPr>
              <w:pStyle w:val="Compact"/>
            </w:pPr>
            <w:r>
              <w:rPr>
                <w:rFonts w:hint="eastAsia"/>
              </w:rPr>
              <w:t xml:space="preserve">甘南县</w:t>
            </w:r>
          </w:p>
        </w:tc>
        <w:tc>
          <w:tcPr/>
          <w:p>
            <w:pPr>
              <w:pStyle w:val="Compact"/>
            </w:pPr>
            <w:r>
              <w:rPr>
                <w:rFonts w:hint="eastAsia"/>
              </w:rPr>
              <w:t xml:space="preserve">户数</w:t>
            </w:r>
          </w:p>
        </w:tc>
        <w:tc>
          <w:tcPr/>
          <w:p>
            <w:pPr>
              <w:pStyle w:val="Compact"/>
            </w:pPr>
            <w:r>
              <w:t xml:space="preserve">71</w:t>
            </w:r>
          </w:p>
        </w:tc>
        <w:tc>
          <w:tcPr/>
          <w:p>
            <w:pPr>
              <w:pStyle w:val="Compact"/>
            </w:pPr>
            <w:r>
              <w:t xml:space="preserve">83</w:t>
            </w:r>
          </w:p>
        </w:tc>
        <w:tc>
          <w:tcPr/>
          <w:p>
            <w:pPr>
              <w:pStyle w:val="Compact"/>
            </w:pPr>
            <w:r>
              <w:t xml:space="preserve">69</w:t>
            </w:r>
          </w:p>
        </w:tc>
        <w:tc>
          <w:tcPr/>
          <w:p>
            <w:pPr>
              <w:pStyle w:val="Compact"/>
            </w:pPr>
            <w:r>
              <w:t xml:space="preserve">53</w:t>
            </w:r>
          </w:p>
        </w:tc>
      </w:tr>
      <w:tr>
        <w:tc>
          <w:tcPr/>
          <w:p>
            <w:pPr>
              <w:pStyle w:val="Compact"/>
            </w:pPr>
          </w:p>
        </w:tc>
        <w:tc>
          <w:tcPr/>
          <w:p>
            <w:pPr>
              <w:pStyle w:val="Compact"/>
            </w:pPr>
            <w:r>
              <w:rPr>
                <w:rFonts w:hint="eastAsia"/>
              </w:rPr>
              <w:t xml:space="preserve">参与率（%）</w:t>
            </w:r>
          </w:p>
        </w:tc>
        <w:tc>
          <w:tcPr/>
          <w:p>
            <w:pPr>
              <w:pStyle w:val="Compact"/>
            </w:pPr>
            <w:r>
              <w:t xml:space="preserve">16.9</w:t>
            </w:r>
          </w:p>
        </w:tc>
        <w:tc>
          <w:tcPr/>
          <w:p>
            <w:pPr>
              <w:pStyle w:val="Compact"/>
            </w:pPr>
            <w:r>
              <w:t xml:space="preserve">13.3</w:t>
            </w:r>
          </w:p>
        </w:tc>
        <w:tc>
          <w:tcPr/>
          <w:p>
            <w:pPr>
              <w:pStyle w:val="Compact"/>
            </w:pPr>
            <w:r>
              <w:t xml:space="preserve">11.6</w:t>
            </w:r>
          </w:p>
        </w:tc>
        <w:tc>
          <w:tcPr/>
          <w:p>
            <w:pPr>
              <w:pStyle w:val="Compact"/>
            </w:pPr>
            <w:r>
              <w:t xml:space="preserve">22.6</w:t>
            </w:r>
          </w:p>
        </w:tc>
      </w:tr>
      <w:tr>
        <w:tc>
          <w:tcPr/>
          <w:p>
            <w:pPr>
              <w:pStyle w:val="Compact"/>
            </w:pPr>
          </w:p>
        </w:tc>
        <w:tc>
          <w:tcPr/>
          <w:p>
            <w:pPr>
              <w:pStyle w:val="Compact"/>
            </w:pPr>
            <w:r>
              <w:rPr>
                <w:rFonts w:hint="eastAsia"/>
              </w:rPr>
              <w:t xml:space="preserve">面积份额（%）</w:t>
            </w:r>
          </w:p>
        </w:tc>
        <w:tc>
          <w:tcPr/>
          <w:p>
            <w:pPr>
              <w:pStyle w:val="Compact"/>
            </w:pPr>
            <w:r>
              <w:t xml:space="preserve">5.9</w:t>
            </w:r>
          </w:p>
        </w:tc>
        <w:tc>
          <w:tcPr/>
          <w:p>
            <w:pPr>
              <w:pStyle w:val="Compact"/>
            </w:pPr>
            <w:r>
              <w:t xml:space="preserve">3.2</w:t>
            </w:r>
          </w:p>
        </w:tc>
        <w:tc>
          <w:tcPr/>
          <w:p>
            <w:pPr>
              <w:pStyle w:val="Compact"/>
            </w:pPr>
            <w:r>
              <w:t xml:space="preserve">8.7</w:t>
            </w:r>
          </w:p>
        </w:tc>
        <w:tc>
          <w:tcPr/>
          <w:p>
            <w:pPr>
              <w:pStyle w:val="Compact"/>
            </w:pPr>
            <w:r>
              <w:t xml:space="preserve">6.5</w:t>
            </w:r>
          </w:p>
        </w:tc>
      </w:tr>
    </w:tbl>
    <w:p>
      <w:pPr>
        <w:pStyle w:val="BodyText"/>
      </w:pPr>
      <w:r>
        <w:rPr>
          <w:rFonts w:hint="eastAsia"/>
        </w:rPr>
        <w:t xml:space="preserve">注：面积份额为面积加权（县内大豆面积合计/玉米大豆面积合计）。2024年问卷扩容后部分新增户未填报种植业模块，桦南县2024年样本量较小，解读需谨慎。数据来源：作者根据全国农村固定观察点黑龙江样本计算，下同。</w:t>
      </w:r>
    </w:p>
    <w:bookmarkEnd w:id="15"/>
    <w:bookmarkEnd w:id="16"/>
    <w:bookmarkStart w:id="21" w:name="四计量模型与结果"/>
    <w:p>
      <w:pPr>
        <w:pStyle w:val="Heading1"/>
      </w:pPr>
      <w:r>
        <w:rPr>
          <w:rFonts w:hint="eastAsia"/>
        </w:rPr>
        <w:t xml:space="preserve">四、计量模型与结果</w:t>
      </w:r>
    </w:p>
    <w:bookmarkStart w:id="17" w:name="一模型设定"/>
    <w:p>
      <w:pPr>
        <w:pStyle w:val="Heading2"/>
      </w:pPr>
      <w:r>
        <w:rPr>
          <w:rFonts w:hint="eastAsia"/>
        </w:rPr>
        <w:t xml:space="preserve">（一）模型设定</w:t>
      </w:r>
    </w:p>
    <w:p>
      <w:pPr>
        <w:pStyle w:val="FirstParagraph"/>
      </w:pPr>
      <w:r>
        <w:rPr>
          <w:rFonts w:hint="eastAsia"/>
        </w:rPr>
        <w:t xml:space="preserve">参与方程采用动态混合logit模型：</w:t>
      </w:r>
    </w:p>
    <w:p>
      <w:pPr>
        <w:pStyle w:val="BodyText"/>
      </w:pPr>
      <m:oMathPara>
        <m:oMathParaPr>
          <m:jc m:val="center"/>
        </m:oMathParaPr>
        <m:oMath>
          <m:r>
            <m:rPr>
              <m:sty m:val="p"/>
            </m:rPr>
            <m:t>Pr</m:t>
          </m:r>
          <m:d>
            <m:dPr>
              <m:begChr m:val="("/>
              <m:sepChr m:val=""/>
              <m:endChr m:val=")"/>
              <m:grow/>
            </m:dPr>
            <m:e>
              <m:sSub>
                <m:e>
                  <m:r>
                    <m:t>D</m:t>
                  </m:r>
                </m:e>
                <m:sub>
                  <m:r>
                    <m:t>i</m:t>
                  </m:r>
                  <m:r>
                    <m:t>t</m:t>
                  </m:r>
                </m:sub>
              </m:sSub>
              <m:r>
                <m:rPr>
                  <m:sty m:val="p"/>
                </m:rPr>
                <m:t>=</m:t>
              </m:r>
              <m:r>
                <m:t>1</m:t>
              </m:r>
            </m:e>
          </m:d>
          <m:r>
            <m:rPr>
              <m:sty m:val="p"/>
            </m:rPr>
            <m:t>=</m:t>
          </m:r>
          <m:r>
            <m:rPr>
              <m:sty m:val="p"/>
            </m:rPr>
            <m:t>Λ</m:t>
          </m:r>
          <m:d>
            <m:dPr>
              <m:begChr m:val="("/>
              <m:sepChr m:val=""/>
              <m:endChr m:val=")"/>
              <m:grow/>
            </m:dPr>
            <m:e>
              <m:r>
                <m:t>α</m:t>
              </m:r>
              <m:r>
                <m:rPr>
                  <m:sty m:val="p"/>
                </m:rPr>
                <m:t>+</m:t>
              </m:r>
              <m:r>
                <m:t>β</m:t>
              </m:r>
              <m:r>
                <m:t> </m:t>
              </m:r>
              <m:f>
                <m:fPr>
                  <m:type m:val="bar"/>
                </m:fPr>
                <m:num>
                  <m:r>
                    <m:rPr>
                      <m:sty m:val="p"/>
                    </m:rPr>
                    <m:t>Δ</m:t>
                  </m:r>
                  <m:sSub>
                    <m:e>
                      <m:r>
                        <m:t>π</m:t>
                      </m:r>
                    </m:e>
                    <m:sub>
                      <m:r>
                        <m:t>i</m:t>
                      </m:r>
                      <m:r>
                        <m:t>t</m:t>
                      </m:r>
                    </m:sub>
                  </m:sSub>
                </m:num>
                <m:den>
                  <m:r>
                    <m:t>100</m:t>
                  </m:r>
                </m:den>
              </m:f>
              <m:r>
                <m:rPr>
                  <m:sty m:val="p"/>
                </m:rPr>
                <m:t>+</m:t>
              </m:r>
              <m:r>
                <m:t>γ</m:t>
              </m:r>
              <m:r>
                <m:t> </m:t>
              </m:r>
              <m:sSub>
                <m:e>
                  <m:r>
                    <m:t>D</m:t>
                  </m:r>
                </m:e>
                <m:sub>
                  <m:r>
                    <m:t>i</m:t>
                  </m:r>
                  <m:r>
                    <m:rPr>
                      <m:sty m:val="p"/>
                    </m:rPr>
                    <m:t>,</m:t>
                  </m:r>
                  <m:r>
                    <m:t>t</m:t>
                  </m:r>
                  <m:r>
                    <m:rPr>
                      <m:sty m:val="p"/>
                    </m:rPr>
                    <m:t>−</m:t>
                  </m:r>
                  <m:r>
                    <m:t>1</m:t>
                  </m:r>
                </m:sub>
              </m:sSub>
              <m:r>
                <m:rPr>
                  <m:sty m:val="p"/>
                </m:rPr>
                <m:t>+</m:t>
              </m:r>
              <m:r>
                <m:t>δ</m:t>
              </m:r>
              <m:r>
                <m:t> </m:t>
              </m:r>
              <m:sSub>
                <m:e>
                  <m:acc>
                    <m:accPr>
                      <m:chr m:val="‾"/>
                    </m:accPr>
                    <m:e>
                      <m:r>
                        <m:t>s</m:t>
                      </m:r>
                    </m:e>
                  </m:acc>
                </m:e>
                <m:sub>
                  <m:r>
                    <m:rPr>
                      <m:sty m:val="p"/>
                    </m:rPr>
                    <m:t>−</m:t>
                  </m:r>
                  <m:r>
                    <m:t>i</m:t>
                  </m:r>
                  <m:r>
                    <m:rPr>
                      <m:sty m:val="p"/>
                    </m:rPr>
                    <m:t>,</m:t>
                  </m:r>
                  <m:r>
                    <m:t>v</m:t>
                  </m:r>
                  <m:r>
                    <m:rPr>
                      <m:sty m:val="p"/>
                    </m:rPr>
                    <m:t>,</m:t>
                  </m:r>
                  <m:r>
                    <m:t>t</m:t>
                  </m:r>
                  <m:r>
                    <m:rPr>
                      <m:sty m:val="p"/>
                    </m:rPr>
                    <m:t>−</m:t>
                  </m:r>
                  <m:r>
                    <m:t>1</m:t>
                  </m:r>
                </m:sub>
              </m:sSub>
              <m:r>
                <m:rPr>
                  <m:sty m:val="p"/>
                </m:rPr>
                <m:t>+</m:t>
              </m:r>
              <m:sSubSup>
                <m:e>
                  <m:r>
                    <m:t>X</m:t>
                  </m:r>
                </m:e>
                <m:sub>
                  <m:r>
                    <m:t>i</m:t>
                  </m:r>
                  <m:r>
                    <m:t>t</m:t>
                  </m:r>
                </m:sub>
                <m:sup>
                  <m:r>
                    <m:rPr>
                      <m:sty m:val="p"/>
                    </m:rPr>
                    <m:t>′</m:t>
                  </m:r>
                </m:sup>
              </m:sSubSup>
              <m:r>
                <m:t>θ</m:t>
              </m:r>
              <m:r>
                <m:rPr>
                  <m:sty m:val="p"/>
                </m:rPr>
                <m:t>+</m:t>
              </m:r>
              <m:sSub>
                <m:e>
                  <m:r>
                    <m:t>μ</m:t>
                  </m:r>
                </m:e>
                <m:sub>
                  <m:r>
                    <m:t>c</m:t>
                  </m:r>
                </m:sub>
              </m:sSub>
              <m:r>
                <m:rPr>
                  <m:sty m:val="p"/>
                </m:rPr>
                <m:t>+</m:t>
              </m:r>
              <m:sSub>
                <m:e>
                  <m:r>
                    <m:t>λ</m:t>
                  </m:r>
                </m:e>
                <m:sub>
                  <m:r>
                    <m:t>t</m:t>
                  </m:r>
                </m:sub>
              </m:sSub>
            </m:e>
          </m:d>
          <m:r>
            <m:t>  </m:t>
          </m:r>
          <m:r>
            <m:rPr>
              <m:sty m:val="p"/>
            </m:rPr>
            <m:t>(</m:t>
          </m:r>
          <m:r>
            <m:t>3</m:t>
          </m:r>
          <m:r>
            <m:rPr>
              <m:sty m:val="p"/>
            </m:rPr>
            <m:t>)</m:t>
          </m:r>
        </m:oMath>
      </m:oMathPara>
    </w:p>
    <w:p>
      <w:pPr>
        <w:pStyle w:val="FirstParagraph"/>
      </w:pPr>
      <w:r>
        <w:rPr>
          <w:rFonts w:hint="eastAsia"/>
        </w:rPr>
        <w:t xml:space="preserve">其中</w:t>
      </w:r>
      <m:oMath>
        <m:r>
          <m:rPr>
            <m:sty m:val="p"/>
          </m:rPr>
          <m:t>Λ</m:t>
        </m:r>
        <m:r>
          <m:rPr>
            <m:sty m:val="p"/>
          </m:rPr>
          <m:t>(</m:t>
        </m:r>
        <m:r>
          <m:rPr>
            <m:sty m:val="p"/>
          </m:rPr>
          <m:t>⋅</m:t>
        </m:r>
        <m:r>
          <m:rPr>
            <m:sty m:val="p"/>
          </m:rPr>
          <m:t>)</m:t>
        </m:r>
      </m:oMath>
      <w:r>
        <w:rPr>
          <w:rFonts w:hint="eastAsia"/>
        </w:rPr>
        <w:t xml:space="preserve">为logistic分布函数，</w:t>
      </w:r>
      <m:oMath>
        <m:r>
          <m:rPr>
            <m:sty m:val="p"/>
          </m:rPr>
          <m:t>Δ</m:t>
        </m:r>
        <m:sSub>
          <m:e>
            <m:r>
              <m:t>π</m:t>
            </m:r>
          </m:e>
          <m:sub>
            <m:r>
              <m:t>i</m:t>
            </m:r>
            <m:r>
              <m:t>t</m:t>
            </m:r>
          </m:sub>
        </m:sSub>
      </m:oMath>
      <w:r>
        <w:rPr>
          <w:rFonts w:hint="eastAsia"/>
        </w:rPr>
        <w:t xml:space="preserve">以百元/亩为单位，</w:t>
      </w:r>
      <m:oMath>
        <m:sSub>
          <m:e>
            <m:r>
              <m:t>μ</m:t>
            </m:r>
          </m:e>
          <m:sub>
            <m:r>
              <m:t>c</m:t>
            </m:r>
          </m:sub>
        </m:sSub>
      </m:oMath>
      <w:r>
        <w:t xml:space="preserve">、</w:t>
      </w:r>
      <m:oMath>
        <m:sSub>
          <m:e>
            <m:r>
              <m:t>λ</m:t>
            </m:r>
          </m:e>
          <m:sub>
            <m:r>
              <m:t>t</m:t>
            </m:r>
          </m:sub>
        </m:sSub>
      </m:oMath>
      <w:r>
        <w:rPr>
          <w:rFonts w:hint="eastAsia"/>
        </w:rPr>
        <w:t xml:space="preserve">分别为县与年份固定效应，标准误在村级聚类。双城区因参与率恒为零造成完全分离，logit估计样本剔除该县（保留于线性概率模型），后文ABM中将其作为结构性零参与处理。份额方程在参与户内采用分数logit（Papke</w:t>
      </w:r>
      <w:r>
        <w:t xml:space="preserve"> and Wooldridge, </w:t>
      </w:r>
      <w:r>
        <w:rPr>
          <w:rFonts w:hint="eastAsia"/>
        </w:rPr>
        <w:t xml:space="preserve">1996）：</w:t>
      </w:r>
    </w:p>
    <w:p>
      <w:pPr>
        <w:pStyle w:val="BodyText"/>
      </w:pPr>
      <m:oMathPara>
        <m:oMathParaPr>
          <m:jc m:val="center"/>
        </m:oMathParaPr>
        <m:oMath>
          <m:r>
            <m:t>E</m:t>
          </m:r>
          <m:d>
            <m:dPr>
              <m:begChr m:val="("/>
              <m:sepChr m:val=""/>
              <m:endChr m:val=")"/>
              <m:grow/>
            </m:dPr>
            <m:e>
              <m:sSub>
                <m:e>
                  <m:r>
                    <m:t>s</m:t>
                  </m:r>
                </m:e>
                <m:sub>
                  <m:r>
                    <m:t>i</m:t>
                  </m:r>
                  <m:r>
                    <m:t>t</m:t>
                  </m:r>
                </m:sub>
              </m:sSub>
              <m:r>
                <m:rPr>
                  <m:sty m:val="p"/>
                </m:rPr>
                <m:t>∣</m:t>
              </m:r>
              <m:sSub>
                <m:e>
                  <m:r>
                    <m:t>D</m:t>
                  </m:r>
                </m:e>
                <m:sub>
                  <m:r>
                    <m:t>i</m:t>
                  </m:r>
                  <m:r>
                    <m:t>t</m:t>
                  </m:r>
                </m:sub>
              </m:sSub>
              <m:r>
                <m:rPr>
                  <m:sty m:val="p"/>
                </m:rPr>
                <m:t>=</m:t>
              </m:r>
              <m:r>
                <m:t>1</m:t>
              </m:r>
            </m:e>
          </m:d>
          <m:r>
            <m:rPr>
              <m:sty m:val="p"/>
            </m:rPr>
            <m:t>=</m:t>
          </m:r>
          <m:r>
            <m:rPr>
              <m:sty m:val="p"/>
            </m:rPr>
            <m:t>Λ</m:t>
          </m:r>
          <m:d>
            <m:dPr>
              <m:begChr m:val="("/>
              <m:sepChr m:val=""/>
              <m:endChr m:val=")"/>
              <m:grow/>
            </m:dPr>
            <m:e>
              <m:sSub>
                <m:e>
                  <m:r>
                    <m:t>a</m:t>
                  </m:r>
                </m:e>
                <m:sub>
                  <m:r>
                    <m:t>0</m:t>
                  </m:r>
                </m:sub>
              </m:sSub>
              <m:r>
                <m:rPr>
                  <m:sty m:val="p"/>
                </m:rPr>
                <m:t>+</m:t>
              </m:r>
              <m:sSub>
                <m:e>
                  <m:r>
                    <m:t>a</m:t>
                  </m:r>
                </m:e>
                <m:sub>
                  <m:r>
                    <m:t>1</m:t>
                  </m:r>
                </m:sub>
              </m:sSub>
              <m:r>
                <m:t> </m:t>
              </m:r>
              <m:f>
                <m:fPr>
                  <m:type m:val="bar"/>
                </m:fPr>
                <m:num>
                  <m:r>
                    <m:rPr>
                      <m:sty m:val="p"/>
                    </m:rPr>
                    <m:t>Δ</m:t>
                  </m:r>
                  <m:sSub>
                    <m:e>
                      <m:r>
                        <m:t>π</m:t>
                      </m:r>
                    </m:e>
                    <m:sub>
                      <m:r>
                        <m:t>i</m:t>
                      </m:r>
                      <m:r>
                        <m:t>t</m:t>
                      </m:r>
                    </m:sub>
                  </m:sSub>
                </m:num>
                <m:den>
                  <m:r>
                    <m:t>100</m:t>
                  </m:r>
                </m:den>
              </m:f>
              <m:r>
                <m:rPr>
                  <m:sty m:val="p"/>
                </m:rPr>
                <m:t>+</m:t>
              </m:r>
              <m:sSub>
                <m:e>
                  <m:r>
                    <m:t>a</m:t>
                  </m:r>
                </m:e>
                <m:sub>
                  <m:r>
                    <m:t>2</m:t>
                  </m:r>
                </m:sub>
              </m:sSub>
              <m:r>
                <m:t> </m:t>
              </m:r>
              <m:sSub>
                <m:e>
                  <m:r>
                    <m:t>s</m:t>
                  </m:r>
                </m:e>
                <m:sub>
                  <m:r>
                    <m:t>i</m:t>
                  </m:r>
                  <m:r>
                    <m:rPr>
                      <m:sty m:val="p"/>
                    </m:rPr>
                    <m:t>,</m:t>
                  </m:r>
                  <m:r>
                    <m:t>t</m:t>
                  </m:r>
                  <m:r>
                    <m:rPr>
                      <m:sty m:val="p"/>
                    </m:rPr>
                    <m:t>−</m:t>
                  </m:r>
                  <m:r>
                    <m:t>1</m:t>
                  </m:r>
                </m:sub>
              </m:sSub>
              <m:r>
                <m:rPr>
                  <m:sty m:val="p"/>
                </m:rPr>
                <m:t>+</m:t>
              </m:r>
              <m:sSub>
                <m:e>
                  <m:r>
                    <m:t>a</m:t>
                  </m:r>
                </m:e>
                <m:sub>
                  <m:r>
                    <m:t>3</m:t>
                  </m:r>
                </m:sub>
              </m:sSub>
              <m:r>
                <m:rPr>
                  <m:sty m:val="p"/>
                </m:rPr>
                <m:t>ln</m:t>
              </m:r>
              <m:sSub>
                <m:e>
                  <m:r>
                    <m:t>B</m:t>
                  </m:r>
                </m:e>
                <m:sub>
                  <m:r>
                    <m:t>i</m:t>
                  </m:r>
                  <m:r>
                    <m:t>t</m:t>
                  </m:r>
                </m:sub>
              </m:sSub>
              <m:r>
                <m:rPr>
                  <m:sty m:val="p"/>
                </m:rPr>
                <m:t>+</m:t>
              </m:r>
              <m:sSub>
                <m:e>
                  <m:r>
                    <m:t>μ</m:t>
                  </m:r>
                </m:e>
                <m:sub>
                  <m:r>
                    <m:t>c</m:t>
                  </m:r>
                </m:sub>
              </m:sSub>
              <m:r>
                <m:rPr>
                  <m:sty m:val="p"/>
                </m:rPr>
                <m:t>+</m:t>
              </m:r>
              <m:sSub>
                <m:e>
                  <m:r>
                    <m:t>λ</m:t>
                  </m:r>
                </m:e>
                <m:sub>
                  <m:r>
                    <m:t>t</m:t>
                  </m:r>
                </m:sub>
              </m:sSub>
            </m:e>
          </m:d>
          <m:r>
            <m:t>  </m:t>
          </m:r>
          <m:r>
            <m:rPr>
              <m:sty m:val="p"/>
            </m:rPr>
            <m:t>(</m:t>
          </m:r>
          <m:r>
            <m:t>4</m:t>
          </m:r>
          <m:r>
            <m:rPr>
              <m:sty m:val="p"/>
            </m:rPr>
            <m:t>)</m:t>
          </m:r>
        </m:oMath>
      </m:oMathPara>
    </w:p>
    <w:p>
      <w:pPr>
        <w:pStyle w:val="FirstParagraph"/>
      </w:pPr>
      <w:r>
        <w:rPr>
          <w:rFonts w:hint="eastAsia"/>
        </w:rPr>
        <w:t xml:space="preserve">动态面板logit中滞后因变量与未观测异质性并存会产生初始条件问题（Heckman,</w:t>
      </w:r>
      <w:r>
        <w:t xml:space="preserve"> </w:t>
      </w:r>
      <w:r>
        <w:rPr>
          <w:rFonts w:hint="eastAsia"/>
        </w:rPr>
        <w:t xml:space="preserve">1981）。本文以三种方式处理：其一，报告混合logit作为基准，其状态依赖系数应理解为”真实状态依赖+异质性分选”的上界；其二，采用Mundlak—Chamberlain相关随机效应（CRE）设定，在方程中加入</w:t>
      </w:r>
      <m:oMath>
        <m:r>
          <m:rPr>
            <m:sty m:val="p"/>
          </m:rPr>
          <m:t>Δ</m:t>
        </m:r>
        <m:r>
          <m:t>π</m:t>
        </m:r>
      </m:oMath>
      <w:r>
        <w:rPr>
          <w:rFonts w:hint="eastAsia"/>
        </w:rPr>
        <w:t xml:space="preserve">的户内均值以吸收与收益差相关的户固定成分（Mundlak,</w:t>
      </w:r>
      <w:r>
        <w:t xml:space="preserve"> </w:t>
      </w:r>
      <w:r>
        <w:rPr>
          <w:rFonts w:hint="eastAsia"/>
        </w:rPr>
        <w:t xml:space="preserve">1978；Wooldridge,</w:t>
      </w:r>
      <w:r>
        <w:t xml:space="preserve"> </w:t>
      </w:r>
      <w:r>
        <w:rPr>
          <w:rFonts w:hint="eastAsia"/>
        </w:rPr>
        <w:t xml:space="preserve">2005），此时</w:t>
      </w:r>
      <m:oMath>
        <m:r>
          <m:t>β</m:t>
        </m:r>
      </m:oMath>
      <w:r>
        <w:rPr>
          <w:rFonts w:hint="eastAsia"/>
        </w:rPr>
        <w:t xml:space="preserve">识别户内变异；其三，以线性概率模型（LPM）作稳健性检验。</w:t>
      </w:r>
    </w:p>
    <w:bookmarkEnd w:id="17"/>
    <w:bookmarkStart w:id="18" w:name="二基准结果"/>
    <w:p>
      <w:pPr>
        <w:pStyle w:val="Heading2"/>
      </w:pPr>
      <w:r>
        <w:rPr>
          <w:rFonts w:hint="eastAsia"/>
        </w:rPr>
        <w:t xml:space="preserve">（二）基准结果</w:t>
      </w:r>
    </w:p>
    <w:p>
      <w:pPr>
        <w:pStyle w:val="FirstParagraph"/>
      </w:pPr>
      <w:r>
        <w:rPr>
          <w:rFonts w:hint="eastAsia"/>
        </w:rPr>
        <w:t xml:space="preserve">表2报告主要估计结果。第（1）列基准logit中，收益差系数</w:t>
      </w:r>
      <m:oMath>
        <m:r>
          <m:t>β</m:t>
        </m:r>
        <m:r>
          <m:rPr>
            <m:sty m:val="p"/>
          </m:rPr>
          <m:t>=</m:t>
        </m:r>
        <m:r>
          <m:t>0.237</m:t>
        </m:r>
      </m:oMath>
      <w:r>
        <w:rPr>
          <w:rFonts w:hint="eastAsia"/>
        </w:rPr>
        <w:t xml:space="preserve">（村级聚类标准误0.131，10%水平显著），对应的平均边际效应为：补贴差每提高100元/亩，农户种植大豆的概率平均提高2.8个百分点。第（2）列LPM给出+3.1个百分点（5%水平显著），与logit边际效应高度一致。第（3）列CRE设定下，户内收益差系数升至0.779（10%水平显著），而户均值项为负，说明混合估计因”收益差长期偏低的户根本不种豆”的分选而低估了行为响应；以CRE系数计算，边际效应约为基准的2—3倍。谨慎起见，后文仿真采用较保守的基准系数。</w:t>
      </w:r>
    </w:p>
    <w:p>
      <w:pPr>
        <w:pStyle w:val="BodyText"/>
      </w:pPr>
      <w:r>
        <w:rPr>
          <w:rFonts w:hint="eastAsia"/>
        </w:rPr>
        <w:t xml:space="preserve">状态依赖是最稳健的发现：</w:t>
      </w:r>
      <m:oMath>
        <m:r>
          <m:t>γ</m:t>
        </m:r>
        <m:r>
          <m:rPr>
            <m:sty m:val="p"/>
          </m:rPr>
          <m:t>≈</m:t>
        </m:r>
        <m:r>
          <m:t>1.74</m:t>
        </m:r>
      </m:oMath>
      <w:r>
        <w:rPr>
          <w:rFonts w:hint="eastAsia"/>
        </w:rPr>
        <w:t xml:space="preserve">（1%水平显著），对应平均边际效应27个百分点——上年种豆使本年续种概率提高27个百分点，且该系数在CRE设定下几乎不变，说明其主要反映真实状态依赖而非异质性分选。村内同伴份额系数为正（2.7—3.9），在CRE设定下10%水平显著，提示存在邻里示范效应，但受限于样本村数，证据强度有限。经营规模显著为正：</w:t>
      </w:r>
      <m:oMath>
        <m:r>
          <m:rPr>
            <m:sty m:val="p"/>
          </m:rPr>
          <m:t>ln</m:t>
        </m:r>
        <m:r>
          <m:t>B</m:t>
        </m:r>
      </m:oMath>
      <w:r>
        <w:rPr>
          <w:rFonts w:hint="eastAsia"/>
        </w:rPr>
        <w:t xml:space="preserve">系数约0.49（1%水平显著），规模较大的农户更可能种植大豆。</w:t>
      </w:r>
    </w:p>
    <w:p>
      <w:pPr>
        <w:pStyle w:val="BodyText"/>
      </w:pPr>
      <w:r>
        <w:rPr>
          <w:rFonts w:hint="eastAsia"/>
        </w:rPr>
        <w:t xml:space="preserve">第（4）列将</w:t>
      </w:r>
      <m:oMath>
        <m:r>
          <m:rPr>
            <m:sty m:val="p"/>
          </m:rPr>
          <m:t>Δ</m:t>
        </m:r>
        <m:r>
          <m:t>π</m:t>
        </m:r>
      </m:oMath>
      <w:r>
        <w:rPr>
          <w:rFonts w:hint="eastAsia"/>
        </w:rPr>
        <w:t xml:space="preserve">分解为市场收益差与补贴差分别进入方程：市场差系数0.323（1%水平显著），补贴差系数0.137但标准误很大（0.521）——原因在于补贴标准为省级统一，县内横截面无变异，仅有三个年度的时间变异且与年份效应高度共线，识别功率不足；Wald检验不能拒绝两系数相等（p&gt;0.7），与”农户按元对元评价收益”的假设不矛盾。第（5）列份额方程中，收益差系数0.178（10%水平显著）：补贴差提高100元/亩使参与户的大豆份额均值提高约2.7个百分点；</w:t>
      </w:r>
      <m:oMath>
        <m:r>
          <m:rPr>
            <m:sty m:val="p"/>
          </m:rPr>
          <m:t>ln</m:t>
        </m:r>
        <m:r>
          <m:t>B</m:t>
        </m:r>
      </m:oMath>
      <w:r>
        <w:rPr>
          <w:rFonts w:hint="eastAsia"/>
        </w:rPr>
        <w:t xml:space="preserve">系数显著为负，即小农户一旦种豆倾向于把更大比例土地投入大豆，而大户多为”玉米为主+部分地块试种大豆”的组合。</w:t>
      </w:r>
    </w:p>
    <w:p>
      <w:pPr>
        <w:pStyle w:val="BodyText"/>
      </w:pPr>
      <w:r>
        <w:rPr>
          <w:rFonts w:hint="eastAsia"/>
          <w:b/>
          <w:bCs/>
        </w:rPr>
        <w:t xml:space="preserve">表2</w:t>
      </w:r>
      <w:r>
        <w:rPr>
          <w:b/>
          <w:bCs/>
        </w:rPr>
        <w:t xml:space="preserve"> </w:t>
      </w:r>
      <w:r>
        <w:rPr>
          <w:rFonts w:hint="eastAsia"/>
          <w:b/>
          <w:bCs/>
        </w:rPr>
        <w:t xml:space="preserve">农户大豆种植决策的估计结果</w:t>
      </w:r>
    </w:p>
    <w:tbl>
      <w:tblPr>
        <w:tblStyle w:val="Table"/>
        <w:tblW w:type="pct" w:w="5000"/>
        <w:tblLayout w:type="fixed"/>
        <w:tblLook w:firstRow="1" w:lastRow="0" w:firstColumn="0" w:lastColumn="0" w:noHBand="0" w:noVBand="0" w:val="0020"/>
      </w:tblPr>
      <w:tblGrid>
        <w:gridCol w:w="650"/>
        <w:gridCol w:w="1301"/>
        <w:gridCol w:w="1193"/>
        <w:gridCol w:w="1518"/>
        <w:gridCol w:w="1518"/>
        <w:gridCol w:w="1735"/>
      </w:tblGrid>
      <w:tr>
        <w:trPr>
          <w:tblHeader w:val="on"/>
        </w:trPr>
        <w:tc>
          <w:tcPr/>
          <w:p>
            <w:pPr>
              <w:pStyle w:val="Compact"/>
            </w:pPr>
            <w:r>
              <w:rPr>
                <w:rFonts w:hint="eastAsia"/>
              </w:rPr>
              <w:t xml:space="preserve">变量</w:t>
            </w:r>
          </w:p>
        </w:tc>
        <w:tc>
          <w:tcPr/>
          <w:p>
            <w:pPr>
              <w:pStyle w:val="Compact"/>
            </w:pPr>
            <w:r>
              <w:rPr>
                <w:rFonts w:hint="eastAsia"/>
              </w:rPr>
              <w:t xml:space="preserve">(1)logit参与</w:t>
            </w:r>
          </w:p>
        </w:tc>
        <w:tc>
          <w:tcPr/>
          <w:p>
            <w:pPr>
              <w:pStyle w:val="Compact"/>
            </w:pPr>
            <w:r>
              <w:rPr>
                <w:rFonts w:hint="eastAsia"/>
              </w:rPr>
              <w:t xml:space="preserve">(2)LPM参与</w:t>
            </w:r>
          </w:p>
        </w:tc>
        <w:tc>
          <w:tcPr/>
          <w:p>
            <w:pPr>
              <w:pStyle w:val="Compact"/>
            </w:pPr>
            <w:r>
              <w:t xml:space="preserve">(3)CRE logit</w:t>
            </w:r>
          </w:p>
        </w:tc>
        <w:tc>
          <w:tcPr/>
          <w:p>
            <w:pPr>
              <w:pStyle w:val="Compact"/>
            </w:pPr>
            <w:r>
              <w:rPr>
                <w:rFonts w:hint="eastAsia"/>
              </w:rPr>
              <w:t xml:space="preserve">(4)分解logit</w:t>
            </w:r>
          </w:p>
        </w:tc>
        <w:tc>
          <w:tcPr/>
          <w:p>
            <w:pPr>
              <w:pStyle w:val="Compact"/>
            </w:pPr>
            <w:r>
              <w:rPr>
                <w:rFonts w:hint="eastAsia"/>
              </w:rPr>
              <w:t xml:space="preserve">(5)分数logit份额</w:t>
            </w:r>
          </w:p>
        </w:tc>
      </w:tr>
      <w:tr>
        <w:tc>
          <w:tcPr/>
          <w:p>
            <w:pPr>
              <w:pStyle w:val="Compact"/>
            </w:pPr>
            <w:r>
              <w:t xml:space="preserve">Δπ/100</w:t>
            </w:r>
          </w:p>
        </w:tc>
        <w:tc>
          <w:tcPr/>
          <w:p>
            <w:pPr>
              <w:pStyle w:val="Compact"/>
            </w:pPr>
            <w:r>
              <w:t xml:space="preserve">0.237* (0.131)</w:t>
            </w:r>
          </w:p>
        </w:tc>
        <w:tc>
          <w:tcPr/>
          <w:p>
            <w:pPr>
              <w:pStyle w:val="Compact"/>
            </w:pPr>
            <w:r>
              <w:t xml:space="preserve">0.031** (0.013)</w:t>
            </w:r>
          </w:p>
        </w:tc>
        <w:tc>
          <w:tcPr/>
          <w:p>
            <w:pPr>
              <w:pStyle w:val="Compact"/>
            </w:pPr>
            <w:r>
              <w:t xml:space="preserve">0.779* (0.436)</w:t>
            </w:r>
          </w:p>
        </w:tc>
        <w:tc>
          <w:tcPr/>
          <w:p>
            <w:pPr>
              <w:pStyle w:val="Compact"/>
            </w:pPr>
            <w:r>
              <w:t xml:space="preserve">—</w:t>
            </w:r>
          </w:p>
        </w:tc>
        <w:tc>
          <w:tcPr/>
          <w:p>
            <w:pPr>
              <w:pStyle w:val="Compact"/>
            </w:pPr>
            <w:r>
              <w:t xml:space="preserve">0.178* (0.095)</w:t>
            </w:r>
          </w:p>
        </w:tc>
      </w:tr>
      <w:tr>
        <w:tc>
          <w:tcPr/>
          <w:p>
            <w:pPr>
              <w:pStyle w:val="Compact"/>
            </w:pPr>
            <w:r>
              <w:t xml:space="preserve">Δπ^mkt/100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0.323*** (0.101)</w:t>
            </w:r>
          </w:p>
        </w:tc>
        <w:tc>
          <w:tcPr/>
          <w:p>
            <w:pPr>
              <w:pStyle w:val="Compact"/>
            </w:pPr>
            <w:r>
              <w:t xml:space="preserve">—</w:t>
            </w:r>
          </w:p>
        </w:tc>
      </w:tr>
      <w:tr>
        <w:tc>
          <w:tcPr/>
          <w:p>
            <w:pPr>
              <w:pStyle w:val="Compact"/>
            </w:pPr>
            <w:r>
              <w:t xml:space="preserve">Δπ^sub/100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0.137 (0.521)</w:t>
            </w:r>
          </w:p>
        </w:tc>
        <w:tc>
          <w:tcPr/>
          <w:p>
            <w:pPr>
              <w:pStyle w:val="Compact"/>
            </w:pPr>
            <w:r>
              <w:t xml:space="preserve">—</w:t>
            </w:r>
          </w:p>
        </w:tc>
      </w:tr>
      <w:tr>
        <w:tc>
          <w:tcPr/>
          <w:p>
            <w:pPr>
              <w:pStyle w:val="Compact"/>
            </w:pPr>
            <w:r>
              <w:rPr>
                <w:rFonts w:hint="eastAsia"/>
              </w:rPr>
              <w:t xml:space="preserve">Δπ/100户均值</w:t>
            </w:r>
          </w:p>
        </w:tc>
        <w:tc>
          <w:tcPr/>
          <w:p>
            <w:pPr>
              <w:pStyle w:val="Compact"/>
            </w:pPr>
            <w:r>
              <w:t xml:space="preserve">—</w:t>
            </w:r>
          </w:p>
        </w:tc>
        <w:tc>
          <w:tcPr/>
          <w:p>
            <w:pPr>
              <w:pStyle w:val="Compact"/>
            </w:pPr>
            <w:r>
              <w:t xml:space="preserve">—</w:t>
            </w:r>
          </w:p>
        </w:tc>
        <w:tc>
          <w:tcPr/>
          <w:p>
            <w:pPr>
              <w:pStyle w:val="Compact"/>
            </w:pPr>
            <w:r>
              <w:t xml:space="preserve">-0.635 (0.423)</w:t>
            </w:r>
          </w:p>
        </w:tc>
        <w:tc>
          <w:tcPr/>
          <w:p>
            <w:pPr>
              <w:pStyle w:val="Compact"/>
            </w:pPr>
            <w:r>
              <w:t xml:space="preserve">—</w:t>
            </w:r>
          </w:p>
        </w:tc>
        <w:tc>
          <w:tcPr/>
          <w:p>
            <w:pPr>
              <w:pStyle w:val="Compact"/>
            </w:pPr>
            <w:r>
              <w:t xml:space="preserve">—</w:t>
            </w:r>
          </w:p>
        </w:tc>
      </w:tr>
      <w:tr>
        <w:tc>
          <w:tcPr/>
          <w:p>
            <w:pPr>
              <w:pStyle w:val="Compact"/>
            </w:pPr>
            <w:r>
              <w:rPr>
                <w:rFonts w:hint="eastAsia"/>
              </w:rPr>
              <w:t xml:space="preserve">上年种豆</w:t>
            </w:r>
            <w:r>
              <w:t xml:space="preserve"> D(t-1)</w:t>
            </w:r>
          </w:p>
        </w:tc>
        <w:tc>
          <w:tcPr/>
          <w:p>
            <w:pPr>
              <w:pStyle w:val="Compact"/>
            </w:pPr>
            <w:r>
              <w:t xml:space="preserve">1.738*** (0.539)</w:t>
            </w:r>
          </w:p>
        </w:tc>
        <w:tc>
          <w:tcPr/>
          <w:p>
            <w:pPr>
              <w:pStyle w:val="Compact"/>
            </w:pPr>
            <w:r>
              <w:t xml:space="preserve">0.334*** (0.086)</w:t>
            </w:r>
          </w:p>
        </w:tc>
        <w:tc>
          <w:tcPr/>
          <w:p>
            <w:pPr>
              <w:pStyle w:val="Compact"/>
            </w:pPr>
            <w:r>
              <w:t xml:space="preserve">1.750*** (0.464)</w:t>
            </w:r>
          </w:p>
        </w:tc>
        <w:tc>
          <w:tcPr/>
          <w:p>
            <w:pPr>
              <w:pStyle w:val="Compact"/>
            </w:pPr>
            <w:r>
              <w:t xml:space="preserve">1.743*** (0.519)</w:t>
            </w:r>
          </w:p>
        </w:tc>
        <w:tc>
          <w:tcPr/>
          <w:p>
            <w:pPr>
              <w:pStyle w:val="Compact"/>
            </w:pPr>
            <w:r>
              <w:t xml:space="preserve">—</w:t>
            </w:r>
          </w:p>
        </w:tc>
      </w:tr>
      <w:tr>
        <w:tc>
          <w:tcPr/>
          <w:p>
            <w:pPr>
              <w:pStyle w:val="Compact"/>
            </w:pPr>
            <w:r>
              <w:rPr>
                <w:rFonts w:hint="eastAsia"/>
              </w:rPr>
              <w:t xml:space="preserve">上年份额</w:t>
            </w:r>
            <w:r>
              <w:t xml:space="preserve"> s(t-1)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0.367 (0.558)</w:t>
            </w:r>
          </w:p>
        </w:tc>
      </w:tr>
      <w:tr>
        <w:tc>
          <w:tcPr/>
          <w:p>
            <w:pPr>
              <w:pStyle w:val="Compact"/>
            </w:pPr>
            <w:r>
              <w:rPr>
                <w:rFonts w:hint="eastAsia"/>
              </w:rPr>
              <w:t xml:space="preserve">村内同伴份额（滞后）</w:t>
            </w:r>
          </w:p>
        </w:tc>
        <w:tc>
          <w:tcPr/>
          <w:p>
            <w:pPr>
              <w:pStyle w:val="Compact"/>
            </w:pPr>
            <w:r>
              <w:t xml:space="preserve">2.686 (1.740)</w:t>
            </w:r>
          </w:p>
        </w:tc>
        <w:tc>
          <w:tcPr/>
          <w:p>
            <w:pPr>
              <w:pStyle w:val="Compact"/>
            </w:pPr>
            <w:r>
              <w:t xml:space="preserve">0.254 (0.301)</w:t>
            </w:r>
          </w:p>
        </w:tc>
        <w:tc>
          <w:tcPr/>
          <w:p>
            <w:pPr>
              <w:pStyle w:val="Compact"/>
            </w:pPr>
            <w:r>
              <w:t xml:space="preserve">3.876* (2.192)</w:t>
            </w:r>
          </w:p>
        </w:tc>
        <w:tc>
          <w:tcPr/>
          <w:p>
            <w:pPr>
              <w:pStyle w:val="Compact"/>
            </w:pPr>
            <w:r>
              <w:t xml:space="preserve">1.619 (2.577)</w:t>
            </w:r>
          </w:p>
        </w:tc>
        <w:tc>
          <w:tcPr/>
          <w:p>
            <w:pPr>
              <w:pStyle w:val="Compact"/>
            </w:pPr>
            <w:r>
              <w:t xml:space="preserve">—</w:t>
            </w:r>
          </w:p>
        </w:tc>
      </w:tr>
      <w:tr>
        <w:tc>
          <w:tcPr/>
          <w:p>
            <w:pPr>
              <w:pStyle w:val="Compact"/>
            </w:pPr>
            <w:r>
              <w:t xml:space="preserve">ln B</w:t>
            </w:r>
          </w:p>
        </w:tc>
        <w:tc>
          <w:tcPr/>
          <w:p>
            <w:pPr>
              <w:pStyle w:val="Compact"/>
            </w:pPr>
            <w:r>
              <w:t xml:space="preserve">0.488*** (0.175)</w:t>
            </w:r>
          </w:p>
        </w:tc>
        <w:tc>
          <w:tcPr/>
          <w:p>
            <w:pPr>
              <w:pStyle w:val="Compact"/>
            </w:pPr>
            <w:r>
              <w:t xml:space="preserve">0.034* (0.019)</w:t>
            </w:r>
          </w:p>
        </w:tc>
        <w:tc>
          <w:tcPr/>
          <w:p>
            <w:pPr>
              <w:pStyle w:val="Compact"/>
            </w:pPr>
            <w:r>
              <w:t xml:space="preserve">0.509*** (0.195)</w:t>
            </w:r>
          </w:p>
        </w:tc>
        <w:tc>
          <w:tcPr/>
          <w:p>
            <w:pPr>
              <w:pStyle w:val="Compact"/>
            </w:pPr>
            <w:r>
              <w:t xml:space="preserve">0.446*** (0.171)</w:t>
            </w:r>
          </w:p>
        </w:tc>
        <w:tc>
          <w:tcPr/>
          <w:p>
            <w:pPr>
              <w:pStyle w:val="Compact"/>
            </w:pPr>
            <w:r>
              <w:t xml:space="preserve">-0.685*** (0.246)</w:t>
            </w:r>
          </w:p>
        </w:tc>
      </w:tr>
      <w:tr>
        <w:tc>
          <w:tcPr/>
          <w:p>
            <w:pPr>
              <w:pStyle w:val="Compact"/>
            </w:pPr>
            <w:r>
              <w:rPr>
                <w:rFonts w:hint="eastAsia"/>
              </w:rPr>
              <w:t xml:space="preserve">县、年份固定效应</w:t>
            </w:r>
          </w:p>
        </w:tc>
        <w:tc>
          <w:tcPr/>
          <w:p>
            <w:pPr>
              <w:pStyle w:val="Compact"/>
            </w:pPr>
            <w:r>
              <w:rPr>
                <w:rFonts w:hint="eastAsia"/>
              </w:rPr>
              <w:t xml:space="preserve">是</w:t>
            </w:r>
          </w:p>
        </w:tc>
        <w:tc>
          <w:tcPr/>
          <w:p>
            <w:pPr>
              <w:pStyle w:val="Compact"/>
            </w:pPr>
            <w:r>
              <w:rPr>
                <w:rFonts w:hint="eastAsia"/>
              </w:rPr>
              <w:t xml:space="preserve">是</w:t>
            </w:r>
          </w:p>
        </w:tc>
        <w:tc>
          <w:tcPr/>
          <w:p>
            <w:pPr>
              <w:pStyle w:val="Compact"/>
            </w:pPr>
            <w:r>
              <w:rPr>
                <w:rFonts w:hint="eastAsia"/>
              </w:rPr>
              <w:t xml:space="preserve">是</w:t>
            </w:r>
          </w:p>
        </w:tc>
        <w:tc>
          <w:tcPr/>
          <w:p>
            <w:pPr>
              <w:pStyle w:val="Compact"/>
            </w:pPr>
            <w:r>
              <w:rPr>
                <w:rFonts w:hint="eastAsia"/>
              </w:rPr>
              <w:t xml:space="preserve">县</w:t>
            </w:r>
          </w:p>
        </w:tc>
        <w:tc>
          <w:tcPr/>
          <w:p>
            <w:pPr>
              <w:pStyle w:val="Compact"/>
            </w:pPr>
            <w:r>
              <w:rPr>
                <w:rFonts w:hint="eastAsia"/>
              </w:rPr>
              <w:t xml:space="preserve">是</w:t>
            </w:r>
          </w:p>
        </w:tc>
      </w:tr>
      <w:tr>
        <w:tc>
          <w:tcPr/>
          <w:p>
            <w:pPr>
              <w:pStyle w:val="Compact"/>
            </w:pPr>
            <w:r>
              <w:rPr>
                <w:rFonts w:hint="eastAsia"/>
              </w:rPr>
              <w:t xml:space="preserve">样本量</w:t>
            </w:r>
          </w:p>
        </w:tc>
        <w:tc>
          <w:tcPr/>
          <w:p>
            <w:pPr>
              <w:pStyle w:val="Compact"/>
            </w:pPr>
            <w:r>
              <w:t xml:space="preserve">300</w:t>
            </w:r>
          </w:p>
        </w:tc>
        <w:tc>
          <w:tcPr/>
          <w:p>
            <w:pPr>
              <w:pStyle w:val="Compact"/>
            </w:pPr>
            <w:r>
              <w:t xml:space="preserve">496</w:t>
            </w:r>
          </w:p>
        </w:tc>
        <w:tc>
          <w:tcPr/>
          <w:p>
            <w:pPr>
              <w:pStyle w:val="Compact"/>
            </w:pPr>
            <w:r>
              <w:t xml:space="preserve">300</w:t>
            </w:r>
          </w:p>
        </w:tc>
        <w:tc>
          <w:tcPr/>
          <w:p>
            <w:pPr>
              <w:pStyle w:val="Compact"/>
            </w:pPr>
            <w:r>
              <w:t xml:space="preserve">300</w:t>
            </w:r>
          </w:p>
        </w:tc>
        <w:tc>
          <w:tcPr/>
          <w:p>
            <w:pPr>
              <w:pStyle w:val="Compact"/>
            </w:pPr>
            <w:r>
              <w:t xml:space="preserve">58</w:t>
            </w:r>
          </w:p>
        </w:tc>
      </w:tr>
    </w:tbl>
    <w:p>
      <w:pPr>
        <w:pStyle w:val="BodyText"/>
      </w:pPr>
      <w:r>
        <w:rPr>
          <w:rFonts w:hint="eastAsia"/>
        </w:rPr>
        <w:t xml:space="preserve">注：括号内为村级聚类稳健标准误；*、**、***分别表示10%、5%、1%水平显著。列(1)(3)(4)剔除结构性零参与的双城区；列(2)为全样本；列(5)为种豆户样本。各列均控制户主年龄、受教育年限、家庭劳动力人数及缺失指示变量，系数从略。</w:t>
      </w:r>
    </w:p>
    <w:bookmarkEnd w:id="18"/>
    <w:bookmarkStart w:id="19" w:name="三规模异质性"/>
    <w:p>
      <w:pPr>
        <w:pStyle w:val="Heading2"/>
      </w:pPr>
      <w:r>
        <w:rPr>
          <w:rFonts w:hint="eastAsia"/>
        </w:rPr>
        <w:t xml:space="preserve">（三）规模异质性</w:t>
      </w:r>
    </w:p>
    <w:p>
      <w:pPr>
        <w:pStyle w:val="FirstParagraph"/>
      </w:pPr>
      <w:r>
        <w:rPr>
          <w:rFonts w:hint="eastAsia"/>
        </w:rPr>
        <w:t xml:space="preserve">将估计样本按经营规模三等分（切点约20亩与64亩）与</w:t>
      </w:r>
      <m:oMath>
        <m:r>
          <m:rPr>
            <m:sty m:val="p"/>
          </m:rPr>
          <m:t>Δ</m:t>
        </m:r>
        <m:r>
          <m:t>π</m:t>
        </m:r>
      </m:oMath>
      <w:r>
        <w:rPr>
          <w:rFonts w:hint="eastAsia"/>
        </w:rPr>
        <w:t xml:space="preserve">交互，小、中、大规模组的收益差平均边际效应分别为+0.6、+1.7和+5.4个百分点/百元——大规模农户对补贴的响应约为小规模农户的8倍。交互项逐项检验虽不显著（样本量所限），但边际效应的单调梯度清晰。其经济逻辑直接：规模户面临实打实的比较收益核算与轮作倒茬需求，而小规模口粮户的种植结构对边际收益变化不敏感。这一异质性意味着，扩种增量将主要来自规模经营主体，补贴宣传与配套服务向规模户和新型经营主体倾斜可以提高政策效率。</w:t>
      </w:r>
    </w:p>
    <w:bookmarkEnd w:id="19"/>
    <w:bookmarkStart w:id="20" w:name="四稳健性与识别问题讨论"/>
    <w:p>
      <w:pPr>
        <w:pStyle w:val="Heading2"/>
      </w:pPr>
      <w:r>
        <w:rPr>
          <w:rFonts w:hint="eastAsia"/>
        </w:rPr>
        <w:t xml:space="preserve">（四）稳健性与识别问题讨论</w:t>
      </w:r>
    </w:p>
    <w:p>
      <w:pPr>
        <w:pStyle w:val="FirstParagraph"/>
      </w:pPr>
      <w:r>
        <w:rPr>
          <w:rFonts w:hint="eastAsia"/>
        </w:rPr>
        <w:t xml:space="preserve">本文的识别依赖于</w:t>
      </w:r>
      <m:oMath>
        <m:r>
          <m:rPr>
            <m:sty m:val="p"/>
          </m:rPr>
          <m:t>Δ</m:t>
        </m:r>
        <m:sSub>
          <m:e>
            <m:r>
              <m:t>π</m:t>
            </m:r>
          </m:e>
          <m:sub>
            <m:r>
              <m:t>i</m:t>
            </m:r>
            <m:r>
              <m:t>t</m:t>
            </m:r>
          </m:sub>
        </m:sSub>
      </m:oMath>
      <w:r>
        <w:rPr>
          <w:rFonts w:hint="eastAsia"/>
        </w:rPr>
        <w:t xml:space="preserve">的户间与时间变异在控制县、年固定效应后的外生性。三点讨论如下。第一，价格与成本按县×上一年中位数构造、单产按收缩的历史均值构造，均不含农户当年选择的信息，反向因果渠道被排除；单个农户对县域价格无市场势力。第二，遗漏变量方面，CRE设定吸收了与收益差均值相关的户固定异质性，主系数反而变大，说明遗漏偏误方向是低估而非高估。第三，同伴效应采用滞后的leave-one-out构造，缓解同期反射问题，但村层面共同冲击仍可能造成高估，故本文不对该系数作因果解读，在ABM中仅将其作为扩散机制的保守参数。此外，以16—100岁合理域清洗户主年龄、变换收缩参数</w:t>
      </w:r>
      <m:oMath>
        <m:r>
          <m:t>K</m:t>
        </m:r>
        <m:r>
          <m:rPr>
            <m:sty m:val="p"/>
          </m:rPr>
          <m:t>∈</m:t>
        </m:r>
        <m:r>
          <m:rPr>
            <m:sty m:val="p"/>
          </m:rPr>
          <m:t>{</m:t>
        </m:r>
        <m:r>
          <m:t>1</m:t>
        </m:r>
        <m:r>
          <m:rPr>
            <m:sty m:val="p"/>
          </m:rPr>
          <m:t>,</m:t>
        </m:r>
        <m:r>
          <m:t>3</m:t>
        </m:r>
        <m:r>
          <m:rPr>
            <m:sty m:val="p"/>
          </m:rPr>
          <m:t>}</m:t>
        </m:r>
      </m:oMath>
      <w:r>
        <w:rPr>
          <w:rFonts w:hint="eastAsia"/>
        </w:rPr>
        <w:t xml:space="preserve">、以2000亩为面积截断上限等数据处理选择均不改变核心结论。</w:t>
      </w:r>
    </w:p>
    <w:bookmarkEnd w:id="20"/>
    <w:bookmarkEnd w:id="21"/>
    <w:bookmarkStart w:id="24" w:name="五主体建模仿真结构校准与验证"/>
    <w:p>
      <w:pPr>
        <w:pStyle w:val="Heading1"/>
      </w:pPr>
      <w:r>
        <w:rPr>
          <w:rFonts w:hint="eastAsia"/>
        </w:rPr>
        <w:t xml:space="preserve">五、主体建模仿真：结构、校准与验证</w:t>
      </w:r>
    </w:p>
    <w:bookmarkStart w:id="22" w:name="一模型结构"/>
    <w:p>
      <w:pPr>
        <w:pStyle w:val="Heading2"/>
      </w:pPr>
      <w:r>
        <w:rPr>
          <w:rFonts w:hint="eastAsia"/>
        </w:rPr>
        <w:t xml:space="preserve">（一）模型结构</w:t>
      </w:r>
    </w:p>
    <w:p>
      <w:pPr>
        <w:pStyle w:val="FirstParagraph"/>
      </w:pPr>
      <w:r>
        <w:rPr>
          <w:rFonts w:hint="eastAsia"/>
        </w:rPr>
        <w:t xml:space="preserve">ABM以估计样本中366个真实农户为主体（含其县域、村庄、经营规模、户主特征、潜在单产与2024年种植状态），年度时序推进，每个政策情景运行300次蒙特卡洛副本。在年份</w:t>
      </w:r>
      <m:oMath>
        <m:r>
          <m:t>t</m:t>
        </m:r>
      </m:oMath>
      <w:r>
        <w:rPr>
          <w:rFonts w:hint="eastAsia"/>
        </w:rPr>
        <w:t xml:space="preserve">，农户</w:t>
      </w:r>
      <m:oMath>
        <m:r>
          <m:t>i</m:t>
        </m:r>
      </m:oMath>
      <w:r>
        <w:rPr>
          <w:rFonts w:hint="eastAsia"/>
        </w:rPr>
        <w:t xml:space="preserve">在副本</w:t>
      </w:r>
      <m:oMath>
        <m:r>
          <m:t>m</m:t>
        </m:r>
      </m:oMath>
      <w:r>
        <w:rPr>
          <w:rFonts w:hint="eastAsia"/>
        </w:rPr>
        <w:t xml:space="preserve">中的参与决策由潜在指数驱动：</w:t>
      </w:r>
    </w:p>
    <w:p>
      <w:pPr>
        <w:pStyle w:val="BodyText"/>
      </w:pPr>
      <m:oMathPara>
        <m:oMathParaPr>
          <m:jc m:val="center"/>
        </m:oMathParaPr>
        <m:oMath>
          <m:sSub>
            <m:e>
              <m:r>
                <m:t>D</m:t>
              </m:r>
            </m:e>
            <m:sub>
              <m:r>
                <m:t>i</m:t>
              </m:r>
              <m:r>
                <m:t>m</m:t>
              </m:r>
              <m:r>
                <m:t>t</m:t>
              </m:r>
            </m:sub>
          </m:sSub>
          <m:r>
            <m:rPr>
              <m:sty m:val="p"/>
            </m:rPr>
            <m:t>=</m:t>
          </m:r>
          <m:r>
            <m:rPr>
              <m:sty m:val="b"/>
            </m:rPr>
            <m:t>1</m:t>
          </m:r>
          <m:d>
            <m:dPr>
              <m:begChr m:val="{"/>
              <m:sepChr m:val=""/>
              <m:endChr m:val="}"/>
              <m:grow/>
            </m:dPr>
            <m:e>
              <m:sSub>
                <m:e>
                  <m:r>
                    <m:t>u</m:t>
                  </m:r>
                </m:e>
                <m:sub>
                  <m:r>
                    <m:t>i</m:t>
                  </m:r>
                  <m:r>
                    <m:t>m</m:t>
                  </m:r>
                  <m:r>
                    <m:t>t</m:t>
                  </m:r>
                </m:sub>
              </m:sSub>
              <m:r>
                <m:rPr>
                  <m:sty m:val="p"/>
                </m:rPr>
                <m:t>&lt;</m:t>
              </m:r>
              <m:r>
                <m:rPr>
                  <m:sty m:val="p"/>
                </m:rPr>
                <m:t>Λ</m:t>
              </m:r>
              <m:d>
                <m:dPr>
                  <m:begChr m:val="("/>
                  <m:sepChr m:val=""/>
                  <m:endChr m:val=")"/>
                  <m:grow/>
                </m:dPr>
                <m:e>
                  <m:sSubSup>
                    <m:e>
                      <m:r>
                        <m:rPr>
                          <m:sty m:val="bi"/>
                        </m:rPr>
                        <m:t>x</m:t>
                      </m:r>
                    </m:e>
                    <m:sub>
                      <m:r>
                        <m:t>i</m:t>
                      </m:r>
                      <m:r>
                        <m:t>m</m:t>
                      </m:r>
                      <m:r>
                        <m:t>t</m:t>
                      </m:r>
                    </m:sub>
                    <m:sup>
                      <m:r>
                        <m:rPr>
                          <m:sty m:val="p"/>
                        </m:rPr>
                        <m:t>′</m:t>
                      </m:r>
                    </m:sup>
                  </m:sSubSup>
                  <m:sSub>
                    <m:e>
                      <m:acc>
                        <m:accPr>
                          <m:chr m:val="̂"/>
                        </m:accPr>
                        <m:e>
                          <m:r>
                            <m:rPr>
                              <m:sty m:val="bi"/>
                            </m:rPr>
                            <m:t>β</m:t>
                          </m:r>
                        </m:e>
                      </m:acc>
                    </m:e>
                    <m:sub>
                      <m:r>
                        <m:t>m</m:t>
                      </m:r>
                    </m:sub>
                  </m:sSub>
                  <m:r>
                    <m:rPr>
                      <m:sty m:val="p"/>
                    </m:rPr>
                    <m:t>+</m:t>
                  </m:r>
                  <m:sSub>
                    <m:e>
                      <m:r>
                        <m:t>a</m:t>
                      </m:r>
                    </m:e>
                    <m:sub>
                      <m:r>
                        <m:t>i</m:t>
                      </m:r>
                      <m:r>
                        <m:t>m</m:t>
                      </m:r>
                    </m:sub>
                  </m:sSub>
                  <m:r>
                    <m:rPr>
                      <m:sty m:val="p"/>
                    </m:rPr>
                    <m:t>+</m:t>
                  </m:r>
                  <m:sSub>
                    <m:e>
                      <m:r>
                        <m:t>η</m:t>
                      </m:r>
                    </m:e>
                    <m:sub>
                      <m:r>
                        <m:t>m</m:t>
                      </m:r>
                      <m:r>
                        <m:t>t</m:t>
                      </m:r>
                    </m:sub>
                  </m:sSub>
                  <m:r>
                    <m:rPr>
                      <m:sty m:val="p"/>
                    </m:rPr>
                    <m:t>+</m:t>
                  </m:r>
                  <m:r>
                    <m:t>κ</m:t>
                  </m:r>
                </m:e>
              </m:d>
            </m:e>
          </m:d>
          <m:r>
            <m:rPr>
              <m:sty m:val="p"/>
            </m:rPr>
            <m:t>,</m:t>
          </m:r>
          <m:r>
            <m:t>  </m:t>
          </m:r>
          <m:sSub>
            <m:e>
              <m:r>
                <m:t>u</m:t>
              </m:r>
            </m:e>
            <m:sub>
              <m:r>
                <m:t>i</m:t>
              </m:r>
              <m:r>
                <m:t>m</m:t>
              </m:r>
              <m:r>
                <m:t>t</m:t>
              </m:r>
            </m:sub>
          </m:sSub>
          <m:r>
            <m:rPr>
              <m:sty m:val="p"/>
            </m:rPr>
            <m:t>∼</m:t>
          </m:r>
          <m:r>
            <m:t>U</m:t>
          </m:r>
          <m:r>
            <m:rPr>
              <m:sty m:val="p"/>
            </m:rPr>
            <m:t>(</m:t>
          </m:r>
          <m:r>
            <m:t>0</m:t>
          </m:r>
          <m:r>
            <m:rPr>
              <m:sty m:val="p"/>
            </m:rPr>
            <m:t>,</m:t>
          </m:r>
          <m:r>
            <m:t>1</m:t>
          </m:r>
          <m:r>
            <m:rPr>
              <m:sty m:val="p"/>
            </m:rPr>
            <m:t>)</m:t>
          </m:r>
          <m:r>
            <m:t>  </m:t>
          </m:r>
          <m:r>
            <m:rPr>
              <m:sty m:val="p"/>
            </m:rPr>
            <m:t>(</m:t>
          </m:r>
          <m:r>
            <m:t>5</m:t>
          </m:r>
          <m:r>
            <m:rPr>
              <m:sty m:val="p"/>
            </m:rPr>
            <m:t>)</m:t>
          </m:r>
        </m:oMath>
      </m:oMathPara>
    </w:p>
    <w:p>
      <w:pPr>
        <w:pStyle w:val="FirstParagraph"/>
      </w:pPr>
      <w:r>
        <w:rPr>
          <w:rFonts w:hint="eastAsia"/>
        </w:rPr>
        <w:t xml:space="preserve">其中</w:t>
      </w:r>
      <m:oMath>
        <m:sSub>
          <m:e>
            <m:r>
              <m:rPr>
                <m:sty m:val="bi"/>
              </m:rPr>
              <m:t>x</m:t>
            </m:r>
          </m:e>
          <m:sub>
            <m:r>
              <m:t>i</m:t>
            </m:r>
            <m:r>
              <m:t>m</m:t>
            </m:r>
            <m:r>
              <m:t>t</m:t>
            </m:r>
          </m:sub>
        </m:sSub>
      </m:oMath>
      <w:r>
        <w:rPr>
          <w:rFonts w:hint="eastAsia"/>
        </w:rPr>
        <w:t xml:space="preserve">包含当期</w:t>
      </w:r>
      <m:oMath>
        <m:r>
          <m:rPr>
            <m:sty m:val="p"/>
          </m:rPr>
          <m:t>Δ</m:t>
        </m:r>
        <m:sSub>
          <m:e>
            <m:r>
              <m:t>π</m:t>
            </m:r>
          </m:e>
          <m:sub>
            <m:r>
              <m:t>i</m:t>
            </m:r>
            <m:r>
              <m:t>m</m:t>
            </m:r>
            <m:r>
              <m:t>t</m:t>
            </m:r>
          </m:sub>
        </m:sSub>
      </m:oMath>
      <w:r>
        <w:rPr>
          <w:rFonts w:hint="eastAsia"/>
        </w:rPr>
        <w:t xml:space="preserve">、上期参与状态、上期村内同伴份额（按仿真状态内生更新）、户特征与县固定效应。模型的随机结构有四层：（1）参数不确定性——每个副本的系数向量</w:t>
      </w:r>
      <m:oMath>
        <m:sSub>
          <m:e>
            <m:acc>
              <m:accPr>
                <m:chr m:val="̂"/>
              </m:accPr>
              <m:e>
                <m:r>
                  <m:rPr>
                    <m:sty m:val="bi"/>
                  </m:rPr>
                  <m:t>β</m:t>
                </m:r>
              </m:e>
            </m:acc>
          </m:e>
          <m:sub>
            <m:r>
              <m:t>m</m:t>
            </m:r>
          </m:sub>
        </m:sSub>
      </m:oMath>
      <w:r>
        <w:rPr>
          <w:rFonts w:hint="eastAsia"/>
        </w:rPr>
        <w:t xml:space="preserve">从</w:t>
      </w:r>
      <m:oMath>
        <m:r>
          <m:t>N</m:t>
        </m:r>
        <m:r>
          <m:rPr>
            <m:sty m:val="p"/>
          </m:rPr>
          <m:t>(</m:t>
        </m:r>
        <m:acc>
          <m:accPr>
            <m:chr m:val="̂"/>
          </m:accPr>
          <m:e>
            <m:r>
              <m:rPr>
                <m:sty m:val="bi"/>
              </m:rPr>
              <m:t>β</m:t>
            </m:r>
          </m:e>
        </m:acc>
        <m:r>
          <m:rPr>
            <m:sty m:val="p"/>
          </m:rPr>
          <m:t>,</m:t>
        </m:r>
        <m:acc>
          <m:accPr>
            <m:chr m:val="̂"/>
          </m:accPr>
          <m:e>
            <m:r>
              <m:t>V</m:t>
            </m:r>
          </m:e>
        </m:acc>
        <m:r>
          <m:rPr>
            <m:sty m:val="p"/>
          </m:rPr>
          <m:t>)</m:t>
        </m:r>
      </m:oMath>
      <w:r>
        <w:rPr>
          <w:rFonts w:hint="eastAsia"/>
        </w:rPr>
        <w:t xml:space="preserve">抽取，</w:t>
      </w:r>
      <m:oMath>
        <m:acc>
          <m:accPr>
            <m:chr m:val="̂"/>
          </m:accPr>
          <m:e>
            <m:r>
              <m:t>V</m:t>
            </m:r>
          </m:e>
        </m:acc>
      </m:oMath>
      <w:r>
        <w:rPr>
          <w:rFonts w:hint="eastAsia"/>
        </w:rPr>
        <w:t xml:space="preserve">为村级聚类协方差矩阵，使政策结论反映估计误差；（2）未观测户异质性</w:t>
      </w:r>
      <m:oMath>
        <m:sSub>
          <m:e>
            <m:r>
              <m:t>a</m:t>
            </m:r>
          </m:e>
          <m:sub>
            <m:r>
              <m:t>i</m:t>
            </m:r>
            <m:r>
              <m:t>m</m:t>
            </m:r>
          </m:sub>
        </m:sSub>
        <m:r>
          <m:rPr>
            <m:sty m:val="p"/>
          </m:rPr>
          <m:t>∼</m:t>
        </m:r>
        <m:r>
          <m:t>N</m:t>
        </m:r>
        <m:r>
          <m:rPr>
            <m:sty m:val="p"/>
          </m:rPr>
          <m:t>(</m:t>
        </m:r>
        <m:r>
          <m:t>0</m:t>
        </m:r>
        <m:r>
          <m:rPr>
            <m:sty m:val="p"/>
          </m:rPr>
          <m:t>,</m:t>
        </m:r>
        <m:sSubSup>
          <m:e>
            <m:r>
              <m:t>σ</m:t>
            </m:r>
          </m:e>
          <m:sub>
            <m:r>
              <m:t>a</m:t>
            </m:r>
          </m:sub>
          <m:sup>
            <m:r>
              <m:t>2</m:t>
            </m:r>
          </m:sup>
        </m:sSubSup>
        <m:r>
          <m:rPr>
            <m:sty m:val="p"/>
          </m:rPr>
          <m:t>)</m:t>
        </m:r>
      </m:oMath>
      <w:r>
        <w:rPr>
          <w:rFonts w:hint="eastAsia"/>
        </w:rPr>
        <w:t xml:space="preserve">，</w:t>
      </w:r>
      <m:oMath>
        <m:sSub>
          <m:e>
            <m:r>
              <m:t>σ</m:t>
            </m:r>
          </m:e>
          <m:sub>
            <m:r>
              <m:t>a</m:t>
            </m:r>
          </m:sub>
        </m:sSub>
        <m:r>
          <m:rPr>
            <m:sty m:val="p"/>
          </m:rPr>
          <m:t>=</m:t>
        </m:r>
        <m:r>
          <m:t>0.5</m:t>
        </m:r>
      </m:oMath>
      <w:r>
        <w:rPr>
          <w:rFonts w:hint="eastAsia"/>
        </w:rPr>
        <w:t xml:space="preserve">；（3）宏观年度冲击</w:t>
      </w:r>
      <m:oMath>
        <m:sSub>
          <m:e>
            <m:r>
              <m:t>η</m:t>
            </m:r>
          </m:e>
          <m:sub>
            <m:r>
              <m:t>m</m:t>
            </m:r>
            <m:r>
              <m:t>t</m:t>
            </m:r>
          </m:sub>
        </m:sSub>
        <m:r>
          <m:rPr>
            <m:sty m:val="p"/>
          </m:rPr>
          <m:t>∼</m:t>
        </m:r>
        <m:r>
          <m:t>N</m:t>
        </m:r>
        <m:r>
          <m:rPr>
            <m:sty m:val="p"/>
          </m:rPr>
          <m:t>(</m:t>
        </m:r>
        <m:r>
          <m:t>0</m:t>
        </m:r>
        <m:r>
          <m:rPr>
            <m:sty m:val="p"/>
          </m:rPr>
          <m:t>,</m:t>
        </m:r>
        <m:sSubSup>
          <m:e>
            <m:r>
              <m:t>σ</m:t>
            </m:r>
          </m:e>
          <m:sub>
            <m:r>
              <m:t>m</m:t>
            </m:r>
            <m:r>
              <m:t>a</m:t>
            </m:r>
            <m:r>
              <m:t>c</m:t>
            </m:r>
            <m:r>
              <m:t>r</m:t>
            </m:r>
            <m:r>
              <m:t>o</m:t>
            </m:r>
          </m:sub>
          <m:sup>
            <m:r>
              <m:t>2</m:t>
            </m:r>
          </m:sup>
        </m:sSubSup>
        <m:r>
          <m:rPr>
            <m:sty m:val="p"/>
          </m:rPr>
          <m:t>)</m:t>
        </m:r>
      </m:oMath>
      <w:r>
        <w:rPr>
          <w:rFonts w:hint="eastAsia"/>
        </w:rPr>
        <w:t xml:space="preserve">，</w:t>
      </w:r>
      <m:oMath>
        <m:sSub>
          <m:e>
            <m:r>
              <m:t>σ</m:t>
            </m:r>
          </m:e>
          <m:sub>
            <m:r>
              <m:t>m</m:t>
            </m:r>
            <m:r>
              <m:t>a</m:t>
            </m:r>
            <m:r>
              <m:t>c</m:t>
            </m:r>
            <m:r>
              <m:t>r</m:t>
            </m:r>
            <m:r>
              <m:t>o</m:t>
            </m:r>
          </m:sub>
        </m:sSub>
        <m:r>
          <m:rPr>
            <m:sty m:val="p"/>
          </m:rPr>
          <m:t>=</m:t>
        </m:r>
        <m:r>
          <m:t>0.3</m:t>
        </m:r>
      </m:oMath>
      <w:r>
        <w:rPr>
          <w:rFonts w:hint="eastAsia"/>
        </w:rPr>
        <w:t xml:space="preserve">，刻画共同的政策与市场情绪波动；（4）参与户的份额由方程（4）的预测均值加观测残差标准差的扰动生成。</w:t>
      </w:r>
      <m:oMath>
        <m:r>
          <m:rPr>
            <m:sty m:val="p"/>
          </m:rPr>
          <m:t>Δ</m:t>
        </m:r>
        <m:sSub>
          <m:e>
            <m:r>
              <m:t>π</m:t>
            </m:r>
          </m:e>
          <m:sub>
            <m:r>
              <m:t>i</m:t>
            </m:r>
            <m:r>
              <m:t>m</m:t>
            </m:r>
            <m:r>
              <m:t>t</m:t>
            </m:r>
          </m:sub>
        </m:sSub>
      </m:oMath>
      <w:r>
        <w:rPr>
          <w:rFonts w:hint="eastAsia"/>
        </w:rPr>
        <w:t xml:space="preserve">按式（1）由情景给定的价格、成本与补贴路径逐期计算，其中单产含轮作农学反馈：上期大豆份额越高，本期大豆潜在单产因重迎茬效应下调（5%×上期份额）、玉米单产因轮作增产上调（同幅度）。轮作补贴只作用于新增大豆面积，按</w:t>
      </w:r>
      <m:oMath>
        <m:r>
          <m:rPr>
            <m:sty m:val="p"/>
          </m:rPr>
          <m:t>(</m:t>
        </m:r>
        <m:r>
          <m:t>1</m:t>
        </m:r>
        <m:r>
          <m:rPr>
            <m:sty m:val="p"/>
          </m:rPr>
          <m:t>−</m:t>
        </m:r>
        <m:sSub>
          <m:e>
            <m:r>
              <m:t>s</m:t>
            </m:r>
          </m:e>
          <m:sub>
            <m:r>
              <m:t>i</m:t>
            </m:r>
            <m:r>
              <m:rPr>
                <m:sty m:val="p"/>
              </m:rPr>
              <m:t>,</m:t>
            </m:r>
            <m:r>
              <m:t>t</m:t>
            </m:r>
            <m:r>
              <m:rPr>
                <m:sty m:val="p"/>
              </m:rPr>
              <m:t>−</m:t>
            </m:r>
            <m:r>
              <m:t>1</m:t>
            </m:r>
          </m:sub>
        </m:sSub>
        <m:r>
          <m:rPr>
            <m:sty m:val="p"/>
          </m:rPr>
          <m:t>)</m:t>
        </m:r>
      </m:oMath>
      <w:r>
        <w:rPr>
          <w:rFonts w:hint="eastAsia"/>
        </w:rPr>
        <w:t xml:space="preserve">折算进入边际决策的大豆预期收益。双城区农户设为结构性零参与，其面积保留在分母中，确保份额口径与观测一致。</w:t>
      </w:r>
    </w:p>
    <w:bookmarkEnd w:id="22"/>
    <w:bookmarkStart w:id="23" w:name="二校准与验证"/>
    <w:p>
      <w:pPr>
        <w:pStyle w:val="Heading2"/>
      </w:pPr>
      <w:r>
        <w:rPr>
          <w:rFonts w:hint="eastAsia"/>
        </w:rPr>
        <w:t xml:space="preserve">（二）校准与验证</w:t>
      </w:r>
    </w:p>
    <w:p>
      <w:pPr>
        <w:pStyle w:val="FirstParagraph"/>
      </w:pPr>
      <w:r>
        <w:rPr>
          <w:rFonts w:hint="eastAsia"/>
        </w:rPr>
        <w:t xml:space="preserve">校准仅涉及一个自由参数：参与方程的截距偏移</w:t>
      </w:r>
      <m:oMath>
        <m:r>
          <m:t>κ</m:t>
        </m:r>
      </m:oMath>
      <w:r>
        <w:rPr>
          <w:rFonts w:hint="eastAsia"/>
        </w:rPr>
        <w:t xml:space="preserve">，用二分法使基年（2024年经济环境）模拟参与率精确匹配观测值33.8%（桦南、甘南两县），得</w:t>
      </w:r>
      <m:oMath>
        <m:r>
          <m:t>κ</m:t>
        </m:r>
        <m:r>
          <m:rPr>
            <m:sty m:val="p"/>
          </m:rPr>
          <m:t>=</m:t>
        </m:r>
        <m:r>
          <m:rPr>
            <m:sty m:val="p"/>
          </m:rPr>
          <m:t>−</m:t>
        </m:r>
        <m:r>
          <m:t>0.417</m:t>
        </m:r>
      </m:oMath>
      <w:r>
        <w:rPr>
          <w:rFonts w:hint="eastAsia"/>
        </w:rPr>
        <w:t xml:space="preserve">。该偏移吸收了logit估计样本（2022—2024混合）与2024年横截面之间的水平差异，所有政策比较均在同一</w:t>
      </w:r>
      <m:oMath>
        <m:r>
          <m:t>κ</m:t>
        </m:r>
      </m:oMath>
      <w:r>
        <w:rPr>
          <w:rFonts w:hint="eastAsia"/>
        </w:rPr>
        <w:t xml:space="preserve">下进行，不影响情景间的相对结论。</w:t>
      </w:r>
    </w:p>
    <w:p>
      <w:pPr>
        <w:pStyle w:val="BodyText"/>
      </w:pPr>
      <w:r>
        <w:rPr>
          <w:rFonts w:hint="eastAsia"/>
        </w:rPr>
        <w:t xml:space="preserve">验证从三个方向进行。其一，留出回测：以2023年各户实际状态为初值，用2024年实际价格、成本与补贴模拟2024年决策，与观测比较——甘南县模拟参与率25.0%对观测22.6%、双城区0%对0%，吻合良好；桦南县模拟31.9%低于观测61.9%，主要因该县2024年留出样本仅21户且构成偏向种豆户，模型无法（也不应）复制这一小样本跳升。其二，剂量单调性：2030年大豆份额随补贴标准严格单调上升（350元/亩至850元/亩对应19.0%升至41.0%），无非单调异常。其三，机制合理性：关闭同伴效应或状态依赖后扩散速度显著放缓，方向符合理论预期。</w:t>
      </w:r>
    </w:p>
    <w:bookmarkEnd w:id="23"/>
    <w:bookmarkEnd w:id="24"/>
    <w:bookmarkStart w:id="33" w:name="六政策情景仿真"/>
    <w:p>
      <w:pPr>
        <w:pStyle w:val="Heading1"/>
      </w:pPr>
      <w:r>
        <w:rPr>
          <w:rFonts w:hint="eastAsia"/>
        </w:rPr>
        <w:t xml:space="preserve">六、政策情景仿真</w:t>
      </w:r>
    </w:p>
    <w:bookmarkStart w:id="25" w:name="一情景设定与总体结果"/>
    <w:p>
      <w:pPr>
        <w:pStyle w:val="Heading2"/>
      </w:pPr>
      <w:r>
        <w:rPr>
          <w:rFonts w:hint="eastAsia"/>
        </w:rPr>
        <w:t xml:space="preserve">（一）情景设定与总体结果</w:t>
      </w:r>
    </w:p>
    <w:p>
      <w:pPr>
        <w:pStyle w:val="FirstParagraph"/>
      </w:pPr>
      <w:r>
        <w:rPr>
          <w:rFonts w:hint="eastAsia"/>
        </w:rPr>
        <w:t xml:space="preserve">以2024年实现的价格（玉米1.60元/公斤、大豆3.73元/公斤）、亩均现金成本（玉米267元、大豆193元）与补贴标准（玉米20元/亩、大豆350元/亩）为基线环境，设定六种2025—2030年情景：S0维持现状；S1大豆补贴提高50%（至525元/亩）；S2大豆补贴提高100元/亩；S3新增轮作补贴150元/亩（只补新增大豆面积）；S4大豆价格上涨10%（如通过订单收购、优质优价实现）；S5取消玉米生产者补贴。</w:t>
      </w:r>
    </w:p>
    <w:p>
      <w:pPr>
        <w:pStyle w:val="BodyText"/>
      </w:pPr>
      <w:r>
        <w:rPr>
          <w:rFonts w:hint="eastAsia"/>
          <w:b/>
          <w:bCs/>
        </w:rPr>
        <w:t xml:space="preserve">表3</w:t>
      </w:r>
      <w:r>
        <w:rPr>
          <w:b/>
          <w:bCs/>
        </w:rPr>
        <w:t xml:space="preserve"> </w:t>
      </w:r>
      <w:r>
        <w:rPr>
          <w:rFonts w:hint="eastAsia"/>
          <w:b/>
          <w:bCs/>
        </w:rPr>
        <w:t xml:space="preserve">2030年各情景仿真结果</w:t>
      </w:r>
    </w:p>
    <w:tbl>
      <w:tblPr>
        <w:tblStyle w:val="Table"/>
        <w:tblW w:type="pct" w:w="5000"/>
        <w:tblLayout w:type="fixed"/>
        <w:tblLook w:firstRow="1" w:lastRow="0" w:firstColumn="0" w:lastColumn="0" w:noHBand="0" w:noVBand="0" w:val="0020"/>
      </w:tblPr>
      <w:tblGrid>
        <w:gridCol w:w="552"/>
        <w:gridCol w:w="1105"/>
        <w:gridCol w:w="1289"/>
        <w:gridCol w:w="1289"/>
        <w:gridCol w:w="1657"/>
        <w:gridCol w:w="2026"/>
      </w:tblGrid>
      <w:tr>
        <w:trPr>
          <w:tblHeader w:val="on"/>
        </w:trPr>
        <w:tc>
          <w:tcPr/>
          <w:p>
            <w:pPr>
              <w:pStyle w:val="Compact"/>
            </w:pPr>
            <w:r>
              <w:rPr>
                <w:rFonts w:hint="eastAsia"/>
              </w:rPr>
              <w:t xml:space="preserve">情景</w:t>
            </w:r>
          </w:p>
        </w:tc>
        <w:tc>
          <w:tcPr/>
          <w:p>
            <w:pPr>
              <w:pStyle w:val="Compact"/>
            </w:pPr>
            <w:r>
              <w:rPr>
                <w:rFonts w:hint="eastAsia"/>
              </w:rPr>
              <w:t xml:space="preserve">参与率（%）</w:t>
            </w:r>
          </w:p>
        </w:tc>
        <w:tc>
          <w:tcPr/>
          <w:p>
            <w:pPr>
              <w:pStyle w:val="Compact"/>
            </w:pPr>
            <w:r>
              <w:rPr>
                <w:rFonts w:hint="eastAsia"/>
              </w:rPr>
              <w:t xml:space="preserve">大豆份额（%）</w:t>
            </w:r>
          </w:p>
        </w:tc>
        <w:tc>
          <w:tcPr/>
          <w:p>
            <w:pPr>
              <w:pStyle w:val="Compact"/>
            </w:pPr>
            <w:r>
              <w:rPr>
                <w:rFonts w:hint="eastAsia"/>
              </w:rPr>
              <w:t xml:space="preserve">份额90%区间</w:t>
            </w:r>
          </w:p>
        </w:tc>
        <w:tc>
          <w:tcPr/>
          <w:p>
            <w:pPr>
              <w:pStyle w:val="Compact"/>
            </w:pPr>
            <w:r>
              <w:rPr>
                <w:rFonts w:hint="eastAsia"/>
              </w:rPr>
              <w:t xml:space="preserve">亩均财政（元/亩）</w:t>
            </w:r>
          </w:p>
        </w:tc>
        <w:tc>
          <w:tcPr/>
          <w:p>
            <w:pPr>
              <w:pStyle w:val="Compact"/>
            </w:pPr>
            <w:r>
              <w:rPr>
                <w:rFonts w:hint="eastAsia"/>
              </w:rPr>
              <w:t xml:space="preserve">相对S0每提高1个百分点份额的亩均财政成本（元）</w:t>
            </w:r>
          </w:p>
        </w:tc>
      </w:tr>
      <w:tr>
        <w:tc>
          <w:tcPr/>
          <w:p>
            <w:pPr>
              <w:pStyle w:val="Compact"/>
            </w:pPr>
            <w:r>
              <w:t xml:space="preserve">S0 </w:t>
            </w:r>
            <w:r>
              <w:rPr>
                <w:rFonts w:hint="eastAsia"/>
              </w:rPr>
              <w:t xml:space="preserve">维持现状</w:t>
            </w:r>
          </w:p>
        </w:tc>
        <w:tc>
          <w:tcPr/>
          <w:p>
            <w:pPr>
              <w:pStyle w:val="Compact"/>
            </w:pPr>
            <w:r>
              <w:t xml:space="preserve">48.3</w:t>
            </w:r>
          </w:p>
        </w:tc>
        <w:tc>
          <w:tcPr/>
          <w:p>
            <w:pPr>
              <w:pStyle w:val="Compact"/>
            </w:pPr>
            <w:r>
              <w:t xml:space="preserve">19.0</w:t>
            </w:r>
          </w:p>
        </w:tc>
        <w:tc>
          <w:tcPr/>
          <w:p>
            <w:pPr>
              <w:pStyle w:val="Compact"/>
            </w:pPr>
            <w:r>
              <w:t xml:space="preserve">[6.0, 34.2]</w:t>
            </w:r>
          </w:p>
        </w:tc>
        <w:tc>
          <w:tcPr/>
          <w:p>
            <w:pPr>
              <w:pStyle w:val="Compact"/>
            </w:pPr>
            <w:r>
              <w:t xml:space="preserve">82.6</w:t>
            </w:r>
          </w:p>
        </w:tc>
        <w:tc>
          <w:tcPr/>
          <w:p>
            <w:pPr>
              <w:pStyle w:val="Compact"/>
            </w:pPr>
            <w:r>
              <w:t xml:space="preserve">—</w:t>
            </w:r>
          </w:p>
        </w:tc>
      </w:tr>
      <w:tr>
        <w:tc>
          <w:tcPr/>
          <w:p>
            <w:pPr>
              <w:pStyle w:val="Compact"/>
            </w:pPr>
            <w:r>
              <w:t xml:space="preserve">S1 </w:t>
            </w:r>
            <w:r>
              <w:rPr>
                <w:rFonts w:hint="eastAsia"/>
              </w:rPr>
              <w:t xml:space="preserve">大豆补贴+50%</w:t>
            </w:r>
          </w:p>
        </w:tc>
        <w:tc>
          <w:tcPr/>
          <w:p>
            <w:pPr>
              <w:pStyle w:val="Compact"/>
            </w:pPr>
            <w:r>
              <w:t xml:space="preserve">61.7</w:t>
            </w:r>
          </w:p>
        </w:tc>
        <w:tc>
          <w:tcPr/>
          <w:p>
            <w:pPr>
              <w:pStyle w:val="Compact"/>
            </w:pPr>
            <w:r>
              <w:t xml:space="preserve">26.5</w:t>
            </w:r>
          </w:p>
        </w:tc>
        <w:tc>
          <w:tcPr/>
          <w:p>
            <w:pPr>
              <w:pStyle w:val="Compact"/>
            </w:pPr>
            <w:r>
              <w:t xml:space="preserve">[12.6, 40.3]</w:t>
            </w:r>
          </w:p>
        </w:tc>
        <w:tc>
          <w:tcPr/>
          <w:p>
            <w:pPr>
              <w:pStyle w:val="Compact"/>
            </w:pPr>
            <w:r>
              <w:t xml:space="preserve">153.8</w:t>
            </w:r>
          </w:p>
        </w:tc>
        <w:tc>
          <w:tcPr/>
          <w:p>
            <w:pPr>
              <w:pStyle w:val="Compact"/>
            </w:pPr>
            <w:r>
              <w:t xml:space="preserve">9.5</w:t>
            </w:r>
          </w:p>
        </w:tc>
      </w:tr>
      <w:tr>
        <w:tc>
          <w:tcPr/>
          <w:p>
            <w:pPr>
              <w:pStyle w:val="Compact"/>
            </w:pPr>
            <w:r>
              <w:t xml:space="preserve">S2 </w:t>
            </w:r>
            <w:r>
              <w:rPr>
                <w:rFonts w:hint="eastAsia"/>
              </w:rPr>
              <w:t xml:space="preserve">大豆补贴+100元</w:t>
            </w:r>
          </w:p>
        </w:tc>
        <w:tc>
          <w:tcPr/>
          <w:p>
            <w:pPr>
              <w:pStyle w:val="Compact"/>
            </w:pPr>
            <w:r>
              <w:t xml:space="preserve">55.9</w:t>
            </w:r>
          </w:p>
        </w:tc>
        <w:tc>
          <w:tcPr/>
          <w:p>
            <w:pPr>
              <w:pStyle w:val="Compact"/>
            </w:pPr>
            <w:r>
              <w:t xml:space="preserve">23.2</w:t>
            </w:r>
          </w:p>
        </w:tc>
        <w:tc>
          <w:tcPr/>
          <w:p>
            <w:pPr>
              <w:pStyle w:val="Compact"/>
            </w:pPr>
            <w:r>
              <w:t xml:space="preserve">[8.9, 36.6]</w:t>
            </w:r>
          </w:p>
        </w:tc>
        <w:tc>
          <w:tcPr/>
          <w:p>
            <w:pPr>
              <w:pStyle w:val="Compact"/>
            </w:pPr>
            <w:r>
              <w:t xml:space="preserve">119.6</w:t>
            </w:r>
          </w:p>
        </w:tc>
        <w:tc>
          <w:tcPr/>
          <w:p>
            <w:pPr>
              <w:pStyle w:val="Compact"/>
            </w:pPr>
            <w:r>
              <w:t xml:space="preserve">8.8</w:t>
            </w:r>
          </w:p>
        </w:tc>
      </w:tr>
      <w:tr>
        <w:tc>
          <w:tcPr/>
          <w:p>
            <w:pPr>
              <w:pStyle w:val="Compact"/>
            </w:pPr>
            <w:r>
              <w:t xml:space="preserve">S3 </w:t>
            </w:r>
            <w:r>
              <w:rPr>
                <w:rFonts w:hint="eastAsia"/>
              </w:rPr>
              <w:t xml:space="preserve">轮作补贴150元</w:t>
            </w:r>
          </w:p>
        </w:tc>
        <w:tc>
          <w:tcPr/>
          <w:p>
            <w:pPr>
              <w:pStyle w:val="Compact"/>
            </w:pPr>
            <w:r>
              <w:t xml:space="preserve">56.7</w:t>
            </w:r>
          </w:p>
        </w:tc>
        <w:tc>
          <w:tcPr/>
          <w:p>
            <w:pPr>
              <w:pStyle w:val="Compact"/>
            </w:pPr>
            <w:r>
              <w:t xml:space="preserve">23.4</w:t>
            </w:r>
          </w:p>
        </w:tc>
        <w:tc>
          <w:tcPr/>
          <w:p>
            <w:pPr>
              <w:pStyle w:val="Compact"/>
            </w:pPr>
            <w:r>
              <w:t xml:space="preserve">[9.8, 36.5]</w:t>
            </w:r>
          </w:p>
        </w:tc>
        <w:tc>
          <w:tcPr/>
          <w:p>
            <w:pPr>
              <w:pStyle w:val="Compact"/>
            </w:pPr>
            <w:r>
              <w:t xml:space="preserve">111.4</w:t>
            </w:r>
          </w:p>
        </w:tc>
        <w:tc>
          <w:tcPr/>
          <w:p>
            <w:pPr>
              <w:pStyle w:val="Compact"/>
            </w:pPr>
            <w:r>
              <w:t xml:space="preserve">6.5</w:t>
            </w:r>
          </w:p>
        </w:tc>
      </w:tr>
      <w:tr>
        <w:tc>
          <w:tcPr/>
          <w:p>
            <w:pPr>
              <w:pStyle w:val="Compact"/>
            </w:pPr>
            <w:r>
              <w:t xml:space="preserve">S4 </w:t>
            </w:r>
            <w:r>
              <w:rPr>
                <w:rFonts w:hint="eastAsia"/>
              </w:rPr>
              <w:t xml:space="preserve">大豆价格+10%</w:t>
            </w:r>
          </w:p>
        </w:tc>
        <w:tc>
          <w:tcPr/>
          <w:p>
            <w:pPr>
              <w:pStyle w:val="Compact"/>
            </w:pPr>
            <w:r>
              <w:t xml:space="preserve">53.1</w:t>
            </w:r>
          </w:p>
        </w:tc>
        <w:tc>
          <w:tcPr/>
          <w:p>
            <w:pPr>
              <w:pStyle w:val="Compact"/>
            </w:pPr>
            <w:r>
              <w:t xml:space="preserve">21.5</w:t>
            </w:r>
          </w:p>
        </w:tc>
        <w:tc>
          <w:tcPr/>
          <w:p>
            <w:pPr>
              <w:pStyle w:val="Compact"/>
            </w:pPr>
            <w:r>
              <w:t xml:space="preserve">[7.3, 35.5]</w:t>
            </w:r>
          </w:p>
        </w:tc>
        <w:tc>
          <w:tcPr/>
          <w:p>
            <w:pPr>
              <w:pStyle w:val="Compact"/>
            </w:pPr>
            <w:r>
              <w:t xml:space="preserve">91.0</w:t>
            </w:r>
          </w:p>
        </w:tc>
        <w:tc>
          <w:tcPr/>
          <w:p>
            <w:pPr>
              <w:pStyle w:val="Compact"/>
            </w:pPr>
            <w:r>
              <w:t xml:space="preserve">3.3</w:t>
            </w:r>
          </w:p>
        </w:tc>
      </w:tr>
      <w:tr>
        <w:tc>
          <w:tcPr/>
          <w:p>
            <w:pPr>
              <w:pStyle w:val="Compact"/>
            </w:pPr>
            <w:r>
              <w:t xml:space="preserve">S5 </w:t>
            </w:r>
            <w:r>
              <w:rPr>
                <w:rFonts w:hint="eastAsia"/>
              </w:rPr>
              <w:t xml:space="preserve">取消玉米补贴</w:t>
            </w:r>
          </w:p>
        </w:tc>
        <w:tc>
          <w:tcPr/>
          <w:p>
            <w:pPr>
              <w:pStyle w:val="Compact"/>
            </w:pPr>
            <w:r>
              <w:t xml:space="preserve">49.9</w:t>
            </w:r>
          </w:p>
        </w:tc>
        <w:tc>
          <w:tcPr/>
          <w:p>
            <w:pPr>
              <w:pStyle w:val="Compact"/>
            </w:pPr>
            <w:r>
              <w:t xml:space="preserve">19.8</w:t>
            </w:r>
          </w:p>
        </w:tc>
        <w:tc>
          <w:tcPr/>
          <w:p>
            <w:pPr>
              <w:pStyle w:val="Compact"/>
            </w:pPr>
            <w:r>
              <w:t xml:space="preserve">[6.6, 34.9]</w:t>
            </w:r>
          </w:p>
        </w:tc>
        <w:tc>
          <w:tcPr/>
          <w:p>
            <w:pPr>
              <w:pStyle w:val="Compact"/>
            </w:pPr>
            <w:r>
              <w:t xml:space="preserve">69.3</w:t>
            </w:r>
          </w:p>
        </w:tc>
        <w:tc>
          <w:tcPr/>
          <w:p>
            <w:pPr>
              <w:pStyle w:val="Compact"/>
            </w:pPr>
            <w:r>
              <w:rPr>
                <w:rFonts w:hint="eastAsia"/>
              </w:rPr>
              <w:t xml:space="preserve">负值</w:t>
            </w:r>
          </w:p>
        </w:tc>
      </w:tr>
    </w:tbl>
    <w:p>
      <w:pPr>
        <w:pStyle w:val="BodyText"/>
      </w:pPr>
      <w:r>
        <w:rPr>
          <w:rFonts w:hint="eastAsia"/>
        </w:rPr>
        <w:t xml:space="preserve">注：参与率为桦南、甘南两县农户参与率；份额为三县面积加权；90%区间来自300次蒙特卡洛副本（含参数不确定性、户异质性与宏观冲击）；亩均财政为样本总补贴支出/样本总面积。S4的成本为价格支持的影子口径，非直接财政支出。</w:t>
      </w:r>
    </w:p>
    <w:p>
      <w:pPr>
        <w:pStyle w:val="BodyText"/>
      </w:pPr>
      <w:r>
        <w:rPr>
          <w:rFonts w:hint="eastAsia"/>
        </w:rPr>
        <w:t xml:space="preserve">结果显示：第一，基线情景下扩种仍有内生动能。即使补贴标准不再提高，凭借2023—2024年已形成的参与存量，状态依赖与同伴示范会推动份额从2024年的13%继续升至2030年的19%左右——政策的”棘轮”效应意味着已有投入的效果尚未完全释放，这是维持补贴强度稳定、给农户明确预期的直接依据。第二，普惠性提标有效但递减：S1（增加175元/亩）使2030年份额比基线高7.5个百分点，S2（增加100元/亩）高4.2个百分点，两者每提升1个百分点份额的亩均财政成本分别为9.5元和8.8元。第三，瞄准增量的轮作补贴财政效率最高：S3与S2的扩种效果几乎相同（+4.4对+4.2个百分点），但因不给存量种豆面积”搭便车”，成本仅6.5元/亩·百分点，比S2低约27%、比S1低约32%。第四，取消玉米补贴（S5）扩种效果微弱（+0.8个百分点）但节约财政，可作为结构调整的辅助项；价格渠道（S4）效果显著且不占用直接财政，提示产销衔接、优质优价体系建设的杠杆价值。</w:t>
      </w:r>
    </w:p>
    <w:bookmarkEnd w:id="25"/>
    <w:bookmarkStart w:id="32" w:name="二扩种目标的补贴反解与财政成本前沿"/>
    <w:p>
      <w:pPr>
        <w:pStyle w:val="Heading2"/>
      </w:pPr>
      <w:r>
        <w:rPr>
          <w:rFonts w:hint="eastAsia"/>
        </w:rPr>
        <w:t xml:space="preserve">（二）扩种目标的补贴反解与财政成本前沿</w:t>
      </w:r>
    </w:p>
    <w:p>
      <w:pPr>
        <w:pStyle w:val="FirstParagraph"/>
      </w:pPr>
      <w:r>
        <w:rPr>
          <w:rFonts w:hint="eastAsia"/>
        </w:rPr>
        <w:t xml:space="preserve">沿补贴—份额响应曲线反解：使2030年样本区大豆面积份额达到10%、15%和20%，所需大豆生产者补贴分别约为41元/亩、237元/亩和375元/亩，对应亩均财政支出22元、52元和91元。两点含义值得强调。其一，10%的份额目标在当前状态依赖存量下几乎”免费”——远低于现行350元/亩的补贴即可维持，说明现行补贴强度实际上支撑的是接近20%的中期份额目标；其二，响应曲线斜率随目标提高而放缓（从15%到20%每个百分点约需28元/亩补贴增量，而从10%到15%约需39元/亩），因为易转换的农户（收益差接近零、有种豆历史）先行进入后，剩余农户的转换成本更高——政策设计应避免用单一普惠工具追逐过高份额目标，而应在高目标区间叠加轮作补贴、订单农业等结构性工具。</w:t>
      </w:r>
    </w:p>
    <w:p>
      <w:pPr>
        <w:pStyle w:val="CaptionedFigure"/>
      </w:pPr>
      <w:r>
        <w:drawing>
          <wp:inline>
            <wp:extent cx="5334000" cy="2036618"/>
            <wp:effectExtent b="0" l="0" r="0" t="0"/>
            <wp:docPr descr="图1 六种政策情景下大豆面积份额路径与财政成本" title="" id="27" name="Picture"/>
            <a:graphic>
              <a:graphicData uri="http://schemas.openxmlformats.org/drawingml/2006/picture">
                <pic:pic>
                  <pic:nvPicPr>
                    <pic:cNvPr descr="output/figures/fig_scenarios.png" id="28" name="Picture"/>
                    <pic:cNvPicPr>
                      <a:picLocks noChangeArrowheads="1" noChangeAspect="1"/>
                    </pic:cNvPicPr>
                  </pic:nvPicPr>
                  <pic:blipFill>
                    <a:blip r:embed="rId26"/>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六种政策情景下大豆面积份额路径与财政成本</w:t>
      </w:r>
    </w:p>
    <w:p>
      <w:pPr>
        <w:pStyle w:val="CaptionedFigure"/>
      </w:pPr>
      <w:r>
        <w:drawing>
          <wp:inline>
            <wp:extent cx="5054472" cy="3859778"/>
            <wp:effectExtent b="0" l="0" r="0" t="0"/>
            <wp:docPr descr="图2 补贴—份额响应曲线与目标反解" title="" id="30" name="Picture"/>
            <a:graphic>
              <a:graphicData uri="http://schemas.openxmlformats.org/drawingml/2006/picture">
                <pic:pic>
                  <pic:nvPicPr>
                    <pic:cNvPr descr="output/figures/fig_inversion.png" id="31" name="Picture"/>
                    <pic:cNvPicPr>
                      <a:picLocks noChangeArrowheads="1" noChangeAspect="1"/>
                    </pic:cNvPicPr>
                  </pic:nvPicPr>
                  <pic:blipFill>
                    <a:blip r:embed="rId29"/>
                    <a:stretch>
                      <a:fillRect/>
                    </a:stretch>
                  </pic:blipFill>
                  <pic:spPr bwMode="auto">
                    <a:xfrm>
                      <a:off x="0" y="0"/>
                      <a:ext cx="5054472" cy="3859778"/>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补贴—份额响应曲线与目标反解</w:t>
      </w:r>
    </w:p>
    <w:bookmarkEnd w:id="32"/>
    <w:bookmarkEnd w:id="33"/>
    <w:bookmarkStart w:id="34" w:name="七结论与政策建议"/>
    <w:p>
      <w:pPr>
        <w:pStyle w:val="Heading1"/>
      </w:pPr>
      <w:r>
        <w:rPr>
          <w:rFonts w:hint="eastAsia"/>
        </w:rPr>
        <w:t xml:space="preserve">七、结论与政策建议</w:t>
      </w:r>
    </w:p>
    <w:p>
      <w:pPr>
        <w:pStyle w:val="FirstParagraph"/>
      </w:pPr>
      <w:r>
        <w:rPr>
          <w:rFonts w:hint="eastAsia"/>
        </w:rPr>
        <w:t xml:space="preserve">本文将全国农村固定观察点黑龙江农户面板的微观计量估计与主体建模仿真相结合，系统评估了差异化生产者补贴对农户大豆种植决策的影响及其政策空间。主要结论如下：（1）大豆相对玉米的市场净收益缺口平均约470元/亩，现行330元/亩左右的补贴差显著收窄但未完全弥合缺口，大豆种植仍是”政策依赖型”选择；（2）农户对收益差的响应真实存在——补贴差每提高100元/亩，种植概率提高约2.8个百分点（户内识别下更高），参与户份额提高约2.7个百分点——且响应集中于规模经营主体；（3）种植决策具有强状态依赖（续种概率溢价约27个百分点），使补贴的动态累积效果显著大于静态估计；（4）仿真显示维持现行补贴强度下2030年样本区大豆份额可达19%左右；轮作导向的增量瞄准补贴每单位扩种效果的财政成本比普惠提标低约三成；10%、15%、20%的份额目标分别对应约41、237、375元/亩的补贴标准。</w:t>
      </w:r>
    </w:p>
    <w:p>
      <w:pPr>
        <w:pStyle w:val="BodyText"/>
      </w:pPr>
      <w:r>
        <w:rPr>
          <w:rFonts w:hint="eastAsia"/>
        </w:rPr>
        <w:t xml:space="preserve">上述发现的政策含义可概括为”稳存量、瞄增量、分区域、多工具”。第一，稳定补贴预期比提高补贴标准更紧要。状态依赖意味着政策效果有跨期惯性，补贴标准的频繁波动会打断”进入—锁定”的累积过程；建议将大豆生产者补贴标准以三年为周期锁定公布，让农户在专用性投资（农机、技术、渠道）上敢于沉淀。第二，增量优先采用轮作补贴等瞄准工具。在既定财政盘子下，把提标资金转投”只补新增轮作面积”，同等扩种效果可节约约三成财政支出，且与黑土地保护的农学目标（缓解重迎茬）内在一致。第三，区域差异化投放。玉米核心优势区（如双城）扩豆的机会成本极高，普惠补贴在此近乎纯转移支付；应把扩种指标与补贴资源向松嫩平原西北部、三江平原等大豆适宜区集中。第四，重视非财政杠杆。大豆价格提高10%的扩种效果相当于补贴提标100元/亩以上而不占直接财政，加工需求培育、订单收购与优质优价体系建设应与补贴政策并重。</w:t>
      </w:r>
    </w:p>
    <w:p>
      <w:pPr>
        <w:pStyle w:val="BodyText"/>
      </w:pPr>
      <w:r>
        <w:rPr>
          <w:rFonts w:hint="eastAsia"/>
        </w:rPr>
        <w:t xml:space="preserve">本文的局限亦须说明。样本仅覆盖三个县区且2023—2024年问卷扩容导致种植模块应答率下降，桦南县末年样本偏小；补贴标准的省级统一使补贴差系数难以与市场收益差系数分别精确识别（尽管不能拒绝两者相等）；ABM未内生化价格反馈——若扩种规模大到影响地区价格，本文估计的政策效果是上界。将价格一般均衡模块与更大范围的农户样本纳入分析，是后续研究的方向。</w:t>
      </w:r>
    </w:p>
    <w:bookmarkEnd w:id="34"/>
    <w:bookmarkStart w:id="35" w:name="参考文献"/>
    <w:p>
      <w:pPr>
        <w:pStyle w:val="Heading1"/>
      </w:pPr>
      <w:r>
        <w:rPr>
          <w:rFonts w:hint="eastAsia"/>
        </w:rPr>
        <w:t xml:space="preserve">参考文献</w:t>
      </w:r>
    </w:p>
    <w:p>
      <w:pPr>
        <w:pStyle w:val="FirstParagraph"/>
      </w:pPr>
      <w:r>
        <w:t xml:space="preserve">[1] </w:t>
      </w:r>
      <w:r>
        <w:rPr>
          <w:rFonts w:hint="eastAsia"/>
        </w:rPr>
        <w:t xml:space="preserve">黄季焜.</w:t>
      </w:r>
      <w:r>
        <w:t xml:space="preserve"> </w:t>
      </w:r>
      <w:r>
        <w:rPr>
          <w:rFonts w:hint="eastAsia"/>
        </w:rPr>
        <w:t xml:space="preserve">四十年中国农业发展改革和未来政策选择[J].</w:t>
      </w:r>
      <w:r>
        <w:t xml:space="preserve"> </w:t>
      </w:r>
      <w:r>
        <w:rPr>
          <w:rFonts w:hint="eastAsia"/>
        </w:rPr>
        <w:t xml:space="preserve">农业技术经济,</w:t>
      </w:r>
      <w:r>
        <w:t xml:space="preserve"> 2018(3): 4-15.</w:t>
      </w:r>
    </w:p>
    <w:p>
      <w:pPr>
        <w:pStyle w:val="BodyText"/>
      </w:pPr>
      <w:r>
        <w:t xml:space="preserve">[2] </w:t>
      </w:r>
      <w:r>
        <w:rPr>
          <w:rFonts w:hint="eastAsia"/>
        </w:rPr>
        <w:t xml:space="preserve">仇焕广,</w:t>
      </w:r>
      <w:r>
        <w:t xml:space="preserve"> </w:t>
      </w:r>
      <w:r>
        <w:rPr>
          <w:rFonts w:hint="eastAsia"/>
        </w:rPr>
        <w:t xml:space="preserve">栾昊,</w:t>
      </w:r>
      <w:r>
        <w:t xml:space="preserve"> </w:t>
      </w:r>
      <w:r>
        <w:rPr>
          <w:rFonts w:hint="eastAsia"/>
        </w:rPr>
        <w:t xml:space="preserve">李瑾,</w:t>
      </w:r>
      <w:r>
        <w:t xml:space="preserve"> </w:t>
      </w:r>
      <w:r>
        <w:rPr>
          <w:rFonts w:hint="eastAsia"/>
        </w:rPr>
        <w:t xml:space="preserve">等.</w:t>
      </w:r>
      <w:r>
        <w:t xml:space="preserve"> </w:t>
      </w:r>
      <w:r>
        <w:rPr>
          <w:rFonts w:hint="eastAsia"/>
        </w:rPr>
        <w:t xml:space="preserve">风险规避对农户过量施肥行为的影响[J].</w:t>
      </w:r>
      <w:r>
        <w:t xml:space="preserve"> </w:t>
      </w:r>
      <w:r>
        <w:rPr>
          <w:rFonts w:hint="eastAsia"/>
        </w:rPr>
        <w:t xml:space="preserve">中国农村经济,</w:t>
      </w:r>
      <w:r>
        <w:t xml:space="preserve"> 2014(3): 85-96.</w:t>
      </w:r>
    </w:p>
    <w:p>
      <w:pPr>
        <w:pStyle w:val="BodyText"/>
      </w:pPr>
      <w:r>
        <w:t xml:space="preserve">[3] </w:t>
      </w:r>
      <w:r>
        <w:rPr>
          <w:rFonts w:hint="eastAsia"/>
        </w:rPr>
        <w:t xml:space="preserve">钟甫宁.</w:t>
      </w:r>
      <w:r>
        <w:t xml:space="preserve"> </w:t>
      </w:r>
      <w:r>
        <w:rPr>
          <w:rFonts w:hint="eastAsia"/>
        </w:rPr>
        <w:t xml:space="preserve">正确认识粮食安全和农业劳动力成本问题[J].</w:t>
      </w:r>
      <w:r>
        <w:t xml:space="preserve"> </w:t>
      </w:r>
      <w:r>
        <w:rPr>
          <w:rFonts w:hint="eastAsia"/>
        </w:rPr>
        <w:t xml:space="preserve">农业经济问题,</w:t>
      </w:r>
      <w:r>
        <w:t xml:space="preserve"> 2016(1): 4-9.</w:t>
      </w:r>
    </w:p>
    <w:p>
      <w:pPr>
        <w:pStyle w:val="BodyText"/>
      </w:pPr>
      <w:r>
        <w:t xml:space="preserve">[4] </w:t>
      </w:r>
      <w:r>
        <w:rPr>
          <w:rFonts w:hint="eastAsia"/>
        </w:rPr>
        <w:t xml:space="preserve">农业农村部.</w:t>
      </w:r>
      <w:r>
        <w:t xml:space="preserve"> </w:t>
      </w:r>
      <w:r>
        <w:rPr>
          <w:rFonts w:hint="eastAsia"/>
        </w:rPr>
        <w:t xml:space="preserve">大豆振兴计划实施方案[Z].</w:t>
      </w:r>
      <w:r>
        <w:t xml:space="preserve"> 2019.</w:t>
      </w:r>
    </w:p>
    <w:p>
      <w:pPr>
        <w:pStyle w:val="BodyText"/>
      </w:pPr>
      <w:r>
        <w:t xml:space="preserve">[5] </w:t>
      </w:r>
      <w:r>
        <w:rPr>
          <w:rFonts w:hint="eastAsia"/>
        </w:rPr>
        <w:t xml:space="preserve">黑龙江省农业农村厅,</w:t>
      </w:r>
      <w:r>
        <w:t xml:space="preserve"> </w:t>
      </w:r>
      <w:r>
        <w:rPr>
          <w:rFonts w:hint="eastAsia"/>
        </w:rPr>
        <w:t xml:space="preserve">黑龙江省财政厅,</w:t>
      </w:r>
      <w:r>
        <w:t xml:space="preserve"> </w:t>
      </w:r>
      <w:r>
        <w:rPr>
          <w:rFonts w:hint="eastAsia"/>
        </w:rPr>
        <w:t xml:space="preserve">黑龙江省发展和改革委员会.</w:t>
      </w:r>
      <w:r>
        <w:t xml:space="preserve"> </w:t>
      </w:r>
      <w:r>
        <w:rPr>
          <w:rFonts w:hint="eastAsia"/>
        </w:rPr>
        <w:t xml:space="preserve">黑龙江省玉米、大豆和稻谷生产者补贴工作实施方案[Z].</w:t>
      </w:r>
      <w:r>
        <w:t xml:space="preserve"> 2024.</w:t>
      </w:r>
    </w:p>
    <w:p>
      <w:pPr>
        <w:pStyle w:val="BodyText"/>
      </w:pPr>
      <w:r>
        <w:t xml:space="preserve">[6] Berger T. Agent-based spatial models applied to agriculture: A simulation tool for technology diffusion, resource use changes and policy analysis[J]. Agricultural Economics, 2001, 25(2-3): 245-260.</w:t>
      </w:r>
    </w:p>
    <w:p>
      <w:pPr>
        <w:pStyle w:val="BodyText"/>
      </w:pPr>
      <w:r>
        <w:t xml:space="preserve">[7] Chavas J P, Holt M T. Acreage decisions under risk: The case of corn and soybeans[J]. American Journal of Agricultural Economics, 1990, 72(3): 529-538.</w:t>
      </w:r>
    </w:p>
    <w:p>
      <w:pPr>
        <w:pStyle w:val="BodyText"/>
      </w:pPr>
      <w:r>
        <w:t xml:space="preserve">[8] Conley T G, Udry C R. Learning about a new technology: Pineapple in Ghana[J]. American Economic Review, 2010, 100(1): 35-69.</w:t>
      </w:r>
    </w:p>
    <w:p>
      <w:pPr>
        <w:pStyle w:val="BodyText"/>
      </w:pPr>
      <w:r>
        <w:t xml:space="preserve">[9] Foster A D, Rosenzweig M R. Learning by doing and learning from others: Human capital and technical change in agriculture[J]. Journal of Political Economy, 1995, 103(6): 1176-1209.</w:t>
      </w:r>
    </w:p>
    <w:p>
      <w:pPr>
        <w:pStyle w:val="BodyText"/>
      </w:pPr>
      <w:r>
        <w:t xml:space="preserve">[10] Happe K, Kellermann K, Balmann A. Agent-based analysis of agricultural policies: An illustration of the agricultural policy simulator AgriPoliS, its adaptation and behavior[J]. Ecology and Society, 2006, 11(1): 49.</w:t>
      </w:r>
    </w:p>
    <w:p>
      <w:pPr>
        <w:pStyle w:val="BodyText"/>
      </w:pPr>
      <w:r>
        <w:t xml:space="preserve">[11] Heckman J J. The incidental parameters problem and the problem of initial conditions in estimating a discrete time-discrete data stochastic process[M]//Manski C F, McFadden D. Structural Analysis of Discrete Data with Econometric Applications. Cambridge: MIT Press, 1981: 179-195.</w:t>
      </w:r>
    </w:p>
    <w:p>
      <w:pPr>
        <w:pStyle w:val="BodyText"/>
      </w:pPr>
      <w:r>
        <w:t xml:space="preserve">[12] Manski C F. Identification of endogenous social effects: The reflection problem[J]. Review of Economic Studies, 1993, 60(3): 531-542.</w:t>
      </w:r>
    </w:p>
    <w:p>
      <w:pPr>
        <w:pStyle w:val="BodyText"/>
      </w:pPr>
      <w:r>
        <w:t xml:space="preserve">[13] Mundlak Y. On the pooling of time series and cross section data[J]. Econometrica, 1978, 46(1): 69-85.</w:t>
      </w:r>
    </w:p>
    <w:p>
      <w:pPr>
        <w:pStyle w:val="BodyText"/>
      </w:pPr>
      <w:r>
        <w:t xml:space="preserve">[14] Nerlove M. Estimates of the elasticities of supply of selected agricultural commodities[J]. Journal of Farm Economics, 1956, 38(2): 496-509.</w:t>
      </w:r>
    </w:p>
    <w:p>
      <w:pPr>
        <w:pStyle w:val="BodyText"/>
      </w:pPr>
      <w:r>
        <w:t xml:space="preserve">[15] Papke L E, Wooldridge J M. Econometric methods for fractional response variables with an application to 401(k) plan participation rates[J]. Journal of Applied Econometrics, 1996, 11(6): 619-632.</w:t>
      </w:r>
    </w:p>
    <w:p>
      <w:pPr>
        <w:pStyle w:val="BodyText"/>
      </w:pPr>
      <w:r>
        <w:t xml:space="preserve">[16] Wooldridge J M. Simple solutions to the initial conditions problem in dynamic, nonlinear panel data models with unobserved heterogeneity[J]. Journal of Applied Econometrics, 2005, 20(1): 39-54.</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cs="Times New Roman"/>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生产者补贴、种植惯性与农户大豆扩种——来自黑龙江农户面板的微观证据与主体建模仿真</dc:title>
  <dc:creator/>
  <cp:keywords/>
  <dcterms:created xsi:type="dcterms:W3CDTF">2026-07-07T04:47:59Z</dcterms:created>
  <dcterms:modified xsi:type="dcterms:W3CDTF">2026-07-07T04:47:59Z</dcterms:modified>
</cp:coreProperties>
</file>

<file path=docProps/custom.xml><?xml version="1.0" encoding="utf-8"?>
<Properties xmlns="http://schemas.openxmlformats.org/officeDocument/2006/custom-properties" xmlns:vt="http://schemas.openxmlformats.org/officeDocument/2006/docPropsVTypes"/>
</file>