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ver-letter-draft-nature-communications"/>
      <w:r>
        <w:t xml:space="preserve">Cover letter draft: Nature Communications</w:t>
      </w:r>
      <w:bookmarkEnd w:id="20"/>
    </w:p>
    <w:p>
      <w:pPr>
        <w:pStyle w:val="FirstParagraph"/>
      </w:pPr>
      <w:r>
        <w:rPr>
          <w:b/>
        </w:rPr>
        <w:t xml:space="preserve">Internal status: HOLD - do not submit until the publication-promotion conditions in Supplementary Note 3 are met.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Please consider our manuscript,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China’s dietary transition redistributes agricultural production and farm-gate emissions across global economies,</w:t>
      </w:r>
      <w:r>
        <w:rPr>
          <w:b/>
        </w:rPr>
        <w:t xml:space="preserve">”</w:t>
      </w:r>
      <w:r>
        <w:t xml:space="preserve"> </w:t>
      </w:r>
      <w:r>
        <w:t xml:space="preserve">for publication in</w:t>
      </w:r>
      <w:r>
        <w:t xml:space="preserve"> </w:t>
      </w:r>
      <w:r>
        <w:rPr>
          <w:i/>
        </w:rPr>
        <w:t xml:space="preserve">Nature Communications</w:t>
      </w:r>
      <w:r>
        <w:t xml:space="preserve">.</w:t>
      </w:r>
    </w:p>
    <w:p>
      <w:pPr>
        <w:pStyle w:val="BodyText"/>
      </w:pPr>
      <w:r>
        <w:t xml:space="preserve">Dietary policy is usually evaluated within national borders, even when a large importing and producing economy can transmit consumption change through global prices. We connect China-specific dietary pathways to a global agricultural partial-equilibrium system resolving 193 economy accounts and 31 products. This enables us to identify not only a world total, but also the distribution of production and production-attributed greenhouse-gas responses across regions, income groups and individual economy-product pairs.</w:t>
      </w:r>
    </w:p>
    <w:p>
      <w:pPr>
        <w:pStyle w:val="BodyText"/>
      </w:pPr>
      <w:r>
        <w:t xml:space="preserve">Three findings motivate broad interest. First, China’s composite-guideline pathway creates opposing global channels: the central SSP2 experiment lowers pigmeat prices by 46% but raises fluid-milk and whole-milk-powder prices by 19% and 23%. Second, 81% of the model-covered farm-gate GHG reduction occurs outside mainland China, concentrated in Asia and the Americas. Third, paired results are stable across five socioeconomic pathways but materially sensitive to demand-system structure; the poultry price response changes sign and the pigmeat effect narrows substantially in a nested-demand specification. This comparison shows that apparent scenario robustness can coexist with structural uncertainty.</w:t>
      </w:r>
    </w:p>
    <w:p>
      <w:pPr>
        <w:pStyle w:val="BodyText"/>
      </w:pPr>
      <w:r>
        <w:t xml:space="preserve">The manuscript is explicit about its boundaries. Six food categories in the source China pathway are outside the world model; trade is a net-balance identity rather than bilateral flows; GHG accounting uses frozen 2023 attributed biological farm-gate factors; and no health, welfare, lifecycle or land-use claim is made. Code, mapped inputs, derived outputs, figures, numerical audits and a claim registry accompany the paper.</w:t>
      </w:r>
    </w:p>
    <w:p>
      <w:pPr>
        <w:pStyle w:val="BodyText"/>
      </w:pPr>
      <w:r>
        <w:t xml:space="preserve">We believe the study fits</w:t>
      </w:r>
      <w:r>
        <w:t xml:space="preserve"> </w:t>
      </w:r>
      <w:r>
        <w:rPr>
          <w:i/>
        </w:rPr>
        <w:t xml:space="preserve">Nature Communications</w:t>
      </w:r>
      <w:r>
        <w:t xml:space="preserve"> </w:t>
      </w:r>
      <w:r>
        <w:t xml:space="preserve">because it connects consumer-side food policy to global environmental and distributional consequences, resolves where adjustment occurs, and makes model-form uncertainty part of the main result.</w:t>
      </w:r>
    </w:p>
    <w:p>
      <w:pPr>
        <w:pStyle w:val="BodyText"/>
      </w:pPr>
      <w:r>
        <w:t xml:space="preserve">This manuscript is original, is not under consideration elsewhere, and all authors have approved its submission. The authors declare no competing interests.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Xinru Han</w:t>
      </w:r>
      <w:r>
        <w:br/>
      </w:r>
      <w:r>
        <w:t xml:space="preserve">Institute of Agricultural Economics and Development</w:t>
      </w:r>
      <w:r>
        <w:br/>
      </w:r>
      <w:r>
        <w:t xml:space="preserve">Chinese Academy of Agricultural Sciences</w:t>
      </w:r>
      <w:r>
        <w:br/>
      </w:r>
      <w:r>
        <w:t xml:space="preserve">Beijing 100081, China</w:t>
      </w:r>
      <w:r>
        <w:br/>
      </w:r>
      <w:r>
        <w:t xml:space="preserve">hanxinru@caas.cn</w:t>
      </w:r>
    </w:p>
    <w:p>
      <w:pPr>
        <w:pStyle w:val="Heading2"/>
      </w:pPr>
      <w:bookmarkStart w:id="21" w:name="internal-release-checklist"/>
      <w:r>
        <w:t xml:space="preserve">Internal release checklist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Both frozen CASM-World price gates pass.</w:t>
      </w:r>
    </w:p>
    <w:p>
      <w:pPr>
        <w:numPr>
          <w:ilvl w:val="0"/>
          <w:numId w:val="1001"/>
        </w:numPr>
        <w:pStyle w:val="Compact"/>
      </w:pPr>
      <w:r>
        <w:t xml:space="preserve">☐ Shared crop-resource response is implemented or pre-specifically bounded.</w:t>
      </w:r>
    </w:p>
    <w:p>
      <w:pPr>
        <w:numPr>
          <w:ilvl w:val="0"/>
          <w:numId w:val="1001"/>
        </w:numPr>
        <w:pStyle w:val="Compact"/>
      </w:pPr>
      <w:r>
        <w:t xml:space="preserve">☐ Counterfactual outputs are regenerated from the promoted baseline hash.</w:t>
      </w:r>
    </w:p>
    <w:p>
      <w:pPr>
        <w:numPr>
          <w:ilvl w:val="0"/>
          <w:numId w:val="1001"/>
        </w:numPr>
        <w:pStyle w:val="Compact"/>
      </w:pPr>
      <w:r>
        <w:t xml:space="preserve">☐ Manuscript/SI figures and claim registry are rebuilt from that hash.</w:t>
      </w:r>
    </w:p>
    <w:p>
      <w:pPr>
        <w:numPr>
          <w:ilvl w:val="0"/>
          <w:numId w:val="1001"/>
        </w:numPr>
        <w:pStyle w:val="Compact"/>
      </w:pPr>
      <w:r>
        <w:t xml:space="preserve">☐ External-data licensing and repository download instructions are checked.</w:t>
      </w:r>
    </w:p>
    <w:p>
      <w:pPr>
        <w:numPr>
          <w:ilvl w:val="0"/>
          <w:numId w:val="1001"/>
        </w:numPr>
        <w:pStyle w:val="Compact"/>
      </w:pPr>
      <w:r>
        <w:t xml:space="preserve">☐ Final author list, affiliations, funding and acknowledgements are confirmed.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2026-08-29T11:05:08Z</dcterms:created>
  <dcterms:modified xsi:type="dcterms:W3CDTF">2026-08-29T11:05:08Z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