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d6f6d1dd187437572b141da81c7a7cbc0a409"/>
      <w:r>
        <w:t xml:space="preserve">China’s dietary transition redistributes agricultural production and farm-gate emissions across global economies</w:t>
      </w:r>
      <w:bookmarkEnd w:id="20"/>
    </w:p>
    <w:p>
      <w:pPr>
        <w:pStyle w:val="FirstParagraph"/>
      </w:pPr>
      <w:r>
        <w:rPr>
          <w:b/>
        </w:rPr>
        <w:t xml:space="preserve">Shengnan Huang¹, Xinru Han¹*</w:t>
      </w:r>
    </w:p>
    <w:p>
      <w:pPr>
        <w:pStyle w:val="BodyText"/>
      </w:pPr>
      <w:r>
        <w:t xml:space="preserve">¹ Institute of Agricultural Economics and Development, Chinese Academy of Agricultural Sciences, Beijing 100081, China</w:t>
      </w:r>
    </w:p>
    <w:p>
      <w:pPr>
        <w:pStyle w:val="BodyText"/>
      </w:pPr>
      <w:r>
        <w:t xml:space="preserve">* Corresponding author: hanxinru@caas.cn</w:t>
      </w:r>
    </w:p>
    <w:p>
      <w:pPr>
        <w:pStyle w:val="BodyText"/>
      </w:pPr>
      <w:r>
        <w:rPr>
          <w:b/>
        </w:rPr>
        <w:t xml:space="preserve">Manuscript status (29 August 2026).</w:t>
      </w:r>
      <w:r>
        <w:t xml:space="preserve"> </w:t>
      </w:r>
      <w:r>
        <w:t xml:space="preserve">Nature Communications-oriented research draft based on the rebuilt CASM-World V2 diagnostic model. The counterfactual experiment and all reported contrasts pass their computational audits. The underlying SSP baseline passes 18 of 20 frozen publication gates and is therefore classified as a</w:t>
      </w:r>
      <w:r>
        <w:t xml:space="preserve"> </w:t>
      </w:r>
      <w:r>
        <w:rPr>
          <w:i/>
        </w:rPr>
        <w:t xml:space="preserve">computationally valid diagnostic conditional scenario, not a publication baseline</w:t>
      </w:r>
      <w:r>
        <w:t xml:space="preserve">. This draft must not be submitted as a final projection paper until the two price gates and the shared-resource limitation described below are resolved.</w:t>
      </w:r>
    </w:p>
    <w:p>
      <w:pPr>
        <w:pStyle w:val="Heading2"/>
      </w:pPr>
      <w:bookmarkStart w:id="21" w:name="abstract"/>
      <w:r>
        <w:t xml:space="preserve">Abstract</w:t>
      </w:r>
      <w:bookmarkEnd w:id="21"/>
    </w:p>
    <w:p>
      <w:pPr>
        <w:pStyle w:val="FirstParagraph"/>
      </w:pPr>
      <w:r>
        <w:t xml:space="preserve">National dietary policies can affect producers and emissions far beyond the country in which consumption changes. We connect four Chinese dietary pathways to a rebuilt global agricultural partial-equilibrium model resolving 193 economy accounts and 31 products. China-specific preference shifts are applied to the food component of 19 covered products, while prices and production adjust simultaneously in all economies under five Shared Socioeconomic Pathways. In the central SSP2 experiment for 2050, partial implementation of the composite-guideline pathway lowers world pigmeat and rice prices by 46% and 15%, respectively, while raising fluid-milk and whole-milk-powder prices by 19% and 23%. Model-covered primary production falls by 71 Mt and attributed biological farm-gate emissions by 255 Mt CO2e (4.0%); 81% of the emissions change occurs outside mainland China, mainly in Asia and the Americas. Preference-driven upgrading instead increases global emissions by 23 Mt CO2e. Paired effects vary little across SSP1-SSP5 but materially across demand-system specifications: the poultry price response changes from +8% in the independent-product model to -11% in the nested-demand sensitivity, and the pigmeat decline narrows from 46% to 21%. China’s dietary transition is therefore a cross-border agricultural adjustment problem, but model-form uncertainty must accompany any quantitative policy claim.</w:t>
      </w:r>
    </w:p>
    <w:p>
      <w:pPr>
        <w:pStyle w:val="Heading2"/>
      </w:pPr>
      <w:bookmarkStart w:id="22" w:name="introduction"/>
      <w:r>
        <w:t xml:space="preserve">Introduction</w:t>
      </w:r>
      <w:bookmarkEnd w:id="22"/>
    </w:p>
    <w:p>
      <w:pPr>
        <w:pStyle w:val="FirstParagraph"/>
      </w:pPr>
      <w:r>
        <w:t xml:space="preserve">China’s dietary transition is often framed as a domestic problem of nutrition, food security and environmental pressure. Rising incomes and urbanisation have shifted consumption away from grain-centred diets and towards animal-source foods, oils and more diverse foods [1-4]. This transition changes diet-related health risks and the resource requirements of China’s food system [5-10]. Yet domestic accounting alone is incomplete for a large economy connected to world agricultural markets. A demand contraction in China can reduce production abroad through lower prices; an expansion in dairy or poultry demand can create the opposite adjustment. The environmental consequences can therefore occur predominantly outside the jurisdiction implementing dietary policy.</w:t>
      </w:r>
    </w:p>
    <w:p>
      <w:pPr>
        <w:pStyle w:val="BodyText"/>
      </w:pPr>
      <w:r>
        <w:t xml:space="preserve">Existing China-focused studies show that healthier diets can generate environmental co-benefits, but not automatically or uniformly [11-15]. Global food-system studies likewise establish strong links among diet, land and greenhouse-gas (GHG) emissions [7-10]. What remains less resolved is the incidence of a China-specific dietary transition across individual economies, world regions and income groups after market feedback. This is a telecoupling question [16,17]: who adjusts production, by how much, and where do production-attributed emissions change when Chinese preferences shift?</w:t>
      </w:r>
    </w:p>
    <w:p>
      <w:pPr>
        <w:pStyle w:val="BodyText"/>
      </w:pPr>
      <w:r>
        <w:t xml:space="preserve">Three methodological issues complicate that question. First, a global total can hide opposing commodity channels. A transition away from red meat can loosen livestock markets while movement towards dietary guidance can increase dairy and poultry demand. Second, macroeconomic uncertainty and behavioral-model uncertainty are distinct. Alternative population and income pathways may affect paired policy contrasts differently from alternative assumptions about substitution among foods. Third, apparent precision is misleading when a world model omits foods that are important to the source diet scenario or lacks shared land and other resource constraints.</w:t>
      </w:r>
    </w:p>
    <w:p>
      <w:pPr>
        <w:pStyle w:val="BodyText"/>
      </w:pPr>
      <w:r>
        <w:t xml:space="preserve">Here we use the rebuilt CASM-World 2050 model to examine how Chinese dietary change affects mainland China, the world, UN regions, World Bank income groups and individual economy-product pairs. The model solves 193 economy accounts and 31 agricultural products with one clearing world price per product, economy-specific price wedges, fixed physical processing identities and residual net trade. We translate four paths from the China Agricultural Sector Model (CASM) into annual preference multipliers: a same-SSP baseline, preference-driven transition (PTS), moderate transition (MTS) and composite-guideline transition (CGS). Nineteen of the world model’s products receive a China food-demand shift; non-food final uses retain their SSP macro path. SSP2 is solved annually from 2023 to 2050, the other four SSPs at the common benchmark and 2050, and low-, central-, high-response and nested-demand variants are solved for SSP2 in 2050.</w:t>
      </w:r>
    </w:p>
    <w:p>
      <w:pPr>
        <w:pStyle w:val="BodyText"/>
      </w:pPr>
      <w:r>
        <w:t xml:space="preserve">This design advances the earlier manuscript in two ways. It replaces a 13-region one-way world module with a common global equilibrium in which the policy shock affects prices and all economies, including China’s model account, respond to those prices. It also changes the substantive question from whether a target diet has a single global benefit to how benefits and adjustment pressures are distributed, and how robust those effects are to macro and model-form uncertainty.</w:t>
      </w:r>
    </w:p>
    <w:p>
      <w:pPr>
        <w:pStyle w:val="Heading2"/>
      </w:pPr>
      <w:bookmarkStart w:id="23" w:name="results"/>
      <w:r>
        <w:t xml:space="preserve">Results</w:t>
      </w:r>
      <w:bookmarkEnd w:id="23"/>
    </w:p>
    <w:p>
      <w:pPr>
        <w:pStyle w:val="Heading3"/>
      </w:pPr>
      <w:bookmarkStart w:id="24" w:name="X738b79931065282493e2021a5929fc2038dcac0"/>
      <w:r>
        <w:t xml:space="preserve">Four Chinese dietary paths create opposing global demand signals</w:t>
      </w:r>
      <w:bookmarkEnd w:id="24"/>
    </w:p>
    <w:p>
      <w:pPr>
        <w:pStyle w:val="FirstParagraph"/>
      </w:pPr>
      <w:r>
        <w:t xml:space="preserve">The experiment preserves the China model’s annual pathway shapes rather than imposing an arbitrary percentage shock. For each covered product and year, the pathway’s per-capita food demand is divided by the China-model baseline value. The resulting multiplier affects only mainland China’s food component in CASM-World; feed, seed, losses and other final uses continue along their SSP macro trajectories (Fig. 1).</w:t>
      </w:r>
    </w:p>
    <w:p>
      <w:pPr>
        <w:pStyle w:val="BodyText"/>
      </w:pPr>
      <w:r>
        <w:t xml:space="preserve">The covered CGS signal is not a uniform demand reduction. By 2050 it sharply lowers the China-model quantities used to construct the rice, wheat, pigmeat and bovine-meat multipliers while increasing poultry and dairy multipliers. MTS lies between PTS and CGS by construction of the source China pathways. PTS retains continued animal-food upgrading and produces smaller increases for meat and dairy alongside modest staple declines. These opposing product-level signals are central to the global results.</w:t>
      </w:r>
    </w:p>
    <w:p>
      <w:pPr>
        <w:pStyle w:val="BodyText"/>
      </w:pPr>
      <w:r>
        <w:t xml:space="preserve">Six source foods cannot be transmitted because CASM-World has no corresponding market: tubers, vegetables, fruits, eggs, aquatic foods and sheep/goat meat. CGS should therefore be read as</w:t>
      </w:r>
      <w:r>
        <w:t xml:space="preserve"> </w:t>
      </w:r>
      <w:r>
        <w:rPr>
          <w:i/>
        </w:rPr>
        <w:t xml:space="preserve">partial implementation of composite-guideline shifts in model-covered commodities</w:t>
      </w:r>
      <w:r>
        <w:t xml:space="preserve">, not as a complete healthy diet in the global model. In particular, neither total diet adequacy nor the global market consequences of the source pathway’s increases in fruit, vegetables and aquatic food are identified here.</w:t>
      </w:r>
    </w:p>
    <w:p>
      <w:pPr>
        <w:pStyle w:val="Heading3"/>
      </w:pPr>
      <w:bookmarkStart w:id="25" w:name="X61b2b5490b63ff6ba15c34824d8c91cc9d45e16"/>
      <w:r>
        <w:t xml:space="preserve">Pigmeat contraction and dairy expansion reprice world markets</w:t>
      </w:r>
      <w:bookmarkEnd w:id="25"/>
    </w:p>
    <w:p>
      <w:pPr>
        <w:pStyle w:val="FirstParagraph"/>
      </w:pPr>
      <w:r>
        <w:t xml:space="preserve">Under central SSP2 conditions in 2050, CGS lowers the world pigmeat price by 46.2% relative to the same-SSP baseline (Fig. 2a; Table 1). Prices also fall for soybean oil (-16.6%), rice (-14.6%), bovine meat (-12.1%) and wheat (-5.4%). The direction reverses for products that expand in the source pathway: poultry rises by 8.4%, fluid milk by 18.6%, whole-milk powder by 22.6% and non-fat dry milk by 29.3%.</w:t>
      </w:r>
    </w:p>
    <w:p>
      <w:pPr>
        <w:pStyle w:val="BodyText"/>
      </w:pPr>
      <w:r>
        <w:t xml:space="preserve">The two intermediate pathways distinguish dietary transition from guideline-oriented transition. PTS raises the pigmeat price by 7.8%, poultry by 1.7%, fluid milk by 3.3% and whole-milk powder by 3.9%, while reducing rice by 2.9%. MTS produces a broad contraction in red-meat and staple prices but retains the dairy expansion: pigmeat falls by 28.9%, rice by 9.3%, fluid milk rises by 9.7% and whole-milk powder by 11.6%. Thus the direction of dietary change, not only its pace, determines which global value chains expand.</w:t>
      </w:r>
    </w:p>
    <w:p>
      <w:pPr>
        <w:pStyle w:val="BodyText"/>
      </w:pPr>
      <w:r>
        <w:t xml:space="preserve">The magnitudes are paired scenario effects, not standalone 2050 price forecasts. Each comparison holds the SSP, parameters and model structure constant and differs only in China’s food-preference path. This distinction matters because the underlying baseline remains diagnostic.</w:t>
      </w:r>
    </w:p>
    <w:p>
      <w:pPr>
        <w:pStyle w:val="Heading3"/>
      </w:pPr>
      <w:bookmarkStart w:id="26" w:name="Xd4934831d52c0b71f96fde3f2f2c3b44189d102"/>
      <w:r>
        <w:t xml:space="preserve">China’s demand shock is absorbed through domestic output and net-balance adjustment</w:t>
      </w:r>
      <w:bookmarkEnd w:id="26"/>
    </w:p>
    <w:p>
      <w:pPr>
        <w:pStyle w:val="FirstParagraph"/>
      </w:pPr>
      <w:r>
        <w:t xml:space="preserve">The central SSP2 CGS pathway changes China’s 2050 food demand by -63.0 Mt for rice, -51.6 Mt for pigmeat, -35.6 Mt for wheat and -9.8 Mt for bovine meat, while fluid milk increases by 53.9 Mt and poultry by 11.8 Mt relative to baseline. Price feedback changes domestic production in the same direction but by less: rice production falls by 15.9 Mt, pigmeat by 19.2 Mt, wheat by 5.3 Mt and bovine meat by 0.9 Mt; fluid-milk processing rises by 5.2 Mt, raw-milk production by 2.7 Mt and poultry by 1.6 Mt.</w:t>
      </w:r>
    </w:p>
    <w:p>
      <w:pPr>
        <w:pStyle w:val="BodyText"/>
      </w:pPr>
      <w:r>
        <w:t xml:space="preserve">The remaining adjustment appears in the model’s residual net-import identity. China’s net-import balance changes by -46.6 Mt for rice, -32.3 Mt for pigmeat and -29.7 Mt for wheat, and by +48.7 Mt for fluid milk and +10.3 Mt for poultry (Fig. 3a). These values are not bilateral flows. Moreover, the same-SSP baseline already produces implausible net-export pressure for parts of China’s primary basket because independent supply curves share no land or other aggregate resource constraint. We therefore interpret the values as directional net-balance pressure conditional on the model, not as forecasts of Chinese export volumes.</w:t>
      </w:r>
    </w:p>
    <w:p>
      <w:pPr>
        <w:pStyle w:val="Heading3"/>
      </w:pPr>
      <w:bookmarkStart w:id="27" w:name="X3fb436ccd5bebd86312049e23cea8170ef7cf9a"/>
      <w:r>
        <w:t xml:space="preserve">Adjustment extends across regions, income groups and individual economies</w:t>
      </w:r>
      <w:bookmarkEnd w:id="27"/>
    </w:p>
    <w:p>
      <w:pPr>
        <w:pStyle w:val="FirstParagraph"/>
      </w:pPr>
      <w:r>
        <w:t xml:space="preserve">CGS reduces world production in a non-overlapping 13-primary-product basket by 71.0 Mt (-0.75%) in SSP2. Asia accounts for -59.4 Mt, followed by Europe (-5.0 Mt), the Americas (-4.9 Mt), Africa (-1.3 Mt) and Oceania (-0.4 Mt). Mainland China’s contribution is -37.4 Mt; changes outside China sum to -33.6 Mt. Developing economies account for -63.4 Mt (-0.91%), compared with -7.7 Mt (-0.32%) in high-income economies. Among income groups, upper-middle-income economies show the largest absolute reduction (-45.7 Mt), followed by lower-middle-income economies (-17.6 Mt).</w:t>
      </w:r>
    </w:p>
    <w:p>
      <w:pPr>
        <w:pStyle w:val="BodyText"/>
      </w:pPr>
      <w:r>
        <w:t xml:space="preserve">Aggregate regional contraction coexists with large product-level reallocations (Fig. 3b,c). Outside China, fluid-milk processing rises by 14.5 Mt in India, 3.3 Mt in Pakistan and 3.2 Mt in Brazil; raw-milk production rises by 10.8 Mt in India and 4.1 Mt in the United States. In contrast, rice production falls by 13.6 Mt in India, 4.1 Mt in Indonesia and 3.6 Mt in Viet Nam. US pigmeat production falls by 2.9 Mt (-23.4%), Brazilian pigmeat by 1.4 Mt (-22.4%) and Brazilian bovine meat by 1.0 Mt (-6.8%), while US poultry rises by 1.0 Mt (+4.1%). Processed and primary dairy quantities are reported separately and must not be added because they occupy adjacent stages of the same physical chain.</w:t>
      </w:r>
    </w:p>
    <w:p>
      <w:pPr>
        <w:pStyle w:val="BodyText"/>
      </w:pPr>
      <w:r>
        <w:t xml:space="preserve">These results show why a world aggregate is insufficient. The same Chinese pathway contracts red-meat and rice producers while expanding dairy suppliers, and adjustment occurs in economies with different income levels and capacities to absorb price change. The model does not estimate income, employment or producer-welfare effects, so production changes identify exposure rather than welfare incidence.</w:t>
      </w:r>
    </w:p>
    <w:p>
      <w:pPr>
        <w:pStyle w:val="Heading3"/>
      </w:pPr>
      <w:bookmarkStart w:id="28" w:name="Xbd65604eac8129065552a97771c21ff676b0922"/>
      <w:r>
        <w:t xml:space="preserve">Most model-covered GHG change occurs outside China</w:t>
      </w:r>
      <w:bookmarkEnd w:id="28"/>
    </w:p>
    <w:p>
      <w:pPr>
        <w:pStyle w:val="FirstParagraph"/>
      </w:pPr>
      <w:r>
        <w:t xml:space="preserve">With frozen 2023 attributed biological farm-gate emission factors, the SSP2 baseline produces 6,295.8 Mt CO2e in 2050 for the covered primary basket. CGS lowers this amount by 254.5 Mt CO2e (-4.04%); China’s reduction is 47.3 Mt and the reduction outside China is 207.2 Mt. Thus 81.4% of the model-covered change occurs beyond mainland China (Fig. 4).</w:t>
      </w:r>
    </w:p>
    <w:p>
      <w:pPr>
        <w:pStyle w:val="BodyText"/>
      </w:pPr>
      <w:r>
        <w:t xml:space="preserve">Asia (-106.7 Mt CO2e) and the Americas (-97.6 Mt) together account for 80.3% of the world reduction, followed by Europe (-25.1 Mt), Africa (-18.2 Mt) and Oceania (-7.0 Mt). Developing economies account for -196.0 Mt, or 77.0% of the global change. By income group, upper-middle-income economies contribute -135.5 Mt, high-income economies -56.5 Mt, lower-middle-income economies -54.6 Mt and low-income economies -6.0 Mt. The United States contributes -18.1 Mt.</w:t>
      </w:r>
    </w:p>
    <w:p>
      <w:pPr>
        <w:pStyle w:val="BodyText"/>
      </w:pPr>
      <w:r>
        <w:t xml:space="preserve">The alternative pathways again differ in sign and scale. MTS lowers model-covered global farm-gate emissions by 160.8 Mt CO2e (-2.55%), whereas PTS raises them by 23.1 Mt (+0.37%). Dietary change is therefore not intrinsically mitigating; the commodity composition of the path determines the result.</w:t>
      </w:r>
    </w:p>
    <w:p>
      <w:pPr>
        <w:pStyle w:val="BodyText"/>
      </w:pPr>
      <w:r>
        <w:t xml:space="preserve">These accounts are neither lifecycle footprints nor a dynamic mitigation inventory. They attribute production using frozen 2023 biological farm-gate intensities and exclude land-use change, processing energy, transport, retail and consumption. The result means that modelled production relocation changes this specific covered account, not that full food-system emissions would fall by the same amount.</w:t>
      </w:r>
    </w:p>
    <w:p>
      <w:pPr>
        <w:pStyle w:val="Heading3"/>
      </w:pPr>
      <w:bookmarkStart w:id="29" w:name="Xcbc12df7a20bd2b158dfda32887598e424301d6"/>
      <w:r>
        <w:t xml:space="preserve">SSP uncertainty is small, but demand-system uncertainty is material</w:t>
      </w:r>
      <w:bookmarkEnd w:id="29"/>
    </w:p>
    <w:p>
      <w:pPr>
        <w:pStyle w:val="FirstParagraph"/>
      </w:pPr>
      <w:r>
        <w:t xml:space="preserve">The paired CGS effects are similar across SSP1-SSP5. In 2050, the pigmeat price effect ranges from -46.8% to -46.2%, rice from -15.1% to -14.3%, fluid milk from +18.6% to +19.1%, and whole-milk powder from +22.5% to +23.2%. The CGS global farm-gate GHG effect ranges from -273.4 to -244.2 Mt CO2e (-4.14% to -4.04%). This narrow range indicates that, in this model, holding the diet contrast paired within each SSP removes much of the macro-level variation.</w:t>
      </w:r>
    </w:p>
    <w:p>
      <w:pPr>
        <w:pStyle w:val="BodyText"/>
      </w:pPr>
      <w:r>
        <w:t xml:space="preserve">Demand-system choice is more consequential (Fig. 2b). Low-, central- and high-response parameter variants preserve the main independent-product signs, although crop and dairy magnitudes vary. Introducing five within-food substitution nests with an inner Cobb-Douglas allocation narrows the CGS pigmeat price decline from 46.2% to 21.2% and the rice decline from 14.6% to 5.1%. More importantly, poultry changes sign, from +8.4% in the central independent-product model to -10.8% in the nested-demand sensitivity. Fluid milk remains positive across variants (+17.9% to +23.4%), as does whole-milk powder (+21.4% to +24.9%).</w:t>
      </w:r>
    </w:p>
    <w:p>
      <w:pPr>
        <w:pStyle w:val="BodyText"/>
      </w:pPr>
      <w:r>
        <w:t xml:space="preserve">The robust qualitative result is therefore an opposing red-meat contraction and dairy expansion, not the sign of every commodity response. Any policy interpretation that relies on a specific poultry effect or on the central pigmeat magnitude must report the demand-form sensitivity.</w:t>
      </w:r>
    </w:p>
    <w:p>
      <w:pPr>
        <w:pStyle w:val="Heading2"/>
      </w:pPr>
      <w:bookmarkStart w:id="30" w:name="discussion"/>
      <w:r>
        <w:t xml:space="preserve">Discussion</w:t>
      </w:r>
      <w:bookmarkEnd w:id="30"/>
    </w:p>
    <w:p>
      <w:pPr>
        <w:pStyle w:val="FirstParagraph"/>
      </w:pPr>
      <w:r>
        <w:t xml:space="preserve">China’s dietary transition is also a global agricultural policy shock. In this experiment, most of the covered GHG response occurs outside China, and adjustment is concentrated in Asia, the Americas and middle-income economies. This result changes the unit of policy analysis. Evaluating dietary guidance only against China’s domestic production account misses the majority of the modelled emissions response and the production exposure of foreign suppliers.</w:t>
      </w:r>
    </w:p>
    <w:p>
      <w:pPr>
        <w:pStyle w:val="BodyText"/>
      </w:pPr>
      <w:r>
        <w:t xml:space="preserve">The mechanism is not a generic demand contraction. CGS combines a large reduction in pigmeat and staples with an expansion in dairy and poultry. Lower pigmeat prices contract production across multiple exporting and consuming economies, whereas dairy demand raises milk-product prices and expands raw-milk and processing activity. These opposing channels imply that transition policy requires commodity-specific adjustment planning. Export-dependent red-meat producers face contraction pressure, while dairy supply chains face expansion pressure and potentially different environmental constraints.</w:t>
      </w:r>
    </w:p>
    <w:p>
      <w:pPr>
        <w:pStyle w:val="BodyText"/>
      </w:pPr>
      <w:r>
        <w:t xml:space="preserve">The contrast between SSP and model-form sensitivity has methodological implications. Because each policy effect is computed against its own SSP baseline, population and income differences largely cancel from the paired contrast. They should still be reported, but they are not the dominant uncertainty here. Substitution structure is. An independent product demand system requires each product market to absorb its own shock, whereas a nested system reallocates expenditure within food groups. The sign reversal for poultry demonstrates that a result can look stable across five socioeconomic futures while remaining structurally uncertain.</w:t>
      </w:r>
    </w:p>
    <w:p>
      <w:pPr>
        <w:pStyle w:val="BodyText"/>
      </w:pPr>
      <w:r>
        <w:t xml:space="preserve">This study deliberately does not translate production exposure into welfare. Lower food prices may benefit consumers and harm producers, but the incidence depends on bilateral trade, market power, domestic policy, value-chain margins and factor mobility, none of which are resolved here. Likewise, the production and GHG changes are conditional on frozen behavioral parameters, technology paths and emission intensities. A future welfare analysis should add producer and consumer surplus, bilateral trade frictions, and transition costs rather than inferring them from tonnes alone.</w:t>
      </w:r>
    </w:p>
    <w:p>
      <w:pPr>
        <w:pStyle w:val="BodyText"/>
      </w:pPr>
      <w:r>
        <w:t xml:space="preserve">Several limitations define the boundary of the evidence. First, the world model omits tubers, fruit, vegetables, eggs, aquatic foods and sheep/goat meat. These omissions are especially important for the CGS path and prevent complete nutrition, health and environmental claims. The model-covered nutrition calculation is retained only as a diagnostic in the Supplementary Information. Second, net trade is a residual identity in a one-world-price model without bilateral allocation. Third, independent product supply lacks shared land, feed, herd, water and other resource constraints. This limitation contributes to the model’s structural China trade reversal and prevents land-sparing claims. Fourth, dairy processing uses fixed physical recipes, so product-mix flexibility is limited. Fifth, farm-gate GHG factors are frozen at 2023 levels and exclude lifecycle and land-use-change emissions.</w:t>
      </w:r>
    </w:p>
    <w:p>
      <w:pPr>
        <w:pStyle w:val="BodyText"/>
      </w:pPr>
      <w:r>
        <w:t xml:space="preserve">The baseline validation status must also constrain interpretation. The rebuilt model exactly reproduces its 2023 benchmark, clears all counterfactual markets to numerical tolerance, passes all essential-food price checks and passes the preregistered aggregate OECD-FAO holdout thresholds. However, two of 20 frozen publication gates fail: an SSP5 other-dairy price index exceeds the declared upper bound, and only 93.548% of 2050 prices lie in the central [0.5, 2.0] band, below the 95% requirement. The correct current label is consequently</w:t>
      </w:r>
      <w:r>
        <w:t xml:space="preserve"> </w:t>
      </w:r>
      <w:r>
        <w:rPr>
          <w:i/>
        </w:rPr>
        <w:t xml:space="preserve">diagnostic conditional scenario</w:t>
      </w:r>
      <w:r>
        <w:t xml:space="preserve">. Promotion to a publication baseline requires resolving these gates without changing thresholds after seeing results, and implementing or bounding a shared crop-resource mechanism.</w:t>
      </w:r>
    </w:p>
    <w:p>
      <w:pPr>
        <w:pStyle w:val="BodyText"/>
      </w:pPr>
      <w:r>
        <w:t xml:space="preserve">Within those limits, the analysis identifies a policy-relevant and testable proposition: national dietary change can redistribute agricultural production and production-attributed emissions predominantly outside the implementing country, through opposing commodity channels. A credible high-impact assessment should therefore combine dietary scenarios with explicit global incidence, and should treat demand-system uncertainty as a first-order result rather than a technical appendix.</w:t>
      </w:r>
    </w:p>
    <w:p>
      <w:pPr>
        <w:pStyle w:val="Heading2"/>
      </w:pPr>
      <w:bookmarkStart w:id="31" w:name="methods"/>
      <w:r>
        <w:t xml:space="preserve">Methods</w:t>
      </w:r>
      <w:bookmarkEnd w:id="31"/>
    </w:p>
    <w:p>
      <w:pPr>
        <w:pStyle w:val="Heading3"/>
      </w:pPr>
      <w:bookmarkStart w:id="32" w:name="china-dietary-pathways"/>
      <w:r>
        <w:t xml:space="preserve">China dietary pathways</w:t>
      </w:r>
      <w:bookmarkEnd w:id="32"/>
    </w:p>
    <w:p>
      <w:pPr>
        <w:pStyle w:val="FirstParagraph"/>
      </w:pPr>
      <w:r>
        <w:t xml:space="preserve">The source pathways are the central medium-population, medium-urbanisation solutions from CASM v2.2.7. The same-SSP</w:t>
      </w:r>
      <w:r>
        <w:t xml:space="preserve"> </w:t>
      </w:r>
      <w:r>
        <w:rPr>
          <w:b/>
        </w:rPr>
        <w:t xml:space="preserve">baseline (BS)</w:t>
      </w:r>
      <w:r>
        <w:t xml:space="preserve"> </w:t>
      </w:r>
      <w:r>
        <w:t xml:space="preserve">is the reference path.</w:t>
      </w:r>
      <w:r>
        <w:t xml:space="preserve"> </w:t>
      </w:r>
      <w:r>
        <w:rPr>
          <w:b/>
        </w:rPr>
        <w:t xml:space="preserve">PTS</w:t>
      </w:r>
      <w:r>
        <w:t xml:space="preserve"> </w:t>
      </w:r>
      <w:r>
        <w:t xml:space="preserve">(source scenario A1) represents preference-driven transition with income elasticities evolving with per-capita income [21,22].</w:t>
      </w:r>
      <w:r>
        <w:t xml:space="preserve"> </w:t>
      </w:r>
      <w:r>
        <w:rPr>
          <w:b/>
        </w:rPr>
        <w:t xml:space="preserve">CGS</w:t>
      </w:r>
      <w:r>
        <w:t xml:space="preserve"> </w:t>
      </w:r>
      <w:r>
        <w:t xml:space="preserve">(source B1) converges towards a composite target constructed from five dietary-guideline systems, including the Dietary Guidelines for Chinese Residents (2022) and the EAT-Lancet reference diet [9,25].</w:t>
      </w:r>
      <w:r>
        <w:t xml:space="preserve"> </w:t>
      </w:r>
      <w:r>
        <w:rPr>
          <w:b/>
        </w:rPr>
        <w:t xml:space="preserve">MTS</w:t>
      </w:r>
      <w:r>
        <w:t xml:space="preserve"> </w:t>
      </w:r>
      <w:r>
        <w:t xml:space="preserve">(source C1) uses the source model’s intermediate pathway. We use</w:t>
      </w:r>
      <w:r>
        <w:t xml:space="preserve"> </w:t>
      </w:r>
      <w:r>
        <w:rPr>
          <w:rStyle w:val="VerbatimChar"/>
        </w:rPr>
        <w:t xml:space="preserve">CGS</w:t>
      </w:r>
      <w:r>
        <w:t xml:space="preserve">, rather than</w:t>
      </w:r>
      <w:r>
        <w:t xml:space="preserve"> </w:t>
      </w:r>
      <w:r>
        <w:rPr>
          <w:rStyle w:val="VerbatimChar"/>
        </w:rPr>
        <w:t xml:space="preserve">healthy-diet scenario</w:t>
      </w:r>
      <w:r>
        <w:t xml:space="preserve">, because only a subset of the source foods can be represented in the world model.</w:t>
      </w:r>
    </w:p>
    <w:p>
      <w:pPr>
        <w:pStyle w:val="BodyText"/>
      </w:pPr>
      <w:r>
        <w:t xml:space="preserve">For world product</w:t>
      </w:r>
      <w:r>
        <w:t xml:space="preserve"> </w:t>
      </w:r>
      <w:r>
        <w:rPr>
          <w:i/>
        </w:rPr>
        <w:t xml:space="preserve">i</w:t>
      </w:r>
      <w:r>
        <w:t xml:space="preserve">, dietary pathway</w:t>
      </w:r>
      <w:r>
        <w:t xml:space="preserve"> </w:t>
      </w:r>
      <w:r>
        <w:rPr>
          <w:i/>
        </w:rPr>
        <w:t xml:space="preserve">d</w:t>
      </w:r>
      <w:r>
        <w:t xml:space="preserve"> </w:t>
      </w:r>
      <w:r>
        <w:t xml:space="preserve">and year</w:t>
      </w:r>
      <w:r>
        <w:t xml:space="preserve"> </w:t>
      </w:r>
      <w:r>
        <w:rPr>
          <w:i/>
        </w:rPr>
        <w:t xml:space="preserve">t</w:t>
      </w:r>
      <w:r>
        <w:t xml:space="preserve">, the China preference multiplier is</w:t>
      </w:r>
    </w:p>
    <w:p>
      <w:pPr>
        <w:pStyle w:val="BodyText"/>
      </w:pPr>
      <w:r>
        <w:rPr>
          <w:rStyle w:val="VerbatimChar"/>
        </w:rPr>
        <w:t xml:space="preserve">m(i,d,t) = q(i,d,t) / q(i,BS,t)</w:t>
      </w:r>
      <w:r>
        <w:t xml:space="preserve">,</w:t>
      </w:r>
    </w:p>
    <w:p>
      <w:pPr>
        <w:pStyle w:val="BodyText"/>
      </w:pPr>
      <w:r>
        <w:t xml:space="preserve">where</w:t>
      </w:r>
      <w:r>
        <w:t xml:space="preserve"> </w:t>
      </w:r>
      <w:r>
        <w:rPr>
          <w:rStyle w:val="VerbatimChar"/>
        </w:rPr>
        <w:t xml:space="preserve">q</w:t>
      </w:r>
      <w:r>
        <w:t xml:space="preserve"> </w:t>
      </w:r>
      <w:r>
        <w:t xml:space="preserve">is per-capita food demand in the source CASM solution. When several source commodities map to one world product, the numerator and denominator are sums in kg per person per year before the ratio is calculated. All multipliers equal one in 2023 by construction.</w:t>
      </w:r>
    </w:p>
    <w:p>
      <w:pPr>
        <w:pStyle w:val="Heading3"/>
      </w:pPr>
      <w:bookmarkStart w:id="33" w:name="X9f4e39020eb07bae9b449acf0ba74b3ab86e341"/>
      <w:r>
        <w:t xml:space="preserve">Commodity mapping and intervention boundary</w:t>
      </w:r>
      <w:bookmarkEnd w:id="33"/>
    </w:p>
    <w:p>
      <w:pPr>
        <w:pStyle w:val="FirstParagraph"/>
      </w:pPr>
      <w:r>
        <w:t xml:space="preserve">Nineteen CASM-World products receive a multiplier: rice, wheat, maize, other coarse grains, soybeans for food, four vegetable oils, sugar, bovine meat, pigmeat, poultry meat and six processed dairy products. The four oil products share the aggregate China edible-oil multiplier, and the six dairy products share the China dairy multiplier. Tubers, vegetables, fruits, eggs, aquatic foods and sheep/goat meat are excluded because no corresponding market exists in the 31-product world model. The complete mapping and audit are in</w:t>
      </w:r>
      <w:r>
        <w:t xml:space="preserve"> </w:t>
      </w:r>
      <w:r>
        <w:rPr>
          <w:rStyle w:val="VerbatimChar"/>
        </w:rPr>
        <w:t xml:space="preserve">model/casm_world_rebuild_study/config.yaml</w:t>
      </w:r>
      <w:r>
        <w:t xml:space="preserve"> </w:t>
      </w:r>
      <w:r>
        <w:t xml:space="preserve">and</w:t>
      </w:r>
      <w:r>
        <w:t xml:space="preserve"> </w:t>
      </w:r>
      <w:r>
        <w:rPr>
          <w:rStyle w:val="VerbatimChar"/>
        </w:rPr>
        <w:t xml:space="preserve">inputs/china_diet_paths_report.json</w:t>
      </w:r>
      <w:r>
        <w:t xml:space="preserve">.</w:t>
      </w:r>
    </w:p>
    <w:p>
      <w:pPr>
        <w:pStyle w:val="BodyText"/>
      </w:pPr>
      <w:r>
        <w:t xml:space="preserve">Let</w:t>
      </w:r>
      <w:r>
        <w:t xml:space="preserve"> </w:t>
      </w:r>
      <w:r>
        <w:rPr>
          <w:rStyle w:val="VerbatimChar"/>
        </w:rPr>
        <w:t xml:space="preserve">s(i)</w:t>
      </w:r>
      <w:r>
        <w:t xml:space="preserve"> </w:t>
      </w:r>
      <w:r>
        <w:t xml:space="preserve">be food’s share of mainland China’s balanced 2023 final demand for product</w:t>
      </w:r>
      <w:r>
        <w:t xml:space="preserve"> </w:t>
      </w:r>
      <w:r>
        <w:rPr>
          <w:i/>
        </w:rPr>
        <w:t xml:space="preserve">i</w:t>
      </w:r>
      <w:r>
        <w:t xml:space="preserve">,</w:t>
      </w:r>
      <w:r>
        <w:t xml:space="preserve"> </w:t>
      </w:r>
      <w:r>
        <w:rPr>
          <w:rStyle w:val="VerbatimChar"/>
        </w:rPr>
        <w:t xml:space="preserve">Zmacro(i,t)</w:t>
      </w:r>
      <w:r>
        <w:t xml:space="preserve"> </w:t>
      </w:r>
      <w:r>
        <w:t xml:space="preserve">the SSP population-income shifter, and</w:t>
      </w:r>
      <w:r>
        <w:t xml:space="preserve"> </w:t>
      </w:r>
      <w:r>
        <w:rPr>
          <w:rStyle w:val="VerbatimChar"/>
        </w:rPr>
        <w:t xml:space="preserve">m(i,d,t)</w:t>
      </w:r>
      <w:r>
        <w:t xml:space="preserve"> </w:t>
      </w:r>
      <w:r>
        <w:t xml:space="preserve">the preference multiplier. The total final-demand shifter passed to the equilibrium is</w:t>
      </w:r>
    </w:p>
    <w:p>
      <w:pPr>
        <w:pStyle w:val="BodyText"/>
      </w:pPr>
      <w:r>
        <w:rPr>
          <w:rStyle w:val="VerbatimChar"/>
        </w:rPr>
        <w:t xml:space="preserve">ZD(i,d,t) = Zmacro(i,t) * [(1 - s(i)) + s(i) * m(i,d,t)]</w:t>
      </w:r>
      <w:r>
        <w:t xml:space="preserve">.</w:t>
      </w:r>
    </w:p>
    <w:p>
      <w:pPr>
        <w:pStyle w:val="BodyText"/>
      </w:pPr>
      <w:r>
        <w:t xml:space="preserve">The food share used for post-solution reporting is</w:t>
      </w:r>
    </w:p>
    <w:p>
      <w:pPr>
        <w:pStyle w:val="BodyText"/>
      </w:pPr>
      <w:r>
        <w:rPr>
          <w:rStyle w:val="VerbatimChar"/>
        </w:rPr>
        <w:t xml:space="preserve">s'(i,d,t) = s(i) * m(i,d,t) / [(1 - s(i)) + s(i) * m(i,d,t)]</w:t>
      </w:r>
      <w:r>
        <w:t xml:space="preserve">.</w:t>
      </w:r>
    </w:p>
    <w:p>
      <w:pPr>
        <w:pStyle w:val="BodyText"/>
      </w:pPr>
      <w:r>
        <w:t xml:space="preserve">This identity changes only the food anchor; non-food final use retains its SSP path. Food and non-food use share the product own-price response in the current model interface.</w:t>
      </w:r>
    </w:p>
    <w:p>
      <w:pPr>
        <w:pStyle w:val="Heading3"/>
      </w:pPr>
      <w:bookmarkStart w:id="34" w:name="casm-world-rebuilt-model"/>
      <w:r>
        <w:t xml:space="preserve">CASM-World rebuilt model</w:t>
      </w:r>
      <w:bookmarkEnd w:id="34"/>
    </w:p>
    <w:p>
      <w:pPr>
        <w:pStyle w:val="FirstParagraph"/>
      </w:pPr>
      <w:r>
        <w:t xml:space="preserve">CASM-World V2 is a non-spatial agricultural partial-equilibrium model with 193 solved economy accounts and 31 products. It is calibrated to a balanced 2023 physical benchmark. Primary supply and final demand use constant-elasticity responses to local prices around SSP-specific population, income, TFP, climate, tariff and real-exchange-rate shifters. Processing activities respond to output-input margins while maintaining fixed physical input-output recipes. One world price clears each product; local producer and consumer prices include economy-product wedges. Net imports equal total demand minus total production and are not allocated bilaterally. The architecture follows the PEATSim tradition [23] but uses the rebuilt data, parameter and validation system documented in the repository.</w:t>
      </w:r>
    </w:p>
    <w:p>
      <w:pPr>
        <w:pStyle w:val="BodyText"/>
      </w:pPr>
      <w:r>
        <w:t xml:space="preserve">The source China pathway is a soft-link target: world prices are not iterated back into the original CASM simulation used to construct</w:t>
      </w:r>
      <w:r>
        <w:t xml:space="preserve"> </w:t>
      </w:r>
      <w:r>
        <w:rPr>
          <w:rStyle w:val="VerbatimChar"/>
        </w:rPr>
        <w:t xml:space="preserve">m</w:t>
      </w:r>
      <w:r>
        <w:t xml:space="preserve">. After the multiplier enters CASM-World, however, China’s world-model demand and supply respond to the same endogenous prices as all other economy accounts. The experiment therefore has global equilibrium price feedback conditional on an externally specified China preference path.</w:t>
      </w:r>
    </w:p>
    <w:p>
      <w:pPr>
        <w:pStyle w:val="Heading3"/>
      </w:pPr>
      <w:bookmarkStart w:id="35" w:name="scenario-grid"/>
      <w:r>
        <w:t xml:space="preserve">Scenario grid</w:t>
      </w:r>
      <w:bookmarkEnd w:id="35"/>
    </w:p>
    <w:p>
      <w:pPr>
        <w:pStyle w:val="FirstParagraph"/>
      </w:pPr>
      <w:r>
        <w:t xml:space="preserve">The main grid contains 144 equilibria. SSP2 is solved annually for 2023-2050 for all four diet pathways (112 solutions). SSP1, SSP3, SSP4 and SSP5 are solved in 2023 and 2050 for all four pathways (32 solutions). Every effect is paired against the baseline diet pathway within the same SSP and year. Sixteen additional SSP2 2050 equilibria cross the four diet pathways with the V2 low-, central- and high-response variants and the five-nest demand-form sensitivity.</w:t>
      </w:r>
    </w:p>
    <w:p>
      <w:pPr>
        <w:pStyle w:val="BodyText"/>
      </w:pPr>
      <w:r>
        <w:t xml:space="preserve">The primary production reporting basket contains 13 non-overlapping products: rice, wheat, maize, other coarse grains, soybeans, sunflower seed, rapeseed, sugar cane, sugar beet, bovine meat, pigmeat, poultry meat and raw milk. Processed products are excluded from basket totals to avoid physical double counting.</w:t>
      </w:r>
    </w:p>
    <w:p>
      <w:pPr>
        <w:pStyle w:val="Heading3"/>
      </w:pPr>
      <w:bookmarkStart w:id="36" w:name="regional-and-economic-incidence"/>
      <w:r>
        <w:t xml:space="preserve">Regional and economic incidence</w:t>
      </w:r>
      <w:bookmarkEnd w:id="36"/>
    </w:p>
    <w:p>
      <w:pPr>
        <w:pStyle w:val="FirstParagraph"/>
      </w:pPr>
      <w:r>
        <w:t xml:space="preserve">Model accounts are aggregated with the rebuilt model’s frozen reporting memberships and source-allocation weights. We report the world, mainland China, the United States and EU27; five UN regions; World Bank FY2025 income groups; and developing economies (low-, lower-middle- and upper-middle-income economies). Economy-product results remain available separately. Physical tonnes are summed only within the non-overlapping primary basket or for individual products.</w:t>
      </w:r>
    </w:p>
    <w:p>
      <w:pPr>
        <w:pStyle w:val="Heading3"/>
      </w:pPr>
      <w:bookmarkStart w:id="37" w:name="farm-gate-ghg-accounting"/>
      <w:r>
        <w:t xml:space="preserve">Farm-gate GHG accounting</w:t>
      </w:r>
      <w:bookmarkEnd w:id="37"/>
    </w:p>
    <w:p>
      <w:pPr>
        <w:pStyle w:val="FirstParagraph"/>
      </w:pPr>
      <w:r>
        <w:t xml:space="preserve">The GHG module applies frozen 2023 attributed biological farm-gate emission intensities to equilibrium production in the covered primary basket. For group</w:t>
      </w:r>
      <w:r>
        <w:t xml:space="preserve"> </w:t>
      </w:r>
      <w:r>
        <w:rPr>
          <w:i/>
        </w:rPr>
        <w:t xml:space="preserve">g</w:t>
      </w:r>
      <w:r>
        <w:t xml:space="preserve">, pathway</w:t>
      </w:r>
      <w:r>
        <w:t xml:space="preserve"> </w:t>
      </w:r>
      <w:r>
        <w:rPr>
          <w:i/>
        </w:rPr>
        <w:t xml:space="preserve">d</w:t>
      </w:r>
      <w:r>
        <w:t xml:space="preserve"> </w:t>
      </w:r>
      <w:r>
        <w:t xml:space="preserve">and year</w:t>
      </w:r>
      <w:r>
        <w:t xml:space="preserve"> </w:t>
      </w:r>
      <w:r>
        <w:rPr>
          <w:i/>
        </w:rPr>
        <w:t xml:space="preserve">t</w:t>
      </w:r>
      <w:r>
        <w:t xml:space="preserve">,</w:t>
      </w:r>
    </w:p>
    <w:p>
      <w:pPr>
        <w:pStyle w:val="BodyText"/>
      </w:pPr>
      <w:r>
        <w:rPr>
          <w:rStyle w:val="VerbatimChar"/>
        </w:rPr>
        <w:t xml:space="preserve">E(g,d,t) = sum[r in g] sum[i] EF(r,i,2023) * Q(r,i,d,t)</w:t>
      </w:r>
      <w:r>
        <w:t xml:space="preserve">.</w:t>
      </w:r>
    </w:p>
    <w:p>
      <w:pPr>
        <w:pStyle w:val="BodyText"/>
      </w:pPr>
      <w:r>
        <w:t xml:space="preserve">Paired effects subtract the same-SSP baseline. World-group conservation is checked against the sum of economy results; the maximum discrepancy is below</w:t>
      </w:r>
      <w:r>
        <w:t xml:space="preserve"> </w:t>
      </w:r>
      <w:r>
        <w:rPr>
          <w:rStyle w:val="VerbatimChar"/>
        </w:rPr>
        <w:t xml:space="preserve">1e-12 Mt CO2e</w:t>
      </w:r>
      <w:r>
        <w:t xml:space="preserve"> </w:t>
      </w:r>
      <w:r>
        <w:t xml:space="preserve">up to floating-point rounding. The boundary excludes land-use change, input manufacturing not included in the source factors, processing energy, transport, retail, cooking and waste. It is not combined with lifecycle factors.</w:t>
      </w:r>
    </w:p>
    <w:p>
      <w:pPr>
        <w:pStyle w:val="Heading3"/>
      </w:pPr>
      <w:bookmarkStart w:id="38" w:name="model-covered-nutrition-diagnostic"/>
      <w:r>
        <w:t xml:space="preserve">Model-covered nutrition diagnostic</w:t>
      </w:r>
      <w:bookmarkEnd w:id="38"/>
    </w:p>
    <w:p>
      <w:pPr>
        <w:pStyle w:val="FirstParagraph"/>
      </w:pPr>
      <w:r>
        <w:t xml:space="preserve">Food demand is multiplied by energy, protein and fat coefficients for covered edible products and divided by SSP population. Because six major source food categories are absent, these values do not represent complete diets and cannot be compared with adequacy thresholds. They are reported in Supplementary Table 7 only to expose the coverage consequence, not as a health outcome.</w:t>
      </w:r>
    </w:p>
    <w:p>
      <w:pPr>
        <w:pStyle w:val="Heading3"/>
      </w:pPr>
      <w:bookmarkStart w:id="39" w:name="sensitivity-and-interpretation-rules"/>
      <w:r>
        <w:t xml:space="preserve">Sensitivity and interpretation rules</w:t>
      </w:r>
      <w:bookmarkEnd w:id="39"/>
    </w:p>
    <w:p>
      <w:pPr>
        <w:pStyle w:val="FirstParagraph"/>
      </w:pPr>
      <w:r>
        <w:t xml:space="preserve">Low-, central- and high-response variants use the frozen V2 parameter sets. The structural sensitivity groups grains, vegetable oils, feed meals/by-products, meats and processed dairy into five nests with an inner Cobb-Douglas allocation (</w:t>
      </w:r>
      <w:r>
        <w:rPr>
          <w:rStyle w:val="VerbatimChar"/>
        </w:rPr>
        <w:t xml:space="preserve">sigma = 1</w:t>
      </w:r>
      <w:r>
        <w:t xml:space="preserve">); products outside those nests retain independent demand. Each sensitivity effect is paired with its own baseline under the same response variant and demand form.</w:t>
      </w:r>
    </w:p>
    <w:p>
      <w:pPr>
        <w:pStyle w:val="BodyText"/>
      </w:pPr>
      <w:r>
        <w:t xml:space="preserve">No sampling distribution is attached to the deterministic scenarios, so we report ranges rather than confidence intervals or significance tests. A sign is described as robust only when it is unchanged across the evaluated SSP and model variants. Quantity changes do not imply welfare changes.</w:t>
      </w:r>
    </w:p>
    <w:p>
      <w:pPr>
        <w:pStyle w:val="Heading3"/>
      </w:pPr>
      <w:bookmarkStart w:id="40" w:name="Xbd1088c380011c5e57afc62ed6ac884367c14d2"/>
      <w:r>
        <w:t xml:space="preserve">Computational validation and reproducibility</w:t>
      </w:r>
      <w:bookmarkEnd w:id="40"/>
    </w:p>
    <w:p>
      <w:pPr>
        <w:pStyle w:val="FirstParagraph"/>
      </w:pPr>
      <w:r>
        <w:t xml:space="preserve">The copied model core was not modified. All study code was added under</w:t>
      </w:r>
      <w:r>
        <w:t xml:space="preserve"> </w:t>
      </w:r>
      <w:r>
        <w:rPr>
          <w:rStyle w:val="VerbatimChar"/>
        </w:rPr>
        <w:t xml:space="preserve">study/china_diet/</w:t>
      </w:r>
      <w:r>
        <w:t xml:space="preserve"> </w:t>
      </w:r>
      <w:r>
        <w:t xml:space="preserve">in an isolated copy of</w:t>
      </w:r>
      <w:r>
        <w:t xml:space="preserve"> </w:t>
      </w:r>
      <w:r>
        <w:rPr>
          <w:rStyle w:val="VerbatimChar"/>
        </w:rPr>
        <w:t xml:space="preserve">/root/data/CASM/casm_world_rebuild_2050</w:t>
      </w:r>
      <w:r>
        <w:t xml:space="preserve">. The main and sensitivity runs produce 160 converged equilibria. The maximum relative market residual is</w:t>
      </w:r>
      <w:r>
        <w:t xml:space="preserve"> </w:t>
      </w:r>
      <w:r>
        <w:rPr>
          <w:rStyle w:val="VerbatimChar"/>
        </w:rPr>
        <w:t xml:space="preserve">7.253e-15</w:t>
      </w:r>
      <w:r>
        <w:t xml:space="preserve">, the maximum accounting residual is</w:t>
      </w:r>
      <w:r>
        <w:t xml:space="preserve"> </w:t>
      </w:r>
      <w:r>
        <w:rPr>
          <w:rStyle w:val="VerbatimChar"/>
        </w:rPr>
        <w:t xml:space="preserve">1.421e-14 Mt</w:t>
      </w:r>
      <w:r>
        <w:t xml:space="preserve">, and the 2023 common-benchmark error is zero. The analysis confirms zero positive food demand for non-food products and GHG aggregation conservation to floating-point precision. Machine-readable run and analysis reports contain input hashes, row counts and status fields.</w:t>
      </w:r>
    </w:p>
    <w:p>
      <w:pPr>
        <w:pStyle w:val="Heading2"/>
      </w:pPr>
      <w:bookmarkStart w:id="41" w:name="data-availability"/>
      <w:r>
        <w:t xml:space="preserve">Data availability</w:t>
      </w:r>
      <w:bookmarkEnd w:id="41"/>
    </w:p>
    <w:p>
      <w:pPr>
        <w:pStyle w:val="FirstParagraph"/>
      </w:pPr>
      <w:r>
        <w:t xml:space="preserve">Scenario definitions, mapped preference paths, derived country-product outputs, aggregation tables, figures and audit reports are included in the associated repository at</w:t>
      </w:r>
      <w:r>
        <w:t xml:space="preserve"> </w:t>
      </w:r>
      <w:r>
        <w:rPr>
          <w:rStyle w:val="VerbatimChar"/>
        </w:rPr>
        <w:t xml:space="preserve">https://github.com/xinru-han/paper</w:t>
      </w:r>
      <w:r>
        <w:t xml:space="preserve">, folder</w:t>
      </w:r>
      <w:r>
        <w:t xml:space="preserve"> </w:t>
      </w:r>
      <w:r>
        <w:rPr>
          <w:rStyle w:val="VerbatimChar"/>
        </w:rPr>
        <w:t xml:space="preserve">food_demand_2050</w:t>
      </w:r>
      <w:r>
        <w:t xml:space="preserve">. The complete isolated run bundle, including the copied model and all generated outputs, is archived locally under</w:t>
      </w:r>
      <w:r>
        <w:t xml:space="preserve"> </w:t>
      </w:r>
      <w:r>
        <w:rPr>
          <w:rStyle w:val="VerbatimChar"/>
        </w:rPr>
        <w:t xml:space="preserve">/root/data/Paper/食物预测2050/casm_world_rebuild_diet_study_20260829/</w:t>
      </w:r>
      <w:r>
        <w:t xml:space="preserve">. External benchmark sources and their provenance are documented in the CASM-World rebuild.</w:t>
      </w:r>
    </w:p>
    <w:p>
      <w:pPr>
        <w:pStyle w:val="Heading2"/>
      </w:pPr>
      <w:bookmarkStart w:id="42" w:name="code-availability"/>
      <w:r>
        <w:t xml:space="preserve">Code availability</w:t>
      </w:r>
      <w:bookmarkEnd w:id="42"/>
    </w:p>
    <w:p>
      <w:pPr>
        <w:pStyle w:val="FirstParagraph"/>
      </w:pPr>
      <w:r>
        <w:t xml:space="preserve">The study-layer scripts for path construction, equilibrium runs, post-solution analysis, figures and tests are included under</w:t>
      </w:r>
      <w:r>
        <w:t xml:space="preserve"> </w:t>
      </w:r>
      <w:r>
        <w:rPr>
          <w:rStyle w:val="VerbatimChar"/>
        </w:rPr>
        <w:t xml:space="preserve">food_demand_2050/model/casm_world_rebuild_study/</w:t>
      </w:r>
      <w:r>
        <w:t xml:space="preserve">. Reproduction requires the rebuilt CASM-World V2 core and its processed benchmark inputs. Exact commands and the Python environment used for this run are recorded in the run manifest.</w:t>
      </w:r>
    </w:p>
    <w:p>
      <w:pPr>
        <w:pStyle w:val="Heading2"/>
      </w:pPr>
      <w:bookmarkStart w:id="43" w:name="acknowledgements"/>
      <w:r>
        <w:t xml:space="preserve">Acknowledgements</w:t>
      </w:r>
      <w:bookmarkEnd w:id="43"/>
    </w:p>
    <w:p>
      <w:pPr>
        <w:pStyle w:val="FirstParagraph"/>
      </w:pPr>
      <w:r>
        <w:t xml:space="preserve">We thank colleagues at the Institute of Agricultural Economics and Development, CAAS, for comments on earlier versions.</w:t>
      </w:r>
    </w:p>
    <w:p>
      <w:pPr>
        <w:pStyle w:val="Heading2"/>
      </w:pPr>
      <w:bookmarkStart w:id="44" w:name="author-contributions"/>
      <w:r>
        <w:t xml:space="preserve">Author contributions</w:t>
      </w:r>
      <w:bookmarkEnd w:id="44"/>
    </w:p>
    <w:p>
      <w:pPr>
        <w:pStyle w:val="FirstParagraph"/>
      </w:pPr>
      <w:r>
        <w:t xml:space="preserve">S.H. and X.H. designed the study; X.H. developed the models and performed the simulations; S.H. and X.H. analysed results and wrote the manuscript.</w:t>
      </w:r>
    </w:p>
    <w:p>
      <w:pPr>
        <w:pStyle w:val="Heading2"/>
      </w:pPr>
      <w:bookmarkStart w:id="45" w:name="competing-interests"/>
      <w:r>
        <w:t xml:space="preserve">Competing interests</w:t>
      </w:r>
      <w:bookmarkEnd w:id="45"/>
    </w:p>
    <w:p>
      <w:pPr>
        <w:pStyle w:val="FirstParagraph"/>
      </w:pPr>
      <w:r>
        <w:t xml:space="preserve">The authors declare no competing interests.</w:t>
      </w:r>
    </w:p>
    <w:p>
      <w:pPr>
        <w:pStyle w:val="Heading2"/>
      </w:pPr>
      <w:bookmarkStart w:id="46" w:name="X25513a9062c72c4562349b684aba6b3ea6afa46"/>
      <w:r>
        <w:t xml:space="preserve">Table 1 | Paired global effects of China’s dietary pathways in SSP2, 2050</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right"/>
            </w:pPr>
            <w:r>
              <w:t xml:space="preserve">PTS</w:t>
            </w:r>
          </w:p>
        </w:tc>
        <w:tc>
          <w:tcPr>
            <w:tcBorders>
              <w:bottom w:val="single"/>
            </w:tcBorders>
            <w:vAlign w:val="bottom"/>
          </w:tcPr>
          <w:p>
            <w:pPr>
              <w:pStyle w:val="Compact"/>
              <w:jc w:val="right"/>
            </w:pPr>
            <w:r>
              <w:t xml:space="preserve">MTS</w:t>
            </w:r>
          </w:p>
        </w:tc>
        <w:tc>
          <w:tcPr>
            <w:tcBorders>
              <w:bottom w:val="single"/>
            </w:tcBorders>
            <w:vAlign w:val="bottom"/>
          </w:tcPr>
          <w:p>
            <w:pPr>
              <w:pStyle w:val="Compact"/>
              <w:jc w:val="right"/>
            </w:pPr>
            <w:r>
              <w:t xml:space="preserve">CGS</w:t>
            </w:r>
          </w:p>
        </w:tc>
      </w:tr>
      <w:tr>
        <w:tc>
          <w:p>
            <w:pPr>
              <w:pStyle w:val="Compact"/>
              <w:jc w:val="left"/>
            </w:pPr>
            <w:r>
              <w:t xml:space="preserve">Pigmeat world price</w:t>
            </w:r>
          </w:p>
        </w:tc>
        <w:tc>
          <w:p>
            <w:pPr>
              <w:pStyle w:val="Compact"/>
              <w:jc w:val="left"/>
            </w:pPr>
            <w:r>
              <w:t xml:space="preserve">% vs same-SSP baseline</w:t>
            </w:r>
          </w:p>
        </w:tc>
        <w:tc>
          <w:p>
            <w:pPr>
              <w:pStyle w:val="Compact"/>
              <w:jc w:val="right"/>
            </w:pPr>
            <w:r>
              <w:t xml:space="preserve">+7.8</w:t>
            </w:r>
          </w:p>
        </w:tc>
        <w:tc>
          <w:p>
            <w:pPr>
              <w:pStyle w:val="Compact"/>
              <w:jc w:val="right"/>
            </w:pPr>
            <w:r>
              <w:t xml:space="preserve">-28.9</w:t>
            </w:r>
          </w:p>
        </w:tc>
        <w:tc>
          <w:p>
            <w:pPr>
              <w:pStyle w:val="Compact"/>
              <w:jc w:val="right"/>
            </w:pPr>
            <w:r>
              <w:t xml:space="preserve">-46.2</w:t>
            </w:r>
          </w:p>
        </w:tc>
      </w:tr>
      <w:tr>
        <w:tc>
          <w:p>
            <w:pPr>
              <w:pStyle w:val="Compact"/>
              <w:jc w:val="left"/>
            </w:pPr>
            <w:r>
              <w:t xml:space="preserve">Rice world price</w:t>
            </w:r>
          </w:p>
        </w:tc>
        <w:tc>
          <w:p>
            <w:pPr>
              <w:pStyle w:val="Compact"/>
              <w:jc w:val="left"/>
            </w:pPr>
            <w:r>
              <w:t xml:space="preserve">% vs same-SSP baseline</w:t>
            </w:r>
          </w:p>
        </w:tc>
        <w:tc>
          <w:p>
            <w:pPr>
              <w:pStyle w:val="Compact"/>
              <w:jc w:val="right"/>
            </w:pPr>
            <w:r>
              <w:t xml:space="preserve">-2.9</w:t>
            </w:r>
          </w:p>
        </w:tc>
        <w:tc>
          <w:p>
            <w:pPr>
              <w:pStyle w:val="Compact"/>
              <w:jc w:val="right"/>
            </w:pPr>
            <w:r>
              <w:t xml:space="preserve">-9.3</w:t>
            </w:r>
          </w:p>
        </w:tc>
        <w:tc>
          <w:p>
            <w:pPr>
              <w:pStyle w:val="Compact"/>
              <w:jc w:val="right"/>
            </w:pPr>
            <w:r>
              <w:t xml:space="preserve">-14.6</w:t>
            </w:r>
          </w:p>
        </w:tc>
      </w:tr>
      <w:tr>
        <w:tc>
          <w:p>
            <w:pPr>
              <w:pStyle w:val="Compact"/>
              <w:jc w:val="left"/>
            </w:pPr>
            <w:r>
              <w:t xml:space="preserve">Poultry world price</w:t>
            </w:r>
          </w:p>
        </w:tc>
        <w:tc>
          <w:p>
            <w:pPr>
              <w:pStyle w:val="Compact"/>
              <w:jc w:val="left"/>
            </w:pPr>
            <w:r>
              <w:t xml:space="preserve">% vs same-SSP baseline</w:t>
            </w:r>
          </w:p>
        </w:tc>
        <w:tc>
          <w:p>
            <w:pPr>
              <w:pStyle w:val="Compact"/>
              <w:jc w:val="right"/>
            </w:pPr>
            <w:r>
              <w:t xml:space="preserve">+1.7</w:t>
            </w:r>
          </w:p>
        </w:tc>
        <w:tc>
          <w:p>
            <w:pPr>
              <w:pStyle w:val="Compact"/>
              <w:jc w:val="right"/>
            </w:pPr>
            <w:r>
              <w:t xml:space="preserve">+4.8</w:t>
            </w:r>
          </w:p>
        </w:tc>
        <w:tc>
          <w:p>
            <w:pPr>
              <w:pStyle w:val="Compact"/>
              <w:jc w:val="right"/>
            </w:pPr>
            <w:r>
              <w:t xml:space="preserve">+8.4</w:t>
            </w:r>
          </w:p>
        </w:tc>
      </w:tr>
      <w:tr>
        <w:tc>
          <w:p>
            <w:pPr>
              <w:pStyle w:val="Compact"/>
              <w:jc w:val="left"/>
            </w:pPr>
            <w:r>
              <w:t xml:space="preserve">Fluid-milk world price</w:t>
            </w:r>
          </w:p>
        </w:tc>
        <w:tc>
          <w:p>
            <w:pPr>
              <w:pStyle w:val="Compact"/>
              <w:jc w:val="left"/>
            </w:pPr>
            <w:r>
              <w:t xml:space="preserve">% vs same-SSP baseline</w:t>
            </w:r>
          </w:p>
        </w:tc>
        <w:tc>
          <w:p>
            <w:pPr>
              <w:pStyle w:val="Compact"/>
              <w:jc w:val="right"/>
            </w:pPr>
            <w:r>
              <w:t xml:space="preserve">+3.3</w:t>
            </w:r>
          </w:p>
        </w:tc>
        <w:tc>
          <w:p>
            <w:pPr>
              <w:pStyle w:val="Compact"/>
              <w:jc w:val="right"/>
            </w:pPr>
            <w:r>
              <w:t xml:space="preserve">+9.7</w:t>
            </w:r>
          </w:p>
        </w:tc>
        <w:tc>
          <w:p>
            <w:pPr>
              <w:pStyle w:val="Compact"/>
              <w:jc w:val="right"/>
            </w:pPr>
            <w:r>
              <w:t xml:space="preserve">+18.6</w:t>
            </w:r>
          </w:p>
        </w:tc>
      </w:tr>
      <w:tr>
        <w:tc>
          <w:p>
            <w:pPr>
              <w:pStyle w:val="Compact"/>
              <w:jc w:val="left"/>
            </w:pPr>
            <w:r>
              <w:t xml:space="preserve">Whole-milk-powder world price</w:t>
            </w:r>
          </w:p>
        </w:tc>
        <w:tc>
          <w:p>
            <w:pPr>
              <w:pStyle w:val="Compact"/>
              <w:jc w:val="left"/>
            </w:pPr>
            <w:r>
              <w:t xml:space="preserve">% vs same-SSP baseline</w:t>
            </w:r>
          </w:p>
        </w:tc>
        <w:tc>
          <w:p>
            <w:pPr>
              <w:pStyle w:val="Compact"/>
              <w:jc w:val="right"/>
            </w:pPr>
            <w:r>
              <w:t xml:space="preserve">+3.9</w:t>
            </w:r>
          </w:p>
        </w:tc>
        <w:tc>
          <w:p>
            <w:pPr>
              <w:pStyle w:val="Compact"/>
              <w:jc w:val="right"/>
            </w:pPr>
            <w:r>
              <w:t xml:space="preserve">+11.6</w:t>
            </w:r>
          </w:p>
        </w:tc>
        <w:tc>
          <w:p>
            <w:pPr>
              <w:pStyle w:val="Compact"/>
              <w:jc w:val="right"/>
            </w:pPr>
            <w:r>
              <w:t xml:space="preserve">+22.6</w:t>
            </w:r>
          </w:p>
        </w:tc>
      </w:tr>
      <w:tr>
        <w:tc>
          <w:p>
            <w:pPr>
              <w:pStyle w:val="Compact"/>
              <w:jc w:val="left"/>
            </w:pPr>
            <w:r>
              <w:t xml:space="preserve">Non-overlapping primary-basket production</w:t>
            </w:r>
          </w:p>
        </w:tc>
        <w:tc>
          <w:p>
            <w:pPr>
              <w:pStyle w:val="Compact"/>
              <w:jc w:val="left"/>
            </w:pPr>
            <w:r>
              <w:t xml:space="preserve">Mt</w:t>
            </w:r>
          </w:p>
        </w:tc>
        <w:tc>
          <w:p>
            <w:pPr>
              <w:pStyle w:val="Compact"/>
              <w:jc w:val="right"/>
            </w:pPr>
            <w:r>
              <w:t xml:space="preserve">+2.2</w:t>
            </w:r>
          </w:p>
        </w:tc>
        <w:tc>
          <w:p>
            <w:pPr>
              <w:pStyle w:val="Compact"/>
              <w:jc w:val="right"/>
            </w:pPr>
            <w:r>
              <w:t xml:space="preserve">-46.7</w:t>
            </w:r>
          </w:p>
        </w:tc>
        <w:tc>
          <w:p>
            <w:pPr>
              <w:pStyle w:val="Compact"/>
              <w:jc w:val="right"/>
            </w:pPr>
            <w:r>
              <w:t xml:space="preserve">-71.0</w:t>
            </w:r>
          </w:p>
        </w:tc>
      </w:tr>
      <w:tr>
        <w:tc>
          <w:p>
            <w:pPr>
              <w:pStyle w:val="Compact"/>
              <w:jc w:val="left"/>
            </w:pPr>
            <w:r>
              <w:t xml:space="preserve">Attributed biological farm-gate GHG</w:t>
            </w:r>
          </w:p>
        </w:tc>
        <w:tc>
          <w:p>
            <w:pPr>
              <w:pStyle w:val="Compact"/>
              <w:jc w:val="left"/>
            </w:pPr>
            <w:r>
              <w:t xml:space="preserve">Mt CO2e</w:t>
            </w:r>
          </w:p>
        </w:tc>
        <w:tc>
          <w:p>
            <w:pPr>
              <w:pStyle w:val="Compact"/>
              <w:jc w:val="right"/>
            </w:pPr>
            <w:r>
              <w:t xml:space="preserve">+23.1</w:t>
            </w:r>
          </w:p>
        </w:tc>
        <w:tc>
          <w:p>
            <w:pPr>
              <w:pStyle w:val="Compact"/>
              <w:jc w:val="right"/>
            </w:pPr>
            <w:r>
              <w:t xml:space="preserve">-160.8</w:t>
            </w:r>
          </w:p>
        </w:tc>
        <w:tc>
          <w:p>
            <w:pPr>
              <w:pStyle w:val="Compact"/>
              <w:jc w:val="right"/>
            </w:pPr>
            <w:r>
              <w:t xml:space="preserve">-254.5</w:t>
            </w:r>
          </w:p>
        </w:tc>
      </w:tr>
      <w:tr>
        <w:tc>
          <w:p>
            <w:pPr>
              <w:pStyle w:val="Compact"/>
              <w:jc w:val="left"/>
            </w:pPr>
            <w:r>
              <w:t xml:space="preserve">Attributed biological farm-gate GHG</w:t>
            </w:r>
          </w:p>
        </w:tc>
        <w:tc>
          <w:p>
            <w:pPr>
              <w:pStyle w:val="Compact"/>
              <w:jc w:val="left"/>
            </w:pPr>
            <w:r>
              <w:t xml:space="preserve">% vs same-SSP baseline</w:t>
            </w:r>
          </w:p>
        </w:tc>
        <w:tc>
          <w:p>
            <w:pPr>
              <w:pStyle w:val="Compact"/>
              <w:jc w:val="right"/>
            </w:pPr>
            <w:r>
              <w:t xml:space="preserve">+0.37</w:t>
            </w:r>
          </w:p>
        </w:tc>
        <w:tc>
          <w:p>
            <w:pPr>
              <w:pStyle w:val="Compact"/>
              <w:jc w:val="right"/>
            </w:pPr>
            <w:r>
              <w:t xml:space="preserve">-2.55</w:t>
            </w:r>
          </w:p>
        </w:tc>
        <w:tc>
          <w:p>
            <w:pPr>
              <w:pStyle w:val="Compact"/>
              <w:jc w:val="right"/>
            </w:pPr>
            <w:r>
              <w:t xml:space="preserve">-4.04</w:t>
            </w:r>
          </w:p>
        </w:tc>
      </w:tr>
    </w:tbl>
    <w:p>
      <w:pPr>
        <w:pStyle w:val="BodyText"/>
      </w:pPr>
      <w:r>
        <w:t xml:space="preserve">PTS, preference-driven transition; MTS, moderate transition; CGS, partial composite-guideline transition in model-covered commodities. Values are deterministic paired counterfactuals, not confidence intervals. The central model uses independent-product own-price demand; demand-form sensitivity is shown in Fig. 2b.</w:t>
      </w:r>
    </w:p>
    <w:p>
      <w:pPr>
        <w:pStyle w:val="Heading2"/>
      </w:pPr>
      <w:bookmarkStart w:id="47" w:name="figure-legends"/>
      <w:r>
        <w:t xml:space="preserve">Figure legends</w:t>
      </w:r>
      <w:bookmarkEnd w:id="47"/>
    </w:p>
    <w:p>
      <w:pPr>
        <w:pStyle w:val="FirstParagraph"/>
      </w:pPr>
      <w:r>
        <w:rPr>
          <w:b/>
        </w:rPr>
        <w:t xml:space="preserve">Fig. 1 | China food-demand shifts applied to the global equilibrium.</w:t>
      </w:r>
      <w:r>
        <w:t xml:space="preserve"> </w:t>
      </w:r>
      <w:r>
        <w:t xml:space="preserve">Annual pathway-to-baseline preference multipliers for selected model-covered products, 2023-2050. Multipliers are constructed from the source China CASM per-capita food-demand paths and applied only to mainland China’s food component. Feed and other final uses retain their SSP macro shifters. The CGS pathway contracts rice and pigmeat while expanding poultry and dairy, creating opposing global market signals.</w:t>
      </w:r>
    </w:p>
    <w:p>
      <w:pPr>
        <w:pStyle w:val="BodyText"/>
      </w:pPr>
      <w:r>
        <w:rPr>
          <w:b/>
        </w:rPr>
        <w:t xml:space="preserve">Fig. 2 | World-price transmission and structural sensitivity.</w:t>
      </w:r>
      <w:r>
        <w:t xml:space="preserve"> </w:t>
      </w:r>
      <w:r>
        <w:rPr>
          <w:b/>
        </w:rPr>
        <w:t xml:space="preserve">a</w:t>
      </w:r>
      <w:r>
        <w:t xml:space="preserve">, SSP2 2050 price changes under PTS, MTS and CGS relative to the same-SSP baseline in the central independent-product demand model.</w:t>
      </w:r>
      <w:r>
        <w:t xml:space="preserve"> </w:t>
      </w:r>
      <w:r>
        <w:rPr>
          <w:b/>
        </w:rPr>
        <w:t xml:space="preserve">b</w:t>
      </w:r>
      <w:r>
        <w:t xml:space="preserve">, range of the CGS effect across low-, central- and high-response parameters and the five-nest demand-form sensitivity. Diamonds identify the nested-demand result. Poultry changes sign, while dairy remains positive across evaluated variants.</w:t>
      </w:r>
    </w:p>
    <w:p>
      <w:pPr>
        <w:pStyle w:val="BodyText"/>
      </w:pPr>
      <w:r>
        <w:rPr>
          <w:b/>
        </w:rPr>
        <w:t xml:space="preserve">Fig. 3 | Trade-balance pressure and production redistribution under CGS.</w:t>
      </w:r>
      <w:r>
        <w:t xml:space="preserve"> </w:t>
      </w:r>
      <w:r>
        <w:rPr>
          <w:b/>
        </w:rPr>
        <w:t xml:space="preserve">a</w:t>
      </w:r>
      <w:r>
        <w:t xml:space="preserve">, changes in mainland China’s product-level residual net-import balance. These are not bilateral flows.</w:t>
      </w:r>
      <w:r>
        <w:t xml:space="preserve"> </w:t>
      </w:r>
      <w:r>
        <w:rPr>
          <w:b/>
        </w:rPr>
        <w:t xml:space="preserve">b</w:t>
      </w:r>
      <w:r>
        <w:t xml:space="preserve">, largest absolute economy-product production changes outside China; processed and primary dairy rows must not be summed.</w:t>
      </w:r>
      <w:r>
        <w:t xml:space="preserve"> </w:t>
      </w:r>
      <w:r>
        <w:rPr>
          <w:b/>
        </w:rPr>
        <w:t xml:space="preserve">c</w:t>
      </w:r>
      <w:r>
        <w:t xml:space="preserve">, changes in the non-overlapping primary-production basket by UN region. All panels show SSP2 2050 relative to the same-SSP baseline.</w:t>
      </w:r>
    </w:p>
    <w:p>
      <w:pPr>
        <w:pStyle w:val="BodyText"/>
      </w:pPr>
      <w:r>
        <w:rPr>
          <w:b/>
        </w:rPr>
        <w:t xml:space="preserve">Fig. 4 | Redistribution of attributed biological farm-gate GHG under China’s dietary pathways.</w:t>
      </w:r>
      <w:r>
        <w:t xml:space="preserve"> </w:t>
      </w:r>
      <w:r>
        <w:rPr>
          <w:b/>
        </w:rPr>
        <w:t xml:space="preserve">a</w:t>
      </w:r>
      <w:r>
        <w:t xml:space="preserve">, annual SSP2 world effects for PTS, MTS and CGS.</w:t>
      </w:r>
      <w:r>
        <w:t xml:space="preserve"> </w:t>
      </w:r>
      <w:r>
        <w:rPr>
          <w:b/>
        </w:rPr>
        <w:t xml:space="preserve">b</w:t>
      </w:r>
      <w:r>
        <w:t xml:space="preserve">, CGS change by UN region in 2050.</w:t>
      </w:r>
      <w:r>
        <w:t xml:space="preserve"> </w:t>
      </w:r>
      <w:r>
        <w:rPr>
          <w:b/>
        </w:rPr>
        <w:t xml:space="preserve">c</w:t>
      </w:r>
      <w:r>
        <w:t xml:space="preserve">, decomposition between mainland China and all other economies. Factors are frozen at 2023 and the boundary excludes lifecycle and land-use-change emissions.</w:t>
      </w:r>
    </w:p>
    <w:p>
      <w:pPr>
        <w:pStyle w:val="Heading2"/>
      </w:pPr>
      <w:bookmarkStart w:id="48" w:name="references"/>
      <w:r>
        <w:t xml:space="preserve">References</w:t>
      </w:r>
      <w:bookmarkEnd w:id="48"/>
    </w:p>
    <w:p>
      <w:pPr>
        <w:numPr>
          <w:ilvl w:val="0"/>
          <w:numId w:val="1001"/>
        </w:numPr>
        <w:pStyle w:val="Compact"/>
      </w:pPr>
      <w:r>
        <w:t xml:space="preserve">Popkin, B. M. et al. The nutrition transition in China: a cross-sectional analysis.</w:t>
      </w:r>
      <w:r>
        <w:t xml:space="preserve"> </w:t>
      </w:r>
      <w:r>
        <w:rPr>
          <w:i/>
        </w:rPr>
        <w:t xml:space="preserve">Eur. J. Clin. Nutr.</w:t>
      </w:r>
      <w:r>
        <w:t xml:space="preserve"> </w:t>
      </w:r>
      <w:r>
        <w:rPr>
          <w:b/>
        </w:rPr>
        <w:t xml:space="preserve">47</w:t>
      </w:r>
      <w:r>
        <w:t xml:space="preserve">, 333-346 (1993).</w:t>
      </w:r>
    </w:p>
    <w:p>
      <w:pPr>
        <w:numPr>
          <w:ilvl w:val="0"/>
          <w:numId w:val="1001"/>
        </w:numPr>
        <w:pStyle w:val="Compact"/>
      </w:pPr>
      <w:r>
        <w:t xml:space="preserve">Du, S., Lu, B., Zhai, F. &amp; Popkin, B. M. A new stage of the nutrition transition in China.</w:t>
      </w:r>
      <w:r>
        <w:t xml:space="preserve"> </w:t>
      </w:r>
      <w:r>
        <w:rPr>
          <w:i/>
        </w:rPr>
        <w:t xml:space="preserve">Public Health Nutr.</w:t>
      </w:r>
      <w:r>
        <w:t xml:space="preserve"> </w:t>
      </w:r>
      <w:r>
        <w:rPr>
          <w:b/>
        </w:rPr>
        <w:t xml:space="preserve">5</w:t>
      </w:r>
      <w:r>
        <w:t xml:space="preserve">, 169-174 (2002).</w:t>
      </w:r>
    </w:p>
    <w:p>
      <w:pPr>
        <w:numPr>
          <w:ilvl w:val="0"/>
          <w:numId w:val="1001"/>
        </w:numPr>
        <w:pStyle w:val="Compact"/>
      </w:pPr>
      <w:r>
        <w:t xml:space="preserve">Zhu, Z. et al. Trends and disparities of energy intake and macronutrient composition in China: a series of national surveys, 1982-2012.</w:t>
      </w:r>
      <w:r>
        <w:t xml:space="preserve"> </w:t>
      </w:r>
      <w:r>
        <w:rPr>
          <w:i/>
        </w:rPr>
        <w:t xml:space="preserve">Nutrients</w:t>
      </w:r>
      <w:r>
        <w:t xml:space="preserve"> </w:t>
      </w:r>
      <w:r>
        <w:rPr>
          <w:b/>
        </w:rPr>
        <w:t xml:space="preserve">12</w:t>
      </w:r>
      <w:r>
        <w:t xml:space="preserve">, 2168 (2020).</w:t>
      </w:r>
    </w:p>
    <w:p>
      <w:pPr>
        <w:numPr>
          <w:ilvl w:val="0"/>
          <w:numId w:val="1001"/>
        </w:numPr>
        <w:pStyle w:val="Compact"/>
      </w:pPr>
      <w:r>
        <w:t xml:space="preserve">He, Y. et al. The dietary transition and its association with cardiometabolic mortality among Chinese adults, 1982-2012.</w:t>
      </w:r>
      <w:r>
        <w:t xml:space="preserve"> </w:t>
      </w:r>
      <w:r>
        <w:rPr>
          <w:i/>
        </w:rPr>
        <w:t xml:space="preserve">Lancet Diabetes Endocrinol.</w:t>
      </w:r>
      <w:r>
        <w:t xml:space="preserve"> </w:t>
      </w:r>
      <w:r>
        <w:rPr>
          <w:b/>
        </w:rPr>
        <w:t xml:space="preserve">7</w:t>
      </w:r>
      <w:r>
        <w:t xml:space="preserve">, 540-548 (2019).</w:t>
      </w:r>
    </w:p>
    <w:p>
      <w:pPr>
        <w:numPr>
          <w:ilvl w:val="0"/>
          <w:numId w:val="1001"/>
        </w:numPr>
        <w:pStyle w:val="Compact"/>
      </w:pPr>
      <w:r>
        <w:t xml:space="preserve">Popkin, B. M., Corvalan, C. &amp; Grummer-Strawn, L. M. Dynamics of the double burden of malnutrition and the changing nutrition reality.</w:t>
      </w:r>
      <w:r>
        <w:t xml:space="preserve"> </w:t>
      </w:r>
      <w:r>
        <w:rPr>
          <w:i/>
        </w:rPr>
        <w:t xml:space="preserve">Lancet</w:t>
      </w:r>
      <w:r>
        <w:t xml:space="preserve"> </w:t>
      </w:r>
      <w:r>
        <w:rPr>
          <w:b/>
        </w:rPr>
        <w:t xml:space="preserve">395</w:t>
      </w:r>
      <w:r>
        <w:t xml:space="preserve">, 65-74 (2020).</w:t>
      </w:r>
    </w:p>
    <w:p>
      <w:pPr>
        <w:numPr>
          <w:ilvl w:val="0"/>
          <w:numId w:val="1001"/>
        </w:numPr>
        <w:pStyle w:val="Compact"/>
      </w:pPr>
      <w:r>
        <w:t xml:space="preserve">Godfray, H. C. J. et al. Food security: the challenge of feeding 9 billion people.</w:t>
      </w:r>
      <w:r>
        <w:t xml:space="preserve"> </w:t>
      </w:r>
      <w:r>
        <w:rPr>
          <w:i/>
        </w:rPr>
        <w:t xml:space="preserve">Science</w:t>
      </w:r>
      <w:r>
        <w:t xml:space="preserve"> </w:t>
      </w:r>
      <w:r>
        <w:rPr>
          <w:b/>
        </w:rPr>
        <w:t xml:space="preserve">327</w:t>
      </w:r>
      <w:r>
        <w:t xml:space="preserve">, 812-818 (2010).</w:t>
      </w:r>
    </w:p>
    <w:p>
      <w:pPr>
        <w:numPr>
          <w:ilvl w:val="0"/>
          <w:numId w:val="1001"/>
        </w:numPr>
        <w:pStyle w:val="Compact"/>
      </w:pPr>
      <w:r>
        <w:t xml:space="preserve">Tilman, D. &amp; Clark, M. Global diets link environmental sustainability and human health.</w:t>
      </w:r>
      <w:r>
        <w:t xml:space="preserve"> </w:t>
      </w:r>
      <w:r>
        <w:rPr>
          <w:i/>
        </w:rPr>
        <w:t xml:space="preserve">Nature</w:t>
      </w:r>
      <w:r>
        <w:t xml:space="preserve"> </w:t>
      </w:r>
      <w:r>
        <w:rPr>
          <w:b/>
        </w:rPr>
        <w:t xml:space="preserve">515</w:t>
      </w:r>
      <w:r>
        <w:t xml:space="preserve">, 518-522 (2014).</w:t>
      </w:r>
    </w:p>
    <w:p>
      <w:pPr>
        <w:numPr>
          <w:ilvl w:val="0"/>
          <w:numId w:val="1001"/>
        </w:numPr>
        <w:pStyle w:val="Compact"/>
      </w:pPr>
      <w:r>
        <w:t xml:space="preserve">Springmann, M. et al. Options for keeping the food system within environmental limits.</w:t>
      </w:r>
      <w:r>
        <w:t xml:space="preserve"> </w:t>
      </w:r>
      <w:r>
        <w:rPr>
          <w:i/>
        </w:rPr>
        <w:t xml:space="preserve">Nature</w:t>
      </w:r>
      <w:r>
        <w:t xml:space="preserve"> </w:t>
      </w:r>
      <w:r>
        <w:rPr>
          <w:b/>
        </w:rPr>
        <w:t xml:space="preserve">562</w:t>
      </w:r>
      <w:r>
        <w:t xml:space="preserve">, 519-525 (2018).</w:t>
      </w:r>
    </w:p>
    <w:p>
      <w:pPr>
        <w:numPr>
          <w:ilvl w:val="0"/>
          <w:numId w:val="1001"/>
        </w:numPr>
        <w:pStyle w:val="Compact"/>
      </w:pPr>
      <w:r>
        <w:t xml:space="preserve">Willett, W. et al. Food in the Anthropocene: the EAT-Lancet Commission on healthy diets from sustainable food systems.</w:t>
      </w:r>
      <w:r>
        <w:t xml:space="preserve"> </w:t>
      </w:r>
      <w:r>
        <w:rPr>
          <w:i/>
        </w:rPr>
        <w:t xml:space="preserve">Lancet</w:t>
      </w:r>
      <w:r>
        <w:t xml:space="preserve"> </w:t>
      </w:r>
      <w:r>
        <w:rPr>
          <w:b/>
        </w:rPr>
        <w:t xml:space="preserve">393</w:t>
      </w:r>
      <w:r>
        <w:t xml:space="preserve">, 447-492 (2019).</w:t>
      </w:r>
    </w:p>
    <w:p>
      <w:pPr>
        <w:numPr>
          <w:ilvl w:val="0"/>
          <w:numId w:val="1001"/>
        </w:numPr>
        <w:pStyle w:val="Compact"/>
      </w:pPr>
      <w:r>
        <w:t xml:space="preserve">Poore, J. &amp; Nemecek, T. Reducing food’s environmental impacts through producers and consumers.</w:t>
      </w:r>
      <w:r>
        <w:t xml:space="preserve"> </w:t>
      </w:r>
      <w:r>
        <w:rPr>
          <w:i/>
        </w:rPr>
        <w:t xml:space="preserve">Science</w:t>
      </w:r>
      <w:r>
        <w:t xml:space="preserve"> </w:t>
      </w:r>
      <w:r>
        <w:rPr>
          <w:b/>
        </w:rPr>
        <w:t xml:space="preserve">360</w:t>
      </w:r>
      <w:r>
        <w:t xml:space="preserve">, 987-992 (2018).</w:t>
      </w:r>
    </w:p>
    <w:p>
      <w:pPr>
        <w:numPr>
          <w:ilvl w:val="0"/>
          <w:numId w:val="1001"/>
        </w:numPr>
        <w:pStyle w:val="Compact"/>
      </w:pPr>
      <w:r>
        <w:t xml:space="preserve">He, P., Baiocchi, G., Hubacek, K., Feng, K. &amp; Yu, Y. The environmental impacts of rapidly changing diets and their nutritional quality in China.</w:t>
      </w:r>
      <w:r>
        <w:t xml:space="preserve"> </w:t>
      </w:r>
      <w:r>
        <w:rPr>
          <w:i/>
        </w:rPr>
        <w:t xml:space="preserve">Nat. Sustain.</w:t>
      </w:r>
      <w:r>
        <w:t xml:space="preserve"> </w:t>
      </w:r>
      <w:r>
        <w:rPr>
          <w:b/>
        </w:rPr>
        <w:t xml:space="preserve">1</w:t>
      </w:r>
      <w:r>
        <w:t xml:space="preserve">, 122-127 (2018).</w:t>
      </w:r>
    </w:p>
    <w:p>
      <w:pPr>
        <w:numPr>
          <w:ilvl w:val="0"/>
          <w:numId w:val="1001"/>
        </w:numPr>
        <w:pStyle w:val="Compact"/>
      </w:pPr>
      <w:r>
        <w:t xml:space="preserve">He, P., Baiocchi, G., Feng, K., Hubacek, K. &amp; Yu, Y. Environmental impacts of dietary quality improvement in China.</w:t>
      </w:r>
      <w:r>
        <w:t xml:space="preserve"> </w:t>
      </w:r>
      <w:r>
        <w:rPr>
          <w:i/>
        </w:rPr>
        <w:t xml:space="preserve">J. Environ. Manage.</w:t>
      </w:r>
      <w:r>
        <w:t xml:space="preserve"> </w:t>
      </w:r>
      <w:r>
        <w:rPr>
          <w:b/>
        </w:rPr>
        <w:t xml:space="preserve">240</w:t>
      </w:r>
      <w:r>
        <w:t xml:space="preserve">, 518-526 (2019).</w:t>
      </w:r>
    </w:p>
    <w:p>
      <w:pPr>
        <w:numPr>
          <w:ilvl w:val="0"/>
          <w:numId w:val="1001"/>
        </w:numPr>
        <w:pStyle w:val="Compact"/>
      </w:pPr>
      <w:r>
        <w:t xml:space="preserve">Sheng, F., Wang, J., Chen, K. Z., Fan, S. &amp; Gao, H. Changing Chinese diets to achieve a win-win solution for health and the environment.</w:t>
      </w:r>
      <w:r>
        <w:t xml:space="preserve"> </w:t>
      </w:r>
      <w:r>
        <w:rPr>
          <w:i/>
        </w:rPr>
        <w:t xml:space="preserve">China World Econ.</w:t>
      </w:r>
      <w:r>
        <w:t xml:space="preserve"> </w:t>
      </w:r>
      <w:r>
        <w:rPr>
          <w:b/>
        </w:rPr>
        <w:t xml:space="preserve">29</w:t>
      </w:r>
      <w:r>
        <w:t xml:space="preserve">, 34-52 (2021).</w:t>
      </w:r>
    </w:p>
    <w:p>
      <w:pPr>
        <w:numPr>
          <w:ilvl w:val="0"/>
          <w:numId w:val="1001"/>
        </w:numPr>
        <w:pStyle w:val="Compact"/>
      </w:pPr>
      <w:r>
        <w:t xml:space="preserve">Wang, X., Bodirsky, B. L., Muller, C., Chen, K. Z. &amp; Yuan, C. The triple benefits of slimming and greening the Chinese food system.</w:t>
      </w:r>
      <w:r>
        <w:t xml:space="preserve"> </w:t>
      </w:r>
      <w:r>
        <w:rPr>
          <w:i/>
        </w:rPr>
        <w:t xml:space="preserve">Nat. Food</w:t>
      </w:r>
      <w:r>
        <w:t xml:space="preserve"> </w:t>
      </w:r>
      <w:r>
        <w:rPr>
          <w:b/>
        </w:rPr>
        <w:t xml:space="preserve">3</w:t>
      </w:r>
      <w:r>
        <w:t xml:space="preserve">, 686-693 (2022).</w:t>
      </w:r>
    </w:p>
    <w:p>
      <w:pPr>
        <w:numPr>
          <w:ilvl w:val="0"/>
          <w:numId w:val="1001"/>
        </w:numPr>
        <w:pStyle w:val="Compact"/>
      </w:pPr>
      <w:r>
        <w:t xml:space="preserve">Wang, X. et al. Bundled measures for China’s food system transformation reveal social and environmental co-benefits.</w:t>
      </w:r>
      <w:r>
        <w:t xml:space="preserve"> </w:t>
      </w:r>
      <w:r>
        <w:rPr>
          <w:i/>
        </w:rPr>
        <w:t xml:space="preserve">Nat. Food</w:t>
      </w:r>
      <w:r>
        <w:t xml:space="preserve"> </w:t>
      </w:r>
      <w:r>
        <w:rPr>
          <w:b/>
        </w:rPr>
        <w:t xml:space="preserve">6</w:t>
      </w:r>
      <w:r>
        <w:t xml:space="preserve">, 72-84 (2025).</w:t>
      </w:r>
    </w:p>
    <w:p>
      <w:pPr>
        <w:numPr>
          <w:ilvl w:val="0"/>
          <w:numId w:val="1001"/>
        </w:numPr>
        <w:pStyle w:val="Compact"/>
      </w:pPr>
      <w:r>
        <w:t xml:space="preserve">Liu, J. et al. Framing sustainability in a telecoupled world.</w:t>
      </w:r>
      <w:r>
        <w:t xml:space="preserve"> </w:t>
      </w:r>
      <w:r>
        <w:rPr>
          <w:i/>
        </w:rPr>
        <w:t xml:space="preserve">Ecol. Soc.</w:t>
      </w:r>
      <w:r>
        <w:t xml:space="preserve"> </w:t>
      </w:r>
      <w:r>
        <w:rPr>
          <w:b/>
        </w:rPr>
        <w:t xml:space="preserve">18</w:t>
      </w:r>
      <w:r>
        <w:t xml:space="preserve">, 26 (2013).</w:t>
      </w:r>
    </w:p>
    <w:p>
      <w:pPr>
        <w:numPr>
          <w:ilvl w:val="0"/>
          <w:numId w:val="1001"/>
        </w:numPr>
        <w:pStyle w:val="Compact"/>
      </w:pPr>
      <w:r>
        <w:t xml:space="preserve">Fuchs, R. et al. Why the US-China trade war spells disaster for the Amazon.</w:t>
      </w:r>
      <w:r>
        <w:t xml:space="preserve"> </w:t>
      </w:r>
      <w:r>
        <w:rPr>
          <w:i/>
        </w:rPr>
        <w:t xml:space="preserve">Nature</w:t>
      </w:r>
      <w:r>
        <w:t xml:space="preserve"> </w:t>
      </w:r>
      <w:r>
        <w:rPr>
          <w:b/>
        </w:rPr>
        <w:t xml:space="preserve">567</w:t>
      </w:r>
      <w:r>
        <w:t xml:space="preserve">, 451-454 (2019).</w:t>
      </w:r>
    </w:p>
    <w:p>
      <w:pPr>
        <w:numPr>
          <w:ilvl w:val="0"/>
          <w:numId w:val="1001"/>
        </w:numPr>
        <w:pStyle w:val="Compact"/>
      </w:pPr>
      <w:r>
        <w:t xml:space="preserve">Ammann, J., Arbenz, A., Mack, G., Nemecek, T. &amp; El Benni, N. A review on policy instruments for sustainable food consumption.</w:t>
      </w:r>
      <w:r>
        <w:t xml:space="preserve"> </w:t>
      </w:r>
      <w:r>
        <w:rPr>
          <w:i/>
        </w:rPr>
        <w:t xml:space="preserve">Sustain. Prod. Consum.</w:t>
      </w:r>
      <w:r>
        <w:t xml:space="preserve"> </w:t>
      </w:r>
      <w:r>
        <w:rPr>
          <w:b/>
        </w:rPr>
        <w:t xml:space="preserve">36</w:t>
      </w:r>
      <w:r>
        <w:t xml:space="preserve">, 338-353 (2023).</w:t>
      </w:r>
    </w:p>
    <w:p>
      <w:pPr>
        <w:numPr>
          <w:ilvl w:val="0"/>
          <w:numId w:val="1001"/>
        </w:numPr>
        <w:pStyle w:val="Compact"/>
      </w:pPr>
      <w:r>
        <w:t xml:space="preserve">Chen, K. et al. Population aging mitigates food consumption-induced non-CO2 GHG emissions in China.</w:t>
      </w:r>
      <w:r>
        <w:t xml:space="preserve"> </w:t>
      </w:r>
      <w:r>
        <w:rPr>
          <w:i/>
        </w:rPr>
        <w:t xml:space="preserve">npj Clim. Atmos. Sci.</w:t>
      </w:r>
      <w:r>
        <w:t xml:space="preserve"> </w:t>
      </w:r>
      <w:r>
        <w:rPr>
          <w:b/>
        </w:rPr>
        <w:t xml:space="preserve">8</w:t>
      </w:r>
      <w:r>
        <w:t xml:space="preserve">, 145 (2025).</w:t>
      </w:r>
    </w:p>
    <w:p>
      <w:pPr>
        <w:numPr>
          <w:ilvl w:val="0"/>
          <w:numId w:val="1001"/>
        </w:numPr>
        <w:pStyle w:val="Compact"/>
      </w:pPr>
      <w:r>
        <w:t xml:space="preserve">Liu, W., Zhang, G. &amp; Zheng, X. Future foodscape: impact of population decline and aging on China’s dietary carbon footprint and food security.</w:t>
      </w:r>
      <w:r>
        <w:t xml:space="preserve"> </w:t>
      </w:r>
      <w:r>
        <w:rPr>
          <w:i/>
        </w:rPr>
        <w:t xml:space="preserve">Glob. Food Secur.</w:t>
      </w:r>
      <w:r>
        <w:t xml:space="preserve"> </w:t>
      </w:r>
      <w:r>
        <w:rPr>
          <w:b/>
        </w:rPr>
        <w:t xml:space="preserve">46</w:t>
      </w:r>
      <w:r>
        <w:t xml:space="preserve">, 100875 (2025).</w:t>
      </w:r>
    </w:p>
    <w:p>
      <w:pPr>
        <w:numPr>
          <w:ilvl w:val="0"/>
          <w:numId w:val="1001"/>
        </w:numPr>
        <w:pStyle w:val="Compact"/>
      </w:pPr>
      <w:r>
        <w:t xml:space="preserve">Gouel, C. &amp; Guimbard, H. Nutrition transition and the structure of global food demand.</w:t>
      </w:r>
      <w:r>
        <w:t xml:space="preserve"> </w:t>
      </w:r>
      <w:r>
        <w:rPr>
          <w:i/>
        </w:rPr>
        <w:t xml:space="preserve">Am. J. Agric. Econ.</w:t>
      </w:r>
      <w:r>
        <w:t xml:space="preserve"> </w:t>
      </w:r>
      <w:r>
        <w:rPr>
          <w:b/>
        </w:rPr>
        <w:t xml:space="preserve">101</w:t>
      </w:r>
      <w:r>
        <w:t xml:space="preserve">, 383-403 (2019).</w:t>
      </w:r>
    </w:p>
    <w:p>
      <w:pPr>
        <w:numPr>
          <w:ilvl w:val="0"/>
          <w:numId w:val="1001"/>
        </w:numPr>
        <w:pStyle w:val="Compact"/>
      </w:pPr>
      <w:r>
        <w:t xml:space="preserve">Roche, M., Comstock, A. &amp; Ecker, O.</w:t>
      </w:r>
      <w:r>
        <w:t xml:space="preserve"> </w:t>
      </w:r>
      <w:r>
        <w:rPr>
          <w:i/>
        </w:rPr>
        <w:t xml:space="preserve">The future of food demand: a global meta-analysis and projections of income and price elasticities</w:t>
      </w:r>
      <w:r>
        <w:t xml:space="preserve">. IFPRI Discussion Paper 2361 (IFPRI, 2025).</w:t>
      </w:r>
    </w:p>
    <w:p>
      <w:pPr>
        <w:numPr>
          <w:ilvl w:val="0"/>
          <w:numId w:val="1001"/>
        </w:numPr>
        <w:pStyle w:val="Compact"/>
      </w:pPr>
      <w:r>
        <w:t xml:space="preserve">Stout, J. &amp; Abler, D.</w:t>
      </w:r>
      <w:r>
        <w:t xml:space="preserve"> </w:t>
      </w:r>
      <w:r>
        <w:rPr>
          <w:i/>
        </w:rPr>
        <w:t xml:space="preserve">ERS/Penn State Trade Model Documentation</w:t>
      </w:r>
      <w:r>
        <w:t xml:space="preserve"> </w:t>
      </w:r>
      <w:r>
        <w:t xml:space="preserve">(Pennsylvania State University and USDA Economic Research Service, 2004).</w:t>
      </w:r>
    </w:p>
    <w:p>
      <w:pPr>
        <w:numPr>
          <w:ilvl w:val="0"/>
          <w:numId w:val="1001"/>
        </w:numPr>
        <w:pStyle w:val="Compact"/>
      </w:pPr>
      <w:r>
        <w:t xml:space="preserve">United Nations, Department of Economic and Social Affairs, Population Division.</w:t>
      </w:r>
      <w:r>
        <w:t xml:space="preserve"> </w:t>
      </w:r>
      <w:r>
        <w:rPr>
          <w:i/>
        </w:rPr>
        <w:t xml:space="preserve">World Population Prospects 2024</w:t>
      </w:r>
      <w:r>
        <w:t xml:space="preserve"> </w:t>
      </w:r>
      <w:r>
        <w:t xml:space="preserve">(United Nations, 2024).</w:t>
      </w:r>
    </w:p>
    <w:p>
      <w:pPr>
        <w:numPr>
          <w:ilvl w:val="0"/>
          <w:numId w:val="1001"/>
        </w:numPr>
        <w:pStyle w:val="Compact"/>
      </w:pPr>
      <w:r>
        <w:t xml:space="preserve">Chinese Nutrition Society.</w:t>
      </w:r>
      <w:r>
        <w:t xml:space="preserve"> </w:t>
      </w:r>
      <w:r>
        <w:rPr>
          <w:i/>
        </w:rPr>
        <w:t xml:space="preserve">Dietary Guidelines for Chinese Residents (2022)</w:t>
      </w:r>
      <w:r>
        <w:t xml:space="preserve"> </w:t>
      </w:r>
      <w:r>
        <w:t xml:space="preserve">(People’s Medical Publishing House, 2022).</w:t>
      </w:r>
    </w:p>
    <w:p>
      <w:pPr>
        <w:numPr>
          <w:ilvl w:val="0"/>
          <w:numId w:val="1001"/>
        </w:numPr>
        <w:pStyle w:val="Compact"/>
      </w:pPr>
      <w:r>
        <w:t xml:space="preserve">FAO.</w:t>
      </w:r>
      <w:r>
        <w:t xml:space="preserve"> </w:t>
      </w:r>
      <w:r>
        <w:rPr>
          <w:i/>
        </w:rPr>
        <w:t xml:space="preserve">FAOSTAT Emissions Intensities domain</w:t>
      </w:r>
      <w:r>
        <w:t xml:space="preserve">, reference year 2023 (FAO, accessed 2026).</w:t>
      </w:r>
    </w:p>
    <w:p>
      <w:pPr>
        <w:numPr>
          <w:ilvl w:val="0"/>
          <w:numId w:val="1001"/>
        </w:numPr>
        <w:pStyle w:val="Compact"/>
      </w:pPr>
      <w:r>
        <w:t xml:space="preserve">OECD &amp; FAO.</w:t>
      </w:r>
      <w:r>
        <w:t xml:space="preserve"> </w:t>
      </w:r>
      <w:r>
        <w:rPr>
          <w:i/>
        </w:rPr>
        <w:t xml:space="preserve">OECD-FAO Agricultural Outlook 2026-2035</w:t>
      </w:r>
      <w:r>
        <w:t xml:space="preserve"> </w:t>
      </w:r>
      <w:r>
        <w:t xml:space="preserve">(OECD Publishing,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2026-08-29T11:04:56Z</dcterms:created>
  <dcterms:modified xsi:type="dcterms:W3CDTF">2026-08-29T11:04:56Z</dcterms:modified>
</cp:coreProperties>
</file>

<file path=docProps/custom.xml><?xml version="1.0" encoding="utf-8"?>
<Properties xmlns="http://schemas.openxmlformats.org/officeDocument/2006/custom-properties" xmlns:vt="http://schemas.openxmlformats.org/officeDocument/2006/docPropsVTypes"/>
</file>