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6CF46B">
      <w:pPr>
        <w:pStyle w:val="16"/>
        <w:widowControl/>
      </w:pPr>
      <w:r>
        <w:rPr>
          <w:rFonts w:ascii="Times New Roman" w:hAnsi="Times New Roman" w:eastAsia="宋体"/>
          <w:color w:val="000000"/>
        </w:rPr>
        <w:t>面向游泳训练的自动追踪水下机器人技术设计与实现</w:t>
      </w:r>
    </w:p>
    <w:p w14:paraId="3CE22298">
      <w:pPr>
        <w:widowControl/>
        <w:ind w:firstLine="0"/>
      </w:pPr>
      <w:r>
        <w:rPr>
          <w:rFonts w:ascii="Times New Roman" w:hAnsi="Times New Roman" w:eastAsia="宋体"/>
          <w:color w:val="000000"/>
          <w:sz w:val="21"/>
        </w:rPr>
        <w:t>摘要：针对游泳训练水下跟拍中的色偏、散射模糊、气泡高光及背景纹理干扰问题，设计并实现一套目标引导的轻量化视觉跟踪与电机控制上位机软件。系统先在未增强画面上人工框选未知目标，再利用目标保护区外像素估计受限白平衡增益；对白平衡画面分别执行目标核心区自适应增强、保护环弱模糊和远背景受限模糊，经羽化融合后送入 CSRT 初始化与更新。后续模块将目标横向偏差转换为运动指令，并通过统一电机网关和独立监督进程完成限幅、通信与故障停车。本文给出算法、接口和验证方法；开发期微基准表明单帧算法平均耗时约 29.8 ms，但水下跟踪精度仍需标注视频对照实验评价。</w:t>
      </w:r>
    </w:p>
    <w:p w14:paraId="174C8152">
      <w:pPr>
        <w:widowControl/>
        <w:spacing w:after="160"/>
        <w:ind w:firstLine="0"/>
      </w:pPr>
      <w:r>
        <w:rPr>
          <w:rFonts w:ascii="Times New Roman" w:hAnsi="Times New Roman" w:eastAsia="宋体"/>
          <w:color w:val="000000"/>
          <w:sz w:val="21"/>
        </w:rPr>
        <w:t>关键词：水下跟拍；图像增强；CSRT；运动控制；故障监督</w:t>
      </w:r>
    </w:p>
    <w:p w14:paraId="556D6040">
      <w:pPr>
        <w:pStyle w:val="2"/>
        <w:keepNext/>
        <w:widowControl/>
      </w:pPr>
      <w:r>
        <w:rPr>
          <w:rFonts w:ascii="Times New Roman" w:hAnsi="Times New Roman" w:eastAsia="黑体"/>
          <w:b/>
          <w:color w:val="000000"/>
          <w:sz w:val="24"/>
        </w:rPr>
        <w:t>1 引言</w:t>
      </w:r>
    </w:p>
    <w:p w14:paraId="410D2CA9">
      <w:pPr>
        <w:widowControl/>
      </w:pPr>
      <w:r>
        <w:rPr>
          <w:rFonts w:ascii="Times New Roman" w:hAnsi="Times New Roman" w:eastAsia="宋体"/>
          <w:color w:val="000000"/>
          <w:sz w:val="21"/>
        </w:rPr>
        <w:t>游泳训练中的水下跟拍需要连续获得运动员相对位置，并将图像偏差转换为机器人运动指令。系统既要减轻水下色偏、模糊和气泡对跟踪的影响，也要保证视频处理与电机控制能够稳定衔接。本文重点介绍目标引导视觉算法、运动解算及必要的安全控制，讨论范围限于上位机软件。</w:t>
      </w:r>
    </w:p>
    <w:p w14:paraId="0C4BC7FF">
      <w:pPr>
        <w:pStyle w:val="2"/>
        <w:keepNext/>
        <w:widowControl/>
      </w:pPr>
      <w:r>
        <w:rPr>
          <w:rFonts w:ascii="Times New Roman" w:hAnsi="Times New Roman" w:eastAsia="黑体"/>
          <w:b/>
          <w:color w:val="000000"/>
          <w:sz w:val="24"/>
        </w:rPr>
        <w:t>2 软件总体架构</w:t>
      </w:r>
    </w:p>
    <w:p w14:paraId="7231B0F4">
      <w:pPr>
        <w:pStyle w:val="3"/>
        <w:keepNext/>
        <w:widowControl/>
      </w:pPr>
      <w:r>
        <w:rPr>
          <w:rFonts w:ascii="Times New Roman" w:hAnsi="Times New Roman" w:eastAsia="黑体"/>
          <w:b/>
          <w:color w:val="000000"/>
          <w:sz w:val="21"/>
        </w:rPr>
        <w:t>2.1 系统组成</w:t>
      </w:r>
    </w:p>
    <w:p w14:paraId="5F27EB53">
      <w:pPr>
        <w:widowControl/>
      </w:pPr>
      <w:r>
        <w:rPr>
          <w:rFonts w:ascii="Times New Roman" w:hAnsi="Times New Roman" w:eastAsia="宋体"/>
          <w:color w:val="000000"/>
          <w:sz w:val="21"/>
        </w:rPr>
        <w:t>上位机由视频采集、目标引导画面处理、CSRT 跟踪、运动解算和电机控制五部分组成，如图 1 所示。各部分按画面与目标观测的流向连接，使视觉算法、运动策略和硬件接口能够分别调整。</w:t>
      </w:r>
    </w:p>
    <w:p w14:paraId="050E4E56">
      <w:pPr>
        <w:keepNext/>
        <w:spacing w:before="100" w:after="40" w:line="240" w:lineRule="auto"/>
        <w:ind w:firstLine="0"/>
        <w:jc w:val="center"/>
      </w:pPr>
      <w:r>
        <w:drawing>
          <wp:inline distT="0" distB="0" distL="114300" distR="114300">
            <wp:extent cx="5440680" cy="3336925"/>
            <wp:effectExtent l="0" t="0" r="762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3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BE373">
      <w:pPr>
        <w:keepNext w:val="0"/>
        <w:widowControl/>
        <w:spacing w:after="100"/>
        <w:ind w:firstLine="0"/>
        <w:jc w:val="center"/>
      </w:pPr>
      <w:r>
        <w:rPr>
          <w:rFonts w:ascii="Times New Roman" w:hAnsi="Times New Roman" w:eastAsia="宋体"/>
          <w:color w:val="000000"/>
          <w:sz w:val="21"/>
        </w:rPr>
        <w:t>图 1 上位机视觉控制软件分层架构</w:t>
      </w:r>
    </w:p>
    <w:p w14:paraId="7C3B326F">
      <w:pPr>
        <w:spacing w:after="0"/>
      </w:pPr>
    </w:p>
    <w:p w14:paraId="392E1C03">
      <w:pPr>
        <w:pStyle w:val="3"/>
        <w:keepNext/>
        <w:widowControl/>
      </w:pPr>
      <w:r>
        <w:rPr>
          <w:rFonts w:ascii="Times New Roman" w:hAnsi="Times New Roman" w:eastAsia="黑体"/>
          <w:b/>
          <w:color w:val="000000"/>
          <w:sz w:val="21"/>
        </w:rPr>
        <w:t>2.2 主循环与数据流</w:t>
      </w:r>
    </w:p>
    <w:p w14:paraId="13D20962">
      <w:pPr>
        <w:widowControl/>
      </w:pPr>
      <w:r>
        <w:rPr>
          <w:rFonts w:ascii="Times New Roman" w:hAnsi="Times New Roman" w:eastAsia="宋体"/>
          <w:color w:val="000000"/>
          <w:sz w:val="21"/>
        </w:rPr>
        <w:t>系统读取视频帧后先统一工作分辨率，再根据人工目标框完成白平衡和三区处理。融合画面用于 CSRT 初始化或更新，所得目标位置交给运动解算模块生成控制指令；界面标记只用于显示，不参与跟踪。</w:t>
      </w:r>
    </w:p>
    <w:p w14:paraId="1B04B511">
      <w:pPr>
        <w:widowControl/>
      </w:pPr>
      <w:r>
        <w:rPr>
          <w:rFonts w:ascii="Times New Roman" w:hAnsi="Times New Roman" w:eastAsia="宋体"/>
          <w:color w:val="000000"/>
          <w:sz w:val="21"/>
        </w:rPr>
        <w:t>视频输入支持实时相机、网络流和本地文件。本地文件用于算法分析和对照实验，不参与真实电机控制。</w:t>
      </w:r>
    </w:p>
    <w:p w14:paraId="3E5D0EEA">
      <w:pPr>
        <w:pStyle w:val="2"/>
        <w:keepNext/>
        <w:widowControl/>
      </w:pPr>
      <w:r>
        <w:rPr>
          <w:rFonts w:ascii="Times New Roman" w:hAnsi="Times New Roman" w:eastAsia="黑体"/>
          <w:b/>
          <w:color w:val="000000"/>
          <w:sz w:val="24"/>
        </w:rPr>
        <w:t>3 面向水下干扰的目标引导画面增强</w:t>
      </w:r>
    </w:p>
    <w:p w14:paraId="44495A83">
      <w:pPr>
        <w:widowControl/>
      </w:pPr>
      <w:r>
        <w:rPr>
          <w:rFonts w:ascii="Times New Roman" w:hAnsi="Times New Roman" w:eastAsia="宋体"/>
          <w:b w:val="0"/>
          <w:color w:val="000000"/>
          <w:sz w:val="21"/>
        </w:rPr>
        <w:t>面对水下画面色偏、散射模糊、气泡高光和重复背景纹理同时存在的问题，统一增强整幅画面容易同时放大目标与干扰。</w:t>
      </w:r>
      <w:r>
        <w:rPr>
          <w:rFonts w:hint="eastAsia"/>
          <w:b w:val="0"/>
          <w:color w:val="000000"/>
          <w:sz w:val="21"/>
          <w:lang w:val="en-US" w:eastAsia="zh-CN"/>
        </w:rPr>
        <w:t>本人针对这类问题设计了一种水下目标框选-分区处理-CSRT跟踪的具有实时性与轻量性的算法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  <w:r>
        <w:rPr>
          <w:rFonts w:hint="eastAsia"/>
          <w:b w:val="0"/>
          <w:color w:val="000000"/>
          <w:sz w:val="21"/>
          <w:lang w:val="en-US" w:eastAsia="zh-CN"/>
        </w:rPr>
        <w:t>完</w:t>
      </w:r>
      <w:r>
        <w:rPr>
          <w:rFonts w:ascii="Times New Roman" w:hAnsi="Times New Roman" w:eastAsia="宋体"/>
          <w:b w:val="0"/>
          <w:color w:val="000000"/>
          <w:sz w:val="21"/>
        </w:rPr>
        <w:t>整执行关系如图 2 所示。</w:t>
      </w:r>
    </w:p>
    <w:p w14:paraId="6933E1C0">
      <w:pPr>
        <w:keepNext/>
        <w:spacing w:before="100" w:after="40" w:line="240" w:lineRule="auto"/>
        <w:ind w:firstLine="0"/>
        <w:jc w:val="center"/>
      </w:pPr>
      <w:r>
        <w:drawing>
          <wp:inline distT="0" distB="0" distL="114300" distR="114300">
            <wp:extent cx="5074920" cy="5949950"/>
            <wp:effectExtent l="0" t="0" r="508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595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0FAA">
      <w:pPr>
        <w:keepNext w:val="0"/>
        <w:widowControl/>
        <w:spacing w:after="100"/>
        <w:ind w:firstLine="0"/>
        <w:jc w:val="center"/>
      </w:pPr>
      <w:r>
        <w:rPr>
          <w:rFonts w:ascii="Times New Roman" w:hAnsi="Times New Roman" w:eastAsia="宋体"/>
          <w:color w:val="000000"/>
          <w:sz w:val="21"/>
        </w:rPr>
        <w:t>图 2 面向水下干扰的目标引导增强与 CSRT 流程</w:t>
      </w:r>
    </w:p>
    <w:p w14:paraId="3905157F">
      <w:pPr>
        <w:pStyle w:val="3"/>
        <w:keepNext/>
        <w:widowControl/>
      </w:pPr>
      <w:r>
        <w:rPr>
          <w:rFonts w:ascii="Times New Roman" w:hAnsi="Times New Roman" w:eastAsia="黑体"/>
          <w:b/>
          <w:color w:val="000000"/>
          <w:sz w:val="21"/>
        </w:rPr>
        <w:t>3.1 面向实时性的固定分辨率与处理节奏</w:t>
      </w:r>
    </w:p>
    <w:p w14:paraId="053A5BD8">
      <w:pPr>
        <w:widowControl/>
      </w:pPr>
      <w:r>
        <w:rPr>
          <w:rFonts w:ascii="Times New Roman" w:hAnsi="Times New Roman" w:eastAsia="宋体"/>
          <w:b/>
          <w:color w:val="000000"/>
          <w:sz w:val="21"/>
        </w:rPr>
        <w:t>作用：</w:t>
      </w:r>
      <w:r>
        <w:rPr>
          <w:rFonts w:ascii="Times New Roman" w:hAnsi="Times New Roman" w:eastAsia="宋体"/>
          <w:b w:val="0"/>
          <w:color w:val="000000"/>
          <w:sz w:val="21"/>
        </w:rPr>
        <w:t>该环节用于控制</w:t>
      </w:r>
      <w:r>
        <w:rPr>
          <w:rFonts w:hint="eastAsia"/>
          <w:b w:val="0"/>
          <w:color w:val="000000"/>
          <w:sz w:val="21"/>
          <w:lang w:val="en-US" w:eastAsia="zh-CN"/>
        </w:rPr>
        <w:t>程序</w:t>
      </w:r>
      <w:r>
        <w:rPr>
          <w:rFonts w:ascii="Times New Roman" w:hAnsi="Times New Roman" w:eastAsia="宋体"/>
          <w:b w:val="0"/>
          <w:color w:val="000000"/>
          <w:sz w:val="21"/>
        </w:rPr>
        <w:t>计算量并</w:t>
      </w:r>
      <w:r>
        <w:rPr>
          <w:rFonts w:hint="eastAsia"/>
          <w:b w:val="0"/>
          <w:color w:val="000000"/>
          <w:sz w:val="21"/>
          <w:lang w:val="en-US" w:eastAsia="zh-CN"/>
        </w:rPr>
        <w:t>优化实时性</w:t>
      </w:r>
      <w:r>
        <w:rPr>
          <w:rFonts w:ascii="Times New Roman" w:hAnsi="Times New Roman" w:eastAsia="宋体"/>
          <w:b w:val="0"/>
          <w:color w:val="000000"/>
          <w:sz w:val="21"/>
        </w:rPr>
        <w:t>。程序使用 OpenCV 区域插值将输入画面等比例缩小到不超过 640×360；目标框、中心点和安全区均在该工作分辨率下计算。背景颜色统计另在宽度不超过 320 px 的副本上进行，并每 4 帧更新一次，其余帧沿用平滑增益。该环节输出</w:t>
      </w:r>
      <w:r>
        <w:rPr>
          <w:rFonts w:hint="eastAsia"/>
          <w:b w:val="0"/>
          <w:color w:val="000000"/>
          <w:sz w:val="21"/>
          <w:lang w:val="en-US" w:eastAsia="zh-CN"/>
        </w:rPr>
        <w:t>低分辨率帧</w:t>
      </w:r>
      <w:r>
        <w:rPr>
          <w:rFonts w:ascii="Times New Roman" w:hAnsi="Times New Roman" w:eastAsia="宋体"/>
          <w:b w:val="0"/>
          <w:color w:val="000000"/>
          <w:sz w:val="21"/>
        </w:rPr>
        <w:t>，供人工框选和后续处理使用。</w:t>
      </w:r>
    </w:p>
    <w:p w14:paraId="0F02BFEF">
      <w:pPr>
        <w:widowControl/>
      </w:pPr>
      <w:r>
        <w:rPr>
          <w:rFonts w:ascii="Times New Roman" w:hAnsi="Times New Roman" w:eastAsia="宋体"/>
          <w:b/>
          <w:color w:val="000000"/>
          <w:sz w:val="21"/>
        </w:rPr>
        <w:t>实时性说明：</w:t>
      </w:r>
      <w:r>
        <w:rPr>
          <w:rFonts w:ascii="Times New Roman" w:hAnsi="Times New Roman" w:eastAsia="宋体"/>
          <w:b w:val="0"/>
          <w:color w:val="000000"/>
          <w:sz w:val="21"/>
        </w:rPr>
        <w:t>本机 640×360 合成画面的开发期微基准中，三区处理与 CSRT 的平均单帧耗时约为 29.8 ms。该结果只反映当前硬件上的算法耗时，不包含采集、解码、显示和网络传输，也不能证明水下跟踪准确率已经提高。</w:t>
      </w:r>
    </w:p>
    <w:p w14:paraId="134E2AA2">
      <w:pPr>
        <w:pStyle w:val="3"/>
        <w:keepNext/>
        <w:widowControl/>
      </w:pPr>
      <w:r>
        <w:rPr>
          <w:rFonts w:ascii="Times New Roman" w:hAnsi="Times New Roman" w:eastAsia="黑体"/>
          <w:b/>
          <w:color w:val="000000"/>
          <w:sz w:val="21"/>
        </w:rPr>
        <w:t>3.2 面向色偏与高光干扰的框外统计白平衡</w:t>
      </w:r>
    </w:p>
    <w:p w14:paraId="186B70A2">
      <w:pPr>
        <w:widowControl/>
      </w:pPr>
      <w:r>
        <w:rPr>
          <w:rFonts w:ascii="Times New Roman" w:hAnsi="Times New Roman" w:eastAsia="宋体"/>
          <w:b/>
          <w:color w:val="000000"/>
          <w:sz w:val="21"/>
        </w:rPr>
        <w:t>模块作用：</w:t>
      </w:r>
      <w:r>
        <w:rPr>
          <w:rFonts w:ascii="Times New Roman" w:hAnsi="Times New Roman" w:eastAsia="宋体"/>
          <w:b w:val="0"/>
          <w:color w:val="000000"/>
          <w:sz w:val="21"/>
        </w:rPr>
        <w:t>框外统计白平衡用于估计水体整体色偏，</w:t>
      </w:r>
      <w:r>
        <w:rPr>
          <w:rFonts w:hint="eastAsia"/>
          <w:b w:val="0"/>
          <w:color w:val="000000"/>
          <w:sz w:val="21"/>
          <w:lang w:val="en-US" w:eastAsia="zh-CN"/>
        </w:rPr>
        <w:t>防止目标进入背景统计，影响对环境色的判断</w:t>
      </w:r>
      <w:r>
        <w:rPr>
          <w:rFonts w:ascii="Times New Roman" w:hAnsi="Times New Roman" w:eastAsia="宋体"/>
          <w:b w:val="0"/>
          <w:color w:val="000000"/>
          <w:sz w:val="21"/>
        </w:rPr>
        <w:t>。用户先在未增强的工作画面上框选目标，程序再将目标框向外扩展其宽、高的 30% 形成保护区，只从保护区外选取背景像素；有效像素不足 64 个时退回整幅统计图。</w:t>
      </w:r>
    </w:p>
    <w:p w14:paraId="6A90F418">
      <w:pPr>
        <w:widowControl/>
      </w:pPr>
      <w:r>
        <w:rPr>
          <w:rFonts w:ascii="Times New Roman" w:hAnsi="Times New Roman" w:eastAsia="宋体"/>
          <w:b/>
          <w:color w:val="000000"/>
          <w:sz w:val="21"/>
        </w:rPr>
        <w:t>具体方法：</w:t>
      </w:r>
      <w:r>
        <w:rPr>
          <w:rFonts w:ascii="Times New Roman" w:hAnsi="Times New Roman" w:eastAsia="宋体"/>
          <w:b w:val="0"/>
          <w:color w:val="000000"/>
          <w:sz w:val="21"/>
        </w:rPr>
        <w:t>先以 BGR 三通道均值近似像素亮度，保留第 5～95 百分位范围内的像素，再排除亮度大于 205 且通道最大差小于 24 的高亮中性像素，以降低部分气泡和镜面高光的影响。随后采用受限灰度世界方法：以三个通道截断均值的几何均值作为中性参考，并按式（1）计算各通道增益。该筛选并不是气泡检测算法。</w:t>
      </w:r>
    </w:p>
    <w:tbl>
      <w:tblPr>
        <w:tblStyle w:val="18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28"/>
        <w:gridCol w:w="1152"/>
      </w:tblGrid>
      <w:tr w14:paraId="77C1F0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2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5125680">
            <w:pPr>
              <w:keepNext/>
              <w:spacing w:before="60" w:after="60" w:line="252" w:lineRule="auto"/>
              <w:ind w:firstLine="0"/>
              <w:jc w:val="center"/>
            </w:pPr>
            <w:r>
              <w:drawing>
                <wp:inline distT="0" distB="0" distL="114300" distR="114300">
                  <wp:extent cx="4526280" cy="584200"/>
                  <wp:effectExtent l="0" t="0" r="762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280" cy="584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EF4E969">
            <w:pPr>
              <w:keepNext/>
              <w:spacing w:before="60" w:after="60" w:line="252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9"/>
              </w:rPr>
              <w:t>(1)</w:t>
            </w:r>
          </w:p>
        </w:tc>
      </w:tr>
    </w:tbl>
    <w:p w14:paraId="3D89B687">
      <w:pPr>
        <w:widowControl/>
      </w:pPr>
      <w:r>
        <w:rPr>
          <w:rFonts w:ascii="Times New Roman" w:hAnsi="Times New Roman" w:eastAsia="宋体"/>
          <w:color w:val="000000"/>
          <w:sz w:val="21"/>
        </w:rPr>
        <w:t>式中：</w:t>
      </w:r>
      <w:r>
        <w:rPr>
          <w:rFonts w:ascii="Times New Roman" w:hAnsi="Times New Roman" w:eastAsia="宋体"/>
          <w:i/>
          <w:color w:val="000000"/>
          <w:sz w:val="21"/>
        </w:rPr>
        <w:t>Ī</w:t>
      </w:r>
      <w:r>
        <w:rPr>
          <w:rFonts w:ascii="Times New Roman" w:hAnsi="Times New Roman" w:eastAsia="宋体"/>
          <w:color w:val="000000"/>
          <w:sz w:val="21"/>
          <w:vertAlign w:val="subscript"/>
        </w:rPr>
        <w:t>k</w:t>
      </w:r>
      <w:r>
        <w:rPr>
          <w:rFonts w:ascii="Times New Roman" w:hAnsi="Times New Roman" w:eastAsia="宋体"/>
          <w:color w:val="000000"/>
          <w:sz w:val="21"/>
        </w:rPr>
        <w:t xml:space="preserve"> 为所选像素在通道 k 上的算术均值；</w:t>
      </w:r>
      <w:r>
        <w:rPr>
          <w:rFonts w:ascii="Times New Roman" w:hAnsi="Times New Roman" w:eastAsia="宋体"/>
          <w:i/>
          <w:color w:val="000000"/>
          <w:sz w:val="21"/>
        </w:rPr>
        <w:t>μ</w:t>
      </w:r>
      <w:r>
        <w:rPr>
          <w:rFonts w:ascii="Times New Roman" w:hAnsi="Times New Roman" w:eastAsia="宋体"/>
          <w:color w:val="000000"/>
          <w:sz w:val="21"/>
          <w:vertAlign w:val="subscript"/>
        </w:rPr>
        <w:t>B</w:t>
      </w:r>
      <w:r>
        <w:rPr>
          <w:rFonts w:ascii="Times New Roman" w:hAnsi="Times New Roman" w:eastAsia="宋体"/>
          <w:color w:val="000000"/>
          <w:sz w:val="21"/>
        </w:rPr>
        <w:t>、</w:t>
      </w:r>
      <w:r>
        <w:rPr>
          <w:rFonts w:ascii="Times New Roman" w:hAnsi="Times New Roman" w:eastAsia="宋体"/>
          <w:i/>
          <w:color w:val="000000"/>
          <w:sz w:val="21"/>
        </w:rPr>
        <w:t>μ</w:t>
      </w:r>
      <w:r>
        <w:rPr>
          <w:rFonts w:ascii="Times New Roman" w:hAnsi="Times New Roman" w:eastAsia="宋体"/>
          <w:color w:val="000000"/>
          <w:sz w:val="21"/>
          <w:vertAlign w:val="subscript"/>
        </w:rPr>
        <w:t>G</w:t>
      </w:r>
      <w:r>
        <w:rPr>
          <w:rFonts w:ascii="Times New Roman" w:hAnsi="Times New Roman" w:eastAsia="宋体"/>
          <w:color w:val="000000"/>
          <w:sz w:val="21"/>
        </w:rPr>
        <w:t>、</w:t>
      </w:r>
      <w:r>
        <w:rPr>
          <w:rFonts w:ascii="Times New Roman" w:hAnsi="Times New Roman" w:eastAsia="宋体"/>
          <w:i/>
          <w:color w:val="000000"/>
          <w:sz w:val="21"/>
        </w:rPr>
        <w:t>μ</w:t>
      </w:r>
      <w:r>
        <w:rPr>
          <w:rFonts w:ascii="Times New Roman" w:hAnsi="Times New Roman" w:eastAsia="宋体"/>
          <w:color w:val="000000"/>
          <w:sz w:val="21"/>
          <w:vertAlign w:val="subscript"/>
        </w:rPr>
        <w:t>R</w:t>
      </w:r>
      <w:r>
        <w:rPr>
          <w:rFonts w:ascii="Times New Roman" w:hAnsi="Times New Roman" w:eastAsia="宋体"/>
          <w:color w:val="000000"/>
          <w:sz w:val="21"/>
        </w:rPr>
        <w:t xml:space="preserve"> 为 B、G、R 通道经下限保护后的统计均值，范围为 1～255；m 为三者的几何均值；k∈{B,G,R} 为通道索引；</w:t>
      </w:r>
      <w:r>
        <w:rPr>
          <w:rFonts w:ascii="Times New Roman" w:hAnsi="Times New Roman" w:eastAsia="宋体"/>
          <w:i/>
          <w:color w:val="000000"/>
          <w:sz w:val="21"/>
        </w:rPr>
        <w:t>ĝ</w:t>
      </w:r>
      <w:r>
        <w:rPr>
          <w:rFonts w:ascii="Times New Roman" w:hAnsi="Times New Roman" w:eastAsia="宋体"/>
          <w:color w:val="000000"/>
          <w:sz w:val="21"/>
          <w:vertAlign w:val="subscript"/>
        </w:rPr>
        <w:t>k</w:t>
      </w:r>
      <w:r>
        <w:rPr>
          <w:rFonts w:ascii="Times New Roman" w:hAnsi="Times New Roman" w:eastAsia="宋体"/>
          <w:color w:val="000000"/>
          <w:sz w:val="21"/>
        </w:rPr>
        <w:t xml:space="preserve"> 为候选增益；</w:t>
      </w:r>
      <w:r>
        <w:rPr>
          <w:rFonts w:ascii="Times New Roman" w:hAnsi="Times New Roman" w:eastAsia="宋体"/>
          <w:i/>
          <w:color w:val="000000"/>
          <w:sz w:val="21"/>
        </w:rPr>
        <w:t>g</w:t>
      </w:r>
      <w:r>
        <w:rPr>
          <w:rFonts w:ascii="Times New Roman" w:hAnsi="Times New Roman" w:eastAsia="宋体"/>
          <w:color w:val="000000"/>
          <w:sz w:val="21"/>
          <w:vertAlign w:val="subscript"/>
        </w:rPr>
        <w:t>k,min</w:t>
      </w:r>
      <w:r>
        <w:rPr>
          <w:rFonts w:ascii="Times New Roman" w:hAnsi="Times New Roman" w:eastAsia="宋体"/>
          <w:color w:val="000000"/>
          <w:sz w:val="21"/>
        </w:rPr>
        <w:t xml:space="preserve"> 和 </w:t>
      </w:r>
      <w:r>
        <w:rPr>
          <w:rFonts w:ascii="Times New Roman" w:hAnsi="Times New Roman" w:eastAsia="宋体"/>
          <w:i/>
          <w:color w:val="000000"/>
          <w:sz w:val="21"/>
        </w:rPr>
        <w:t>g</w:t>
      </w:r>
      <w:r>
        <w:rPr>
          <w:rFonts w:ascii="Times New Roman" w:hAnsi="Times New Roman" w:eastAsia="宋体"/>
          <w:color w:val="000000"/>
          <w:sz w:val="21"/>
          <w:vertAlign w:val="subscript"/>
        </w:rPr>
        <w:t>k,max</w:t>
      </w:r>
      <w:r>
        <w:rPr>
          <w:rFonts w:ascii="Times New Roman" w:hAnsi="Times New Roman" w:eastAsia="宋体"/>
          <w:color w:val="000000"/>
          <w:sz w:val="21"/>
        </w:rPr>
        <w:t xml:space="preserve"> 为增益下限及上限。增益为无量纲量。clip(x,a,b) 将 x 限制在闭区间 [a,b] 内。</w:t>
      </w:r>
    </w:p>
    <w:p w14:paraId="435CE46B">
      <w:pPr>
        <w:widowControl/>
      </w:pPr>
      <w:r>
        <w:rPr>
          <w:rFonts w:ascii="Times New Roman" w:hAnsi="Times New Roman" w:eastAsia="宋体"/>
          <w:b/>
          <w:color w:val="000000"/>
          <w:sz w:val="21"/>
        </w:rPr>
        <w:t>增益约束：</w:t>
      </w:r>
      <w:r>
        <w:rPr>
          <w:rFonts w:ascii="Times New Roman" w:hAnsi="Times New Roman" w:eastAsia="宋体"/>
          <w:b w:val="0"/>
          <w:color w:val="000000"/>
          <w:sz w:val="21"/>
        </w:rPr>
        <w:t>B、G、R 通道增益分别限制在 [0.80,1.15]、[0.85,1.20] 和 [0.90,1.45]。红通道允许较大的恢复幅度，但受限增益只能校正已有颜色信息，不能恢复相机未记录的光谱成分。</w:t>
      </w:r>
    </w:p>
    <w:p w14:paraId="04E35A91">
      <w:pPr>
        <w:widowControl/>
      </w:pPr>
      <w:r>
        <w:rPr>
          <w:rFonts w:ascii="Times New Roman" w:hAnsi="Times New Roman" w:eastAsia="宋体"/>
          <w:b/>
          <w:color w:val="000000"/>
          <w:sz w:val="21"/>
        </w:rPr>
        <w:t>时间稳定作用：</w:t>
      </w:r>
      <w:r>
        <w:rPr>
          <w:rFonts w:ascii="Times New Roman" w:hAnsi="Times New Roman" w:eastAsia="宋体"/>
          <w:b w:val="0"/>
          <w:color w:val="000000"/>
          <w:sz w:val="21"/>
        </w:rPr>
        <w:t>为避免气泡经过镜头或照明变化造成画面逐帧闪色，候选增益按式（2）采用指数式时间平滑，并限制单帧最大变化量。其输出是色彩变化较平稳的整幅白平衡画面。</w:t>
      </w:r>
    </w:p>
    <w:tbl>
      <w:tblPr>
        <w:tblStyle w:val="18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28"/>
        <w:gridCol w:w="1152"/>
      </w:tblGrid>
      <w:tr w14:paraId="4856C4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2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14F02D8">
            <w:pPr>
              <w:keepNext/>
              <w:spacing w:before="60" w:after="60" w:line="252" w:lineRule="auto"/>
              <w:ind w:firstLine="0"/>
              <w:jc w:val="center"/>
            </w:pPr>
            <w:r>
              <w:drawing>
                <wp:inline distT="0" distB="0" distL="114300" distR="114300">
                  <wp:extent cx="4526280" cy="584200"/>
                  <wp:effectExtent l="0" t="0" r="762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280" cy="584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DE978C6">
            <w:pPr>
              <w:keepNext/>
              <w:spacing w:before="60" w:after="60" w:line="252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9"/>
              </w:rPr>
              <w:t>(2)</w:t>
            </w:r>
          </w:p>
        </w:tc>
      </w:tr>
    </w:tbl>
    <w:p w14:paraId="082EF93B">
      <w:pPr>
        <w:widowControl/>
      </w:pPr>
      <w:r>
        <w:rPr>
          <w:rFonts w:ascii="Times New Roman" w:hAnsi="Times New Roman" w:eastAsia="宋体"/>
          <w:color w:val="000000"/>
          <w:sz w:val="21"/>
        </w:rPr>
        <w:t>式中：t 为当前视频帧序号，t−1 为上一有效帧；</w:t>
      </w:r>
      <w:r>
        <w:rPr>
          <w:rFonts w:ascii="Times New Roman" w:hAnsi="Times New Roman" w:eastAsia="宋体"/>
          <w:i/>
          <w:color w:val="000000"/>
          <w:sz w:val="21"/>
        </w:rPr>
        <w:t>g</w:t>
      </w:r>
      <w:r>
        <w:rPr>
          <w:rFonts w:ascii="Times New Roman" w:hAnsi="Times New Roman" w:eastAsia="宋体"/>
          <w:color w:val="000000"/>
          <w:sz w:val="21"/>
          <w:vertAlign w:val="subscript"/>
        </w:rPr>
        <w:t>k,t</w:t>
      </w:r>
      <w:r>
        <w:rPr>
          <w:rFonts w:ascii="Times New Roman" w:hAnsi="Times New Roman" w:eastAsia="宋体"/>
          <w:color w:val="000000"/>
          <w:sz w:val="21"/>
        </w:rPr>
        <w:t xml:space="preserve"> 和 </w:t>
      </w:r>
      <w:r>
        <w:rPr>
          <w:rFonts w:ascii="Times New Roman" w:hAnsi="Times New Roman" w:eastAsia="宋体"/>
          <w:i/>
          <w:color w:val="000000"/>
          <w:sz w:val="21"/>
        </w:rPr>
        <w:t>g</w:t>
      </w:r>
      <w:r>
        <w:rPr>
          <w:rFonts w:ascii="Times New Roman" w:hAnsi="Times New Roman" w:eastAsia="宋体"/>
          <w:color w:val="000000"/>
          <w:sz w:val="21"/>
          <w:vertAlign w:val="subscript"/>
        </w:rPr>
        <w:t>k,t−1</w:t>
      </w:r>
      <w:r>
        <w:rPr>
          <w:rFonts w:ascii="Times New Roman" w:hAnsi="Times New Roman" w:eastAsia="宋体"/>
          <w:color w:val="000000"/>
          <w:sz w:val="21"/>
        </w:rPr>
        <w:t xml:space="preserve"> 分别为第 k 通道当前帧与上一帧实际采用的平滑增益；</w:t>
      </w:r>
      <w:r>
        <w:rPr>
          <w:rFonts w:ascii="Times New Roman" w:hAnsi="Times New Roman" w:eastAsia="宋体"/>
          <w:i/>
          <w:color w:val="000000"/>
          <w:sz w:val="21"/>
        </w:rPr>
        <w:t>ĝ</w:t>
      </w:r>
      <w:r>
        <w:rPr>
          <w:rFonts w:ascii="Times New Roman" w:hAnsi="Times New Roman" w:eastAsia="宋体"/>
          <w:color w:val="000000"/>
          <w:sz w:val="21"/>
          <w:vertAlign w:val="subscript"/>
        </w:rPr>
        <w:t>k,t</w:t>
      </w:r>
      <w:r>
        <w:rPr>
          <w:rFonts w:ascii="Times New Roman" w:hAnsi="Times New Roman" w:eastAsia="宋体"/>
          <w:color w:val="000000"/>
          <w:sz w:val="21"/>
        </w:rPr>
        <w:t xml:space="preserve"> 为式（1）得到的当前帧候选增益；α 为平滑系数，用于控制对新估计值的响应速度；δ 为单帧允许的最大增益变化量；clip 的上下限 −δ 和 δ 用于抑制突变。当前实现取 α=0.10、δ=0.02，二者均为无量纲参数；打开新视频源时清除历史增益。</w:t>
      </w:r>
    </w:p>
    <w:p w14:paraId="58F43211">
      <w:pPr>
        <w:pStyle w:val="3"/>
        <w:keepNext/>
        <w:widowControl/>
      </w:pPr>
      <w:r>
        <w:rPr>
          <w:rFonts w:ascii="Times New Roman" w:hAnsi="Times New Roman" w:eastAsia="黑体"/>
          <w:b/>
          <w:color w:val="000000"/>
          <w:sz w:val="21"/>
        </w:rPr>
        <w:t>3.3 增强目标跟踪能力的三区分层处理</w:t>
      </w:r>
    </w:p>
    <w:p w14:paraId="16514655">
      <w:pPr>
        <w:widowControl/>
      </w:pPr>
      <w:r>
        <w:rPr>
          <w:rFonts w:ascii="Times New Roman" w:hAnsi="Times New Roman" w:eastAsia="宋体"/>
          <w:b/>
          <w:color w:val="000000"/>
          <w:sz w:val="21"/>
        </w:rPr>
        <w:t>分区原则：</w:t>
      </w:r>
      <w:r>
        <w:rPr>
          <w:rFonts w:ascii="Times New Roman" w:hAnsi="Times New Roman" w:eastAsia="宋体"/>
          <w:b w:val="0"/>
          <w:color w:val="000000"/>
          <w:sz w:val="21"/>
        </w:rPr>
        <w:t>该模块用于扩大目标与干扰背景之间的特征差异。算法以目标框为核心划分目标核心区、保护环和远背景区，并对三个区域采用不同算子，而不是对整幅画面统一锐化。</w:t>
      </w:r>
    </w:p>
    <w:p w14:paraId="1548C06B">
      <w:pPr>
        <w:widowControl/>
      </w:pPr>
      <w:r>
        <w:rPr>
          <w:rFonts w:ascii="Times New Roman" w:hAnsi="Times New Roman" w:eastAsia="宋体"/>
          <w:b/>
          <w:color w:val="000000"/>
          <w:sz w:val="21"/>
        </w:rPr>
        <w:t>背景：</w:t>
      </w:r>
      <w:r>
        <w:rPr>
          <w:rFonts w:ascii="Times New Roman" w:hAnsi="Times New Roman" w:eastAsia="宋体"/>
          <w:b w:val="0"/>
          <w:color w:val="000000"/>
          <w:sz w:val="21"/>
        </w:rPr>
        <w:t>为了去除环境噪声对轮廓特征识别的影响，采用强模糊。根据目标框对角线长度d进行自适应计算。自适应计算为 σb=clip(max(2.2,d/120),1.5,3.0)，其中σb是高斯模糊标准差。再将模糊结果以0.65 的权重与白平衡原图混合。保留 35% 原图是为了给 CSRT 保留必要的负背景信息。</w:t>
      </w:r>
    </w:p>
    <w:p w14:paraId="1371CB0A">
      <w:pPr>
        <w:widowControl/>
      </w:pPr>
      <w:r>
        <w:rPr>
          <w:rFonts w:ascii="Times New Roman" w:hAnsi="Times New Roman" w:eastAsia="宋体"/>
          <w:b/>
          <w:color w:val="000000"/>
          <w:sz w:val="21"/>
        </w:rPr>
        <w:t>保护环：</w:t>
      </w:r>
      <w:r>
        <w:rPr>
          <w:rFonts w:ascii="Times New Roman" w:hAnsi="Times New Roman" w:eastAsia="宋体"/>
          <w:b w:val="0"/>
          <w:color w:val="000000"/>
          <w:sz w:val="21"/>
        </w:rPr>
        <w:t>其作用是容纳目标运动、处理框预测误差和 CSRT 框的轻微抖动，避免目标边缘突然进入远背景强模糊区。程序将目标框向外扩展 30%，并对该区域采用标准差为 0.70 的弱高斯模糊，以保留目标附近的结构信息。</w:t>
      </w:r>
    </w:p>
    <w:p w14:paraId="11102A8D">
      <w:pPr>
        <w:widowControl/>
      </w:pPr>
      <w:r>
        <w:rPr>
          <w:rFonts w:ascii="Times New Roman" w:hAnsi="Times New Roman" w:eastAsia="宋体"/>
          <w:b/>
          <w:color w:val="000000"/>
          <w:sz w:val="21"/>
        </w:rPr>
        <w:t>目标核心区：</w:t>
      </w:r>
      <w:r>
        <w:rPr>
          <w:rFonts w:ascii="Times New Roman" w:hAnsi="Times New Roman" w:eastAsia="宋体"/>
          <w:b w:val="0"/>
          <w:color w:val="000000"/>
          <w:sz w:val="21"/>
        </w:rPr>
        <w:t>针对不同环境，决定是否锐化处理。程序先将目标 ROI 从BGR 转换到 CIELAB，只处理 L 亮度通道：中位亮度位于 (2,105) 时使用 256 项查找表执行Gamma 校正， γ 限制为 [0.75,1.0]；第 95 与第 5 百分位差小于 90 时采用 6×6 分块CLAHE，对比度限制值最高为 2.60；再用拉普拉斯方差判断清晰度，并采用非锐化掩模Lsharp=(1+a)L−aG1.1(L) 增强轮廓。方差小于 80 时 a=0.35，位于 [80,160) 时 a=0.20，其余取0。气泡风险大于 0.010 时将 a 乘以 0.35，高亮中性像素超过 8% 时关闭锐化。三区处理结果随后按式（3）进行羽化融合。</w:t>
      </w:r>
    </w:p>
    <w:p w14:paraId="4DA1B6F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计算变量：</w:t>
      </w:r>
      <w:r>
        <w:rPr>
          <w:rFonts w:ascii="Times New Roman" w:hAnsi="Times New Roman" w:eastAsia="宋体"/>
          <w:b w:val="0"/>
          <w:color w:val="000000"/>
          <w:sz w:val="21"/>
        </w:rPr>
        <w:t>设目标核心区域的 CIELAB 亮度图为 L(x,y)，像素范围为 [0,255]。算法首先计算第 5、50 和 95 百分位亮度，并以第 95 与第 5 百分位之差表示有效动态范围：</w:t>
      </w:r>
    </w:p>
    <w:p w14:paraId="4DA60BC5">
      <w:pPr>
        <w:keepLines/>
        <w:spacing w:before="60" w:after="60"/>
        <w:ind w:firstLine="0"/>
        <w:jc w:val="center"/>
      </w:pPr>
      <w:r>
        <w:drawing>
          <wp:inline distT="0" distB="0" distL="114300" distR="114300">
            <wp:extent cx="5303520" cy="3422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176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Gamma 指数推导：</w:t>
      </w:r>
      <w:r>
        <w:rPr>
          <w:rFonts w:ascii="Times New Roman" w:hAnsi="Times New Roman" w:eastAsia="宋体"/>
          <w:b w:val="0"/>
          <w:color w:val="000000"/>
          <w:sz w:val="21"/>
        </w:rPr>
        <w:t>当 2&lt;p50&lt;105 时，需要提升偏暗区域的中间亮度。程序将当前中位亮度归一化，并要求校正后的中位亮度接近 112，由幂律关系求得候选指数 γ0，再将其限制在 [0.75,1.0]：</w:t>
      </w:r>
    </w:p>
    <w:p w14:paraId="2CAA6D67">
      <w:pPr>
        <w:keepLines/>
        <w:spacing w:before="60" w:after="60"/>
        <w:ind w:firstLine="0"/>
        <w:jc w:val="center"/>
      </w:pPr>
      <w:r>
        <w:drawing>
          <wp:inline distT="0" distB="0" distL="114300" distR="114300">
            <wp:extent cx="5532120" cy="3568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5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9D96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查找表映射：</w:t>
      </w:r>
      <w:r>
        <w:rPr>
          <w:rFonts w:ascii="Times New Roman" w:hAnsi="Times New Roman" w:eastAsia="宋体"/>
          <w:b w:val="0"/>
          <w:color w:val="000000"/>
          <w:sz w:val="21"/>
        </w:rPr>
        <w:t>对 0～255 的每个输入灰度预先计算下式，共形成 256 项查找表；处理每个像素时只需按灰度值索引结果，避免逐像素重复计算乘方：</w:t>
      </w:r>
    </w:p>
    <w:p w14:paraId="489F6E23">
      <w:pPr>
        <w:keepLines/>
        <w:spacing w:before="60" w:after="60"/>
        <w:ind w:firstLine="0"/>
        <w:jc w:val="center"/>
      </w:pPr>
      <w:r>
        <w:drawing>
          <wp:inline distT="0" distB="0" distL="114300" distR="114300">
            <wp:extent cx="4114800" cy="2654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5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0F0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局部对比度增强：</w:t>
      </w:r>
      <w:r>
        <w:rPr>
          <w:rFonts w:ascii="Times New Roman" w:hAnsi="Times New Roman" w:eastAsia="宋体"/>
          <w:b w:val="0"/>
          <w:color w:val="000000"/>
          <w:sz w:val="21"/>
        </w:rPr>
        <w:t>当 ΔL&lt;90 时，说明目标 ROI 的有效亮度跨度不足。算法根据动态范围缺失程度 sc 线性计算 CLAHE 对比度限制值 c；动态范围越窄，增强强度越大：</w:t>
      </w:r>
    </w:p>
    <w:p w14:paraId="1CC77F1E">
      <w:pPr>
        <w:keepLines/>
        <w:spacing w:before="60" w:after="60"/>
        <w:ind w:firstLine="0"/>
        <w:jc w:val="center"/>
      </w:pPr>
      <w:r>
        <w:drawing>
          <wp:inline distT="0" distB="0" distL="114300" distR="114300">
            <wp:extent cx="4663440" cy="3009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0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2B5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CLAHE 映射：</w:t>
      </w:r>
      <w:r>
        <w:rPr>
          <w:rFonts w:ascii="Times New Roman" w:hAnsi="Times New Roman" w:eastAsia="宋体"/>
          <w:b w:val="0"/>
          <w:color w:val="000000"/>
          <w:sz w:val="21"/>
        </w:rPr>
        <w:t>目标区域被划分为 6×6 个子块。各子块直方图经限幅和超额像素再分配后得到 h̃，并通过累积分布完成亮度映射；相邻子块之间采用双线性插值，减弱分块边界：</w:t>
      </w:r>
    </w:p>
    <w:p w14:paraId="7409337B">
      <w:pPr>
        <w:keepLines/>
        <w:spacing w:before="60" w:after="60"/>
        <w:ind w:firstLine="0"/>
        <w:jc w:val="center"/>
      </w:pPr>
      <w:r>
        <w:drawing>
          <wp:inline distT="0" distB="0" distL="114300" distR="114300">
            <wp:extent cx="4114800" cy="39814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9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623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清晰度与气泡风险：</w:t>
      </w:r>
      <w:r>
        <w:rPr>
          <w:rFonts w:ascii="Times New Roman" w:hAnsi="Times New Roman" w:eastAsia="宋体"/>
          <w:b w:val="0"/>
          <w:color w:val="000000"/>
          <w:sz w:val="21"/>
        </w:rPr>
        <w:t>对 CLAHE 输出 Lc 计算拉普拉斯响应方差 VL。VL 越小，通常表示边缘越弱。另令 Δc 为原 ROI 同一像素 B、G、R 最大值与最小值之差；Mh 标记高亮中性像素，Me 标记强边缘像素，二者比例的乘积作为气泡风险指标 rb：</w:t>
      </w:r>
    </w:p>
    <w:p w14:paraId="09280A48">
      <w:pPr>
        <w:keepLines/>
        <w:spacing w:before="60" w:after="60"/>
        <w:ind w:firstLine="0"/>
        <w:jc w:val="center"/>
      </w:pPr>
      <w:r>
        <w:drawing>
          <wp:inline distT="0" distB="0" distL="114300" distR="114300">
            <wp:extent cx="5532120" cy="3568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5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6F4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锐化系数决策：</w:t>
      </w:r>
      <w:r>
        <w:rPr>
          <w:rFonts w:ascii="Times New Roman" w:hAnsi="Times New Roman" w:eastAsia="宋体"/>
          <w:b w:val="0"/>
          <w:color w:val="000000"/>
          <w:sz w:val="21"/>
        </w:rPr>
        <w:t>首先根据 VL 选择基础锐化强度 a0；气泡风险过高时将强度降为原来的 35%，高亮中性像素比例超过 8% 时直接关闭锐化：</w:t>
      </w:r>
    </w:p>
    <w:p w14:paraId="28912C5F">
      <w:pPr>
        <w:keepLines/>
        <w:spacing w:before="60" w:after="60"/>
        <w:ind w:firstLine="0"/>
        <w:jc w:val="center"/>
      </w:pPr>
      <w:r>
        <w:drawing>
          <wp:inline distT="0" distB="0" distL="114300" distR="114300">
            <wp:extent cx="4572000" cy="2946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A60B">
      <w:pPr>
        <w:keepLines/>
        <w:spacing w:before="60" w:after="60"/>
        <w:ind w:firstLine="0"/>
        <w:jc w:val="center"/>
      </w:pPr>
      <w:r>
        <w:drawing>
          <wp:inline distT="0" distB="0" distL="114300" distR="114300">
            <wp:extent cx="4206240" cy="2711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2DA96">
      <w:pPr>
        <w:keepLines/>
        <w:spacing w:before="60" w:after="60"/>
        <w:ind w:firstLine="0"/>
        <w:jc w:val="center"/>
      </w:pPr>
      <w:r>
        <w:drawing>
          <wp:inline distT="0" distB="0" distL="114300" distR="114300">
            <wp:extent cx="4206240" cy="27114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482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非锐化掩模推演：</w:t>
      </w:r>
      <w:r>
        <w:rPr>
          <w:rFonts w:ascii="Times New Roman" w:hAnsi="Times New Roman" w:eastAsia="宋体"/>
          <w:b w:val="0"/>
          <w:color w:val="000000"/>
          <w:sz w:val="21"/>
        </w:rPr>
        <w:t>令 G1.1(Lc) 表示标准差为 1.1 的高斯低通结果。原亮度减去低通结果得到高频轮廓分量，将其乘以系数 a 后叠加回原亮度，即得到增强后的亮度 Ls：</w:t>
      </w:r>
    </w:p>
    <w:p w14:paraId="5F967BF0">
      <w:pPr>
        <w:keepLines/>
        <w:spacing w:before="60" w:after="60"/>
        <w:ind w:firstLine="0"/>
        <w:jc w:val="center"/>
      </w:pPr>
      <w:r>
        <w:drawing>
          <wp:inline distT="0" distB="0" distL="114300" distR="114300">
            <wp:extent cx="4572000" cy="2946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FB9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颜色恢复与输出：</w:t>
      </w:r>
      <w:r>
        <w:rPr>
          <w:rFonts w:ascii="Times New Roman" w:hAnsi="Times New Roman" w:eastAsia="宋体"/>
          <w:b w:val="0"/>
          <w:color w:val="000000"/>
          <w:sz w:val="21"/>
        </w:rPr>
        <w:t>锐化只作用于 L 通道，原 CIELAB 色度通道 A、B 保持不变，再转换回 BGR 图像。因此，该自适应过程同时依据亮度、动态范围、拉普拉斯清晰度和气泡风险决定是否执行 Gamma 校正、CLAHE 与锐化，而不是对所有目标帧施加固定强度：</w:t>
      </w:r>
    </w:p>
    <w:p w14:paraId="42149221">
      <w:pPr>
        <w:keepLines/>
        <w:spacing w:before="60" w:after="60"/>
        <w:ind w:firstLine="0"/>
        <w:jc w:val="center"/>
      </w:pPr>
      <w:r>
        <w:drawing>
          <wp:inline distT="0" distB="0" distL="114300" distR="114300">
            <wp:extent cx="3657600" cy="23558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8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28"/>
        <w:gridCol w:w="1152"/>
      </w:tblGrid>
      <w:tr w14:paraId="5E542D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2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B645283">
            <w:pPr>
              <w:keepNext/>
              <w:spacing w:before="60" w:after="60" w:line="252" w:lineRule="auto"/>
              <w:ind w:firstLine="0"/>
              <w:jc w:val="center"/>
            </w:pPr>
            <w:r>
              <w:drawing>
                <wp:inline distT="0" distB="0" distL="114300" distR="114300">
                  <wp:extent cx="4526280" cy="584200"/>
                  <wp:effectExtent l="0" t="0" r="762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280" cy="584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E8385BF">
            <w:pPr>
              <w:keepNext/>
              <w:spacing w:before="60" w:after="60" w:line="252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9"/>
              </w:rPr>
              <w:t>(3)</w:t>
            </w:r>
          </w:p>
        </w:tc>
      </w:tr>
    </w:tbl>
    <w:p w14:paraId="26650852">
      <w:pPr>
        <w:widowControl/>
      </w:pPr>
      <w:r>
        <w:rPr>
          <w:rFonts w:ascii="Times New Roman" w:hAnsi="Times New Roman" w:eastAsia="宋体"/>
          <w:b/>
          <w:color w:val="000000"/>
          <w:sz w:val="21"/>
        </w:rPr>
        <w:t>羽化融合：</w:t>
      </w:r>
      <w:r>
        <w:rPr>
          <w:rFonts w:ascii="Times New Roman" w:hAnsi="Times New Roman" w:eastAsia="宋体"/>
          <w:b w:val="0"/>
          <w:color w:val="000000"/>
          <w:sz w:val="21"/>
        </w:rPr>
        <w:t>该步骤用于消除锐化区和模糊区之间的人为矩形接缝。过渡带宽度取目标框较短边的 6%，并限制为 3～16 px；根据像素到区域边界的距离生成连续权重 Mt、Mg、Mb，按式（3）融合目标核心、保护环和远背景处理结果。输出 Itrack 直接用于 CSRT 初始化和后续更新。</w:t>
      </w:r>
    </w:p>
    <w:p w14:paraId="428CF834">
      <w:pPr>
        <w:pStyle w:val="2"/>
        <w:keepNext/>
        <w:widowControl/>
      </w:pPr>
      <w:r>
        <w:rPr>
          <w:rFonts w:ascii="Times New Roman" w:hAnsi="Times New Roman" w:eastAsia="黑体"/>
          <w:b/>
          <w:color w:val="000000"/>
          <w:sz w:val="24"/>
        </w:rPr>
        <w:t>4 目标选择与连续跟踪</w:t>
      </w:r>
    </w:p>
    <w:p w14:paraId="24F7F85E">
      <w:pPr>
        <w:pStyle w:val="3"/>
        <w:keepNext/>
        <w:widowControl/>
      </w:pPr>
      <w:r>
        <w:rPr>
          <w:rFonts w:ascii="Times New Roman" w:hAnsi="Times New Roman" w:eastAsia="黑体"/>
          <w:b/>
          <w:color w:val="000000"/>
          <w:sz w:val="21"/>
        </w:rPr>
        <w:t>4.1 面向未知目标的人工 ROI 初始化</w:t>
      </w:r>
    </w:p>
    <w:p w14:paraId="0E423600">
      <w:pPr>
        <w:widowControl/>
      </w:pPr>
      <w:r>
        <w:rPr>
          <w:rFonts w:ascii="Times New Roman" w:hAnsi="Times New Roman" w:eastAsia="宋体"/>
          <w:b/>
          <w:color w:val="000000"/>
          <w:sz w:val="21"/>
        </w:rPr>
        <w:t>作用与方法：</w:t>
      </w:r>
      <w:r>
        <w:rPr>
          <w:rFonts w:ascii="Times New Roman" w:hAnsi="Times New Roman" w:eastAsia="宋体"/>
          <w:b w:val="0"/>
          <w:color w:val="000000"/>
          <w:sz w:val="21"/>
        </w:rPr>
        <w:t>人工 ROI 用于在没有通用目标检测器的情况下明确指定训练对象。用户在固定缩放、尚未增强的首帧上拖动矩形框；程序检查框的尺寸和边界，用该框对同一帧执行白平衡与三区处理，再在融合帧的相同坐标上初始化 CSRT。该步骤输出初始目标框和首个目标观测。</w:t>
      </w:r>
    </w:p>
    <w:p w14:paraId="7F9C20E6">
      <w:pPr>
        <w:pStyle w:val="3"/>
        <w:keepNext/>
        <w:widowControl/>
      </w:pPr>
      <w:r>
        <w:rPr>
          <w:rFonts w:ascii="Times New Roman" w:hAnsi="Times New Roman" w:eastAsia="黑体"/>
          <w:b/>
          <w:color w:val="000000"/>
          <w:sz w:val="21"/>
        </w:rPr>
        <w:t>4.2 面向快速位移的处理区域预测</w:t>
      </w:r>
    </w:p>
    <w:p w14:paraId="6300D432">
      <w:pPr>
        <w:widowControl/>
      </w:pPr>
      <w:r>
        <w:rPr>
          <w:rFonts w:ascii="Times New Roman" w:hAnsi="Times New Roman" w:eastAsia="宋体"/>
          <w:b/>
          <w:color w:val="000000"/>
          <w:sz w:val="21"/>
        </w:rPr>
        <w:t>作用与方法：</w:t>
      </w:r>
      <w:r>
        <w:rPr>
          <w:rFonts w:ascii="Times New Roman" w:hAnsi="Times New Roman" w:eastAsia="宋体"/>
          <w:b w:val="0"/>
          <w:color w:val="000000"/>
          <w:sz w:val="21"/>
        </w:rPr>
        <w:t>处理区域预测用于解决“当前帧必须先增强、CSRT 才能更新”的时序问题。系统根据最近两次目标框的中心位移进行一帧线性外推，并将水平、垂直位移分别限制在目标框宽、高的四分之一以内。预测框只决定当前帧的三区处理位置，最终目标位置仍由 CSRT 输出。</w:t>
      </w:r>
    </w:p>
    <w:p w14:paraId="01B275B3">
      <w:pPr>
        <w:pStyle w:val="3"/>
        <w:keepNext/>
        <w:widowControl/>
      </w:pPr>
      <w:r>
        <w:rPr>
          <w:rFonts w:ascii="Times New Roman" w:hAnsi="Times New Roman" w:eastAsia="黑体"/>
          <w:b/>
          <w:color w:val="000000"/>
          <w:sz w:val="21"/>
        </w:rPr>
        <w:t>4.3 面向漂移与丢失的 CSRT 状态约束</w:t>
      </w:r>
    </w:p>
    <w:p w14:paraId="506D1E06">
      <w:pPr>
        <w:widowControl/>
      </w:pPr>
      <w:r>
        <w:rPr>
          <w:rFonts w:ascii="Times New Roman" w:hAnsi="Times New Roman" w:eastAsia="宋体"/>
          <w:b/>
          <w:color w:val="000000"/>
          <w:sz w:val="21"/>
        </w:rPr>
        <w:t>状态约束作用：</w:t>
      </w:r>
      <w:r>
        <w:rPr>
          <w:rFonts w:ascii="Times New Roman" w:hAnsi="Times New Roman" w:eastAsia="宋体"/>
          <w:b w:val="0"/>
          <w:color w:val="000000"/>
          <w:sz w:val="21"/>
        </w:rPr>
        <w:t>为了避免失效结果继续进入运动控制，CSRT 初始化和更新始终使用同一类三区融合帧。更新成功后，程序检查目标框是否仍与画面相交并输出带时间戳的目标观测；更新失败或目标框完全越界时清除跟踪状态，要求用户重新框选。</w:t>
      </w:r>
    </w:p>
    <w:p w14:paraId="5FB92AC1">
      <w:pPr>
        <w:widowControl/>
      </w:pPr>
      <w:r>
        <w:rPr>
          <w:rFonts w:ascii="Times New Roman" w:hAnsi="Times New Roman" w:eastAsia="宋体"/>
          <w:b/>
          <w:color w:val="000000"/>
          <w:sz w:val="21"/>
        </w:rPr>
        <w:t>具体方法与边界：</w:t>
      </w:r>
      <w:r>
        <w:rPr>
          <w:rFonts w:ascii="Times New Roman" w:hAnsi="Times New Roman" w:eastAsia="宋体"/>
          <w:b w:val="0"/>
          <w:color w:val="000000"/>
          <w:sz w:val="21"/>
        </w:rPr>
        <w:t>CSRT 是带通道可靠性和空间可靠性约束的判别相关滤波方法[2]，通过学习目标区域与周围背景的差异估计下一帧位置。本系统使用 OpenCV CSRT，并将三区融合画面作为训练和更新输入。CSRT 不具备通用目标检测和自动重识别能力，其成功返回也不能排除缓慢漂移，因此仍需使用人工标注视频评价定位误差。</w:t>
      </w:r>
    </w:p>
    <w:p w14:paraId="7866F576">
      <w:pPr>
        <w:pStyle w:val="2"/>
        <w:keepNext/>
        <w:widowControl/>
      </w:pPr>
      <w:r>
        <w:rPr>
          <w:rFonts w:ascii="Times New Roman" w:hAnsi="Times New Roman" w:eastAsia="黑体"/>
          <w:b/>
          <w:color w:val="000000"/>
          <w:sz w:val="24"/>
        </w:rPr>
        <w:t>5 运动解算与指令生成</w:t>
      </w:r>
    </w:p>
    <w:p w14:paraId="038E715F">
      <w:pPr>
        <w:pStyle w:val="3"/>
        <w:keepNext/>
        <w:widowControl/>
      </w:pPr>
      <w:r>
        <w:rPr>
          <w:rFonts w:ascii="Times New Roman" w:hAnsi="Times New Roman" w:eastAsia="黑体"/>
          <w:b/>
          <w:color w:val="000000"/>
          <w:sz w:val="21"/>
        </w:rPr>
        <w:t>5.1 坐标误差与标定量</w:t>
      </w:r>
    </w:p>
    <w:p w14:paraId="10A7D730">
      <w:pPr>
        <w:widowControl/>
      </w:pPr>
      <w:r>
        <w:rPr>
          <w:rFonts w:ascii="Times New Roman" w:hAnsi="Times New Roman" w:eastAsia="宋体"/>
          <w:color w:val="000000"/>
          <w:sz w:val="21"/>
        </w:rPr>
        <w:t xml:space="preserve">运动控制器只接收 TargetObservation，不读取图像。设工作画面宽度为 W，目标中心横坐标为 </w:t>
      </w:r>
      <w:r>
        <w:rPr>
          <w:rFonts w:ascii="Times New Roman" w:hAnsi="Times New Roman" w:eastAsia="宋体"/>
          <w:i/>
          <w:color w:val="000000"/>
          <w:sz w:val="21"/>
        </w:rPr>
        <w:t>x</w:t>
      </w:r>
      <w:r>
        <w:rPr>
          <w:rFonts w:ascii="Times New Roman" w:hAnsi="Times New Roman" w:eastAsia="宋体"/>
          <w:color w:val="000000"/>
          <w:sz w:val="21"/>
          <w:vertAlign w:val="subscript"/>
        </w:rPr>
        <w:t>c</w:t>
      </w:r>
      <w:r>
        <w:rPr>
          <w:rFonts w:ascii="Times New Roman" w:hAnsi="Times New Roman" w:eastAsia="宋体"/>
          <w:color w:val="000000"/>
          <w:sz w:val="21"/>
        </w:rPr>
        <w:t xml:space="preserve">，用户设置的参考偏移为 </w:t>
      </w:r>
      <w:r>
        <w:rPr>
          <w:rFonts w:ascii="Times New Roman" w:hAnsi="Times New Roman" w:eastAsia="宋体"/>
          <w:i/>
          <w:color w:val="000000"/>
          <w:sz w:val="21"/>
        </w:rPr>
        <w:t>x</w:t>
      </w:r>
      <w:r>
        <w:rPr>
          <w:rFonts w:ascii="Times New Roman" w:hAnsi="Times New Roman" w:eastAsia="宋体"/>
          <w:color w:val="000000"/>
          <w:sz w:val="21"/>
          <w:vertAlign w:val="subscript"/>
        </w:rPr>
        <w:t>off</w:t>
      </w:r>
      <w:r>
        <w:rPr>
          <w:rFonts w:ascii="Times New Roman" w:hAnsi="Times New Roman" w:eastAsia="宋体"/>
          <w:color w:val="000000"/>
          <w:sz w:val="21"/>
        </w:rPr>
        <w:t xml:space="preserve">，像素与实际距离换算系数为 ρ，相机方向符号为 </w:t>
      </w:r>
      <w:r>
        <w:rPr>
          <w:rFonts w:ascii="Times New Roman" w:hAnsi="Times New Roman" w:eastAsia="宋体"/>
          <w:i/>
          <w:color w:val="000000"/>
          <w:sz w:val="21"/>
        </w:rPr>
        <w:t>s</w:t>
      </w:r>
      <w:r>
        <w:rPr>
          <w:rFonts w:ascii="Times New Roman" w:hAnsi="Times New Roman" w:eastAsia="宋体"/>
          <w:color w:val="000000"/>
          <w:sz w:val="21"/>
          <w:vertAlign w:val="subscript"/>
        </w:rPr>
        <w:t>c</w:t>
      </w:r>
      <w:r>
        <w:rPr>
          <w:rFonts w:ascii="Times New Roman" w:hAnsi="Times New Roman" w:eastAsia="宋体"/>
          <w:color w:val="000000"/>
          <w:sz w:val="21"/>
        </w:rPr>
        <w:t>，则参考位置和横向误差按式（4）计算。方向符号仅允许取 ±1，用于统一摄像头安装方向。</w:t>
      </w:r>
    </w:p>
    <w:tbl>
      <w:tblPr>
        <w:tblStyle w:val="18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28"/>
        <w:gridCol w:w="1152"/>
      </w:tblGrid>
      <w:tr w14:paraId="0C7513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2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FC3A12A">
            <w:pPr>
              <w:keepNext/>
              <w:spacing w:before="60" w:after="60" w:line="252" w:lineRule="auto"/>
              <w:ind w:firstLine="0"/>
              <w:jc w:val="center"/>
            </w:pPr>
            <w:r>
              <w:drawing>
                <wp:inline distT="0" distB="0" distL="114300" distR="114300">
                  <wp:extent cx="4526280" cy="584200"/>
                  <wp:effectExtent l="0" t="0" r="762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280" cy="584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947D5E6">
            <w:pPr>
              <w:keepNext/>
              <w:spacing w:before="60" w:after="60" w:line="252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9"/>
              </w:rPr>
              <w:t>(4)</w:t>
            </w:r>
          </w:p>
        </w:tc>
      </w:tr>
    </w:tbl>
    <w:p w14:paraId="085BC8FF">
      <w:pPr>
        <w:widowControl/>
      </w:pPr>
      <w:r>
        <w:rPr>
          <w:rFonts w:ascii="Times New Roman" w:hAnsi="Times New Roman" w:eastAsia="宋体"/>
          <w:color w:val="000000"/>
          <w:sz w:val="21"/>
        </w:rPr>
        <w:t>式中：W 为工作画面宽度，单位为像素；</w:t>
      </w:r>
      <w:r>
        <w:rPr>
          <w:rFonts w:ascii="Times New Roman" w:hAnsi="Times New Roman" w:eastAsia="宋体"/>
          <w:i/>
          <w:color w:val="000000"/>
          <w:sz w:val="21"/>
        </w:rPr>
        <w:t>x</w:t>
      </w:r>
      <w:r>
        <w:rPr>
          <w:rFonts w:ascii="Times New Roman" w:hAnsi="Times New Roman" w:eastAsia="宋体"/>
          <w:color w:val="000000"/>
          <w:sz w:val="21"/>
          <w:vertAlign w:val="subscript"/>
        </w:rPr>
        <w:t>ref</w:t>
      </w:r>
      <w:r>
        <w:rPr>
          <w:rFonts w:ascii="Times New Roman" w:hAnsi="Times New Roman" w:eastAsia="宋体"/>
          <w:color w:val="000000"/>
          <w:sz w:val="21"/>
        </w:rPr>
        <w:t xml:space="preserve"> 为叠加参考偏移后的目标期望横坐标，单位为像素；</w:t>
      </w:r>
      <w:r>
        <w:rPr>
          <w:rFonts w:ascii="Times New Roman" w:hAnsi="Times New Roman" w:eastAsia="宋体"/>
          <w:i/>
          <w:color w:val="000000"/>
          <w:sz w:val="21"/>
        </w:rPr>
        <w:t>x</w:t>
      </w:r>
      <w:r>
        <w:rPr>
          <w:rFonts w:ascii="Times New Roman" w:hAnsi="Times New Roman" w:eastAsia="宋体"/>
          <w:color w:val="000000"/>
          <w:sz w:val="21"/>
          <w:vertAlign w:val="subscript"/>
        </w:rPr>
        <w:t>c</w:t>
      </w:r>
      <w:r>
        <w:rPr>
          <w:rFonts w:ascii="Times New Roman" w:hAnsi="Times New Roman" w:eastAsia="宋体"/>
          <w:color w:val="000000"/>
          <w:sz w:val="21"/>
        </w:rPr>
        <w:t xml:space="preserve"> 为当前目标框中心横坐标，单位为像素；</w:t>
      </w:r>
      <w:r>
        <w:rPr>
          <w:rFonts w:ascii="Times New Roman" w:hAnsi="Times New Roman" w:eastAsia="宋体"/>
          <w:i/>
          <w:color w:val="000000"/>
          <w:sz w:val="21"/>
        </w:rPr>
        <w:t>x</w:t>
      </w:r>
      <w:r>
        <w:rPr>
          <w:rFonts w:ascii="Times New Roman" w:hAnsi="Times New Roman" w:eastAsia="宋体"/>
          <w:color w:val="000000"/>
          <w:sz w:val="21"/>
          <w:vertAlign w:val="subscript"/>
        </w:rPr>
        <w:t>off</w:t>
      </w:r>
      <w:r>
        <w:rPr>
          <w:rFonts w:ascii="Times New Roman" w:hAnsi="Times New Roman" w:eastAsia="宋体"/>
          <w:color w:val="000000"/>
          <w:sz w:val="21"/>
        </w:rPr>
        <w:t xml:space="preserve"> 为用户设置的参考横向偏移，单位为像素；</w:t>
      </w:r>
      <w:r>
        <w:rPr>
          <w:rFonts w:ascii="Times New Roman" w:hAnsi="Times New Roman" w:eastAsia="宋体"/>
          <w:i/>
          <w:color w:val="000000"/>
          <w:sz w:val="21"/>
        </w:rPr>
        <w:t>s</w:t>
      </w:r>
      <w:r>
        <w:rPr>
          <w:rFonts w:ascii="Times New Roman" w:hAnsi="Times New Roman" w:eastAsia="宋体"/>
          <w:color w:val="000000"/>
          <w:sz w:val="21"/>
          <w:vertAlign w:val="subscript"/>
        </w:rPr>
        <w:t>c</w:t>
      </w:r>
      <w:r>
        <w:rPr>
          <w:rFonts w:ascii="Times New Roman" w:hAnsi="Times New Roman" w:eastAsia="宋体"/>
          <w:color w:val="000000"/>
          <w:sz w:val="21"/>
        </w:rPr>
        <w:t xml:space="preserve"> 为相机坐标方向符号，只能取 +1 或 −1；ρ 为标定得到的每米像素数，单位为 pixel/m；</w:t>
      </w:r>
      <w:r>
        <w:rPr>
          <w:rFonts w:ascii="Times New Roman" w:hAnsi="Times New Roman" w:eastAsia="宋体"/>
          <w:i/>
          <w:color w:val="000000"/>
          <w:sz w:val="21"/>
        </w:rPr>
        <w:t>e</w:t>
      </w:r>
      <w:r>
        <w:rPr>
          <w:rFonts w:ascii="Times New Roman" w:hAnsi="Times New Roman" w:eastAsia="宋体"/>
          <w:color w:val="000000"/>
          <w:sz w:val="21"/>
          <w:vertAlign w:val="subscript"/>
        </w:rPr>
        <w:t>m</w:t>
      </w:r>
      <w:r>
        <w:rPr>
          <w:rFonts w:ascii="Times New Roman" w:hAnsi="Times New Roman" w:eastAsia="宋体"/>
          <w:color w:val="000000"/>
          <w:sz w:val="21"/>
        </w:rPr>
        <w:t xml:space="preserve"> 为带方向的横向距离误差，单位为 m。</w:t>
      </w:r>
      <w:r>
        <w:rPr>
          <w:rFonts w:ascii="Times New Roman" w:hAnsi="Times New Roman" w:eastAsia="宋体"/>
          <w:i/>
          <w:color w:val="000000"/>
          <w:sz w:val="21"/>
        </w:rPr>
        <w:t>e</w:t>
      </w:r>
      <w:r>
        <w:rPr>
          <w:rFonts w:ascii="Times New Roman" w:hAnsi="Times New Roman" w:eastAsia="宋体"/>
          <w:color w:val="000000"/>
          <w:sz w:val="21"/>
          <w:vertAlign w:val="subscript"/>
        </w:rPr>
        <w:t>m</w:t>
      </w:r>
      <w:r>
        <w:rPr>
          <w:rFonts w:ascii="Times New Roman" w:hAnsi="Times New Roman" w:eastAsia="宋体"/>
          <w:color w:val="000000"/>
          <w:sz w:val="21"/>
        </w:rPr>
        <w:t xml:space="preserve"> 的正负表示目标相对参考位置位于电机正向或反向。</w:t>
      </w:r>
    </w:p>
    <w:p w14:paraId="20F6D987">
      <w:pPr>
        <w:widowControl/>
      </w:pPr>
      <w:r>
        <w:rPr>
          <w:rFonts w:ascii="Times New Roman" w:hAnsi="Times New Roman" w:eastAsia="宋体"/>
          <w:color w:val="000000"/>
          <w:sz w:val="21"/>
        </w:rPr>
        <w:t>工作分辨率变化后，应重新标定每米像素数和参考偏移。该线性换算还假设目标与相机的相对距离变化较小。</w:t>
      </w:r>
    </w:p>
    <w:p w14:paraId="7DC8FEDC">
      <w:pPr>
        <w:pStyle w:val="3"/>
        <w:keepNext/>
        <w:widowControl/>
      </w:pPr>
      <w:r>
        <w:rPr>
          <w:rFonts w:ascii="Times New Roman" w:hAnsi="Times New Roman" w:eastAsia="黑体"/>
          <w:b/>
          <w:color w:val="000000"/>
          <w:sz w:val="21"/>
        </w:rPr>
        <w:t>5.2 位置比例跟随</w:t>
      </w:r>
    </w:p>
    <w:p w14:paraId="0121A939">
      <w:pPr>
        <w:widowControl/>
      </w:pPr>
      <w:r>
        <w:rPr>
          <w:rFonts w:ascii="Times New Roman" w:hAnsi="Times New Roman" w:eastAsia="宋体"/>
          <w:color w:val="000000"/>
          <w:sz w:val="21"/>
        </w:rPr>
        <w:t xml:space="preserve">位置跟随根据横向距离误差生成期望线速度。误差位于死区内时输出零；超出死区时使用比例增益，并在最大线速度范围内截断，如式（5）所示。随后电机网关使用电机方向符号 </w:t>
      </w:r>
      <w:r>
        <w:rPr>
          <w:rFonts w:ascii="Times New Roman" w:hAnsi="Times New Roman" w:eastAsia="宋体"/>
          <w:i/>
          <w:color w:val="000000"/>
          <w:sz w:val="21"/>
        </w:rPr>
        <w:t>s</w:t>
      </w:r>
      <w:r>
        <w:rPr>
          <w:rFonts w:ascii="Times New Roman" w:hAnsi="Times New Roman" w:eastAsia="宋体"/>
          <w:color w:val="000000"/>
          <w:sz w:val="21"/>
          <w:vertAlign w:val="subscript"/>
        </w:rPr>
        <w:t>m</w:t>
      </w:r>
      <w:r>
        <w:rPr>
          <w:rFonts w:ascii="Times New Roman" w:hAnsi="Times New Roman" w:eastAsia="宋体"/>
          <w:color w:val="000000"/>
          <w:sz w:val="21"/>
        </w:rPr>
        <w:t xml:space="preserve"> 和线速度至 RPM 的换算系数 κ 得到原始转速目标。</w:t>
      </w:r>
    </w:p>
    <w:tbl>
      <w:tblPr>
        <w:tblStyle w:val="18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28"/>
        <w:gridCol w:w="1152"/>
      </w:tblGrid>
      <w:tr w14:paraId="36E43C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2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AE0380D">
            <w:pPr>
              <w:keepNext/>
              <w:spacing w:before="60" w:after="60" w:line="252" w:lineRule="auto"/>
              <w:ind w:firstLine="0"/>
              <w:jc w:val="center"/>
            </w:pPr>
            <w:r>
              <w:drawing>
                <wp:inline distT="0" distB="0" distL="114300" distR="114300">
                  <wp:extent cx="4526280" cy="584200"/>
                  <wp:effectExtent l="0" t="0" r="762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280" cy="584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63B27DD">
            <w:pPr>
              <w:keepNext/>
              <w:spacing w:before="60" w:after="60" w:line="252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9"/>
              </w:rPr>
              <w:t>(5)</w:t>
            </w:r>
          </w:p>
        </w:tc>
      </w:tr>
    </w:tbl>
    <w:p w14:paraId="53F903F3">
      <w:pPr>
        <w:widowControl/>
      </w:pPr>
      <w:r>
        <w:rPr>
          <w:rFonts w:ascii="Times New Roman" w:hAnsi="Times New Roman" w:eastAsia="宋体"/>
          <w:color w:val="000000"/>
          <w:sz w:val="21"/>
        </w:rPr>
        <w:t>式中：</w:t>
      </w:r>
      <w:r>
        <w:rPr>
          <w:rFonts w:ascii="Times New Roman" w:hAnsi="Times New Roman" w:eastAsia="宋体"/>
          <w:i/>
          <w:color w:val="000000"/>
          <w:sz w:val="21"/>
        </w:rPr>
        <w:t>K</w:t>
      </w:r>
      <w:r>
        <w:rPr>
          <w:rFonts w:ascii="Times New Roman" w:hAnsi="Times New Roman" w:eastAsia="宋体"/>
          <w:color w:val="000000"/>
          <w:sz w:val="21"/>
          <w:vertAlign w:val="subscript"/>
        </w:rPr>
        <w:t>p</w:t>
      </w:r>
      <w:r>
        <w:rPr>
          <w:rFonts w:ascii="Times New Roman" w:hAnsi="Times New Roman" w:eastAsia="宋体"/>
          <w:color w:val="000000"/>
          <w:sz w:val="21"/>
        </w:rPr>
        <w:t xml:space="preserve"> 为位置比例增益，单位为 s⁻¹；</w:t>
      </w:r>
      <w:r>
        <w:rPr>
          <w:rFonts w:ascii="Times New Roman" w:hAnsi="Times New Roman" w:eastAsia="宋体"/>
          <w:i/>
          <w:color w:val="000000"/>
          <w:sz w:val="21"/>
        </w:rPr>
        <w:t>e</w:t>
      </w:r>
      <w:r>
        <w:rPr>
          <w:rFonts w:ascii="Times New Roman" w:hAnsi="Times New Roman" w:eastAsia="宋体"/>
          <w:color w:val="000000"/>
          <w:sz w:val="21"/>
          <w:vertAlign w:val="subscript"/>
        </w:rPr>
        <w:t>m</w:t>
      </w:r>
      <w:r>
        <w:rPr>
          <w:rFonts w:ascii="Times New Roman" w:hAnsi="Times New Roman" w:eastAsia="宋体"/>
          <w:color w:val="000000"/>
          <w:sz w:val="21"/>
        </w:rPr>
        <w:t xml:space="preserve"> 为式（4）得到的横向距离误差，单位为 m；</w:t>
      </w:r>
      <w:r>
        <w:rPr>
          <w:rFonts w:ascii="Times New Roman" w:hAnsi="Times New Roman" w:eastAsia="宋体"/>
          <w:i/>
          <w:color w:val="000000"/>
          <w:sz w:val="21"/>
        </w:rPr>
        <w:t>v</w:t>
      </w:r>
      <w:r>
        <w:rPr>
          <w:rFonts w:ascii="Times New Roman" w:hAnsi="Times New Roman" w:eastAsia="宋体"/>
          <w:color w:val="000000"/>
          <w:sz w:val="21"/>
          <w:vertAlign w:val="superscript"/>
        </w:rPr>
        <w:t>*</w:t>
      </w:r>
      <w:r>
        <w:rPr>
          <w:rFonts w:ascii="Times New Roman" w:hAnsi="Times New Roman" w:eastAsia="宋体"/>
          <w:color w:val="000000"/>
          <w:sz w:val="21"/>
        </w:rPr>
        <w:t xml:space="preserve"> 为机器人期望线速度，单位为 m/s；</w:t>
      </w:r>
      <w:r>
        <w:rPr>
          <w:rFonts w:ascii="Times New Roman" w:hAnsi="Times New Roman" w:eastAsia="宋体"/>
          <w:i/>
          <w:color w:val="000000"/>
          <w:sz w:val="21"/>
        </w:rPr>
        <w:t>v</w:t>
      </w:r>
      <w:r>
        <w:rPr>
          <w:rFonts w:ascii="Times New Roman" w:hAnsi="Times New Roman" w:eastAsia="宋体"/>
          <w:color w:val="000000"/>
          <w:sz w:val="21"/>
          <w:vertAlign w:val="subscript"/>
        </w:rPr>
        <w:t>max</w:t>
      </w:r>
      <w:r>
        <w:rPr>
          <w:rFonts w:ascii="Times New Roman" w:hAnsi="Times New Roman" w:eastAsia="宋体"/>
          <w:color w:val="000000"/>
          <w:sz w:val="21"/>
        </w:rPr>
        <w:t xml:space="preserve"> 为允许的最大线速度绝对值，单位为 m/s；</w:t>
      </w:r>
      <w:r>
        <w:rPr>
          <w:rFonts w:ascii="Times New Roman" w:hAnsi="Times New Roman" w:eastAsia="宋体"/>
          <w:i/>
          <w:color w:val="000000"/>
          <w:sz w:val="21"/>
        </w:rPr>
        <w:t>s</w:t>
      </w:r>
      <w:r>
        <w:rPr>
          <w:rFonts w:ascii="Times New Roman" w:hAnsi="Times New Roman" w:eastAsia="宋体"/>
          <w:color w:val="000000"/>
          <w:sz w:val="21"/>
          <w:vertAlign w:val="subscript"/>
        </w:rPr>
        <w:t>m</w:t>
      </w:r>
      <w:r>
        <w:rPr>
          <w:rFonts w:ascii="Times New Roman" w:hAnsi="Times New Roman" w:eastAsia="宋体"/>
          <w:color w:val="000000"/>
          <w:sz w:val="21"/>
        </w:rPr>
        <w:t xml:space="preserve"> 为电机安装方向符号，只能取 +1 或 −1；κ 为线速度至转速的换算系数，单位为 RPM/(m/s)；</w:t>
      </w:r>
      <w:r>
        <w:rPr>
          <w:rFonts w:ascii="Times New Roman" w:hAnsi="Times New Roman" w:eastAsia="宋体"/>
          <w:i/>
          <w:color w:val="000000"/>
          <w:sz w:val="21"/>
        </w:rPr>
        <w:t>n</w:t>
      </w:r>
      <w:r>
        <w:rPr>
          <w:rFonts w:ascii="Times New Roman" w:hAnsi="Times New Roman" w:eastAsia="宋体"/>
          <w:color w:val="000000"/>
          <w:sz w:val="21"/>
          <w:vertAlign w:val="superscript"/>
        </w:rPr>
        <w:t>*</w:t>
      </w:r>
      <w:r>
        <w:rPr>
          <w:rFonts w:ascii="Times New Roman" w:hAnsi="Times New Roman" w:eastAsia="宋体"/>
          <w:color w:val="000000"/>
          <w:sz w:val="21"/>
        </w:rPr>
        <w:t xml:space="preserve"> 为进入电机网关前的原始目标转速，单位为 RPM。死区判断在式（5）之前执行，死区内直接令 </w:t>
      </w:r>
      <w:r>
        <w:rPr>
          <w:rFonts w:ascii="Times New Roman" w:hAnsi="Times New Roman" w:eastAsia="宋体"/>
          <w:i/>
          <w:color w:val="000000"/>
          <w:sz w:val="21"/>
        </w:rPr>
        <w:t>v</w:t>
      </w:r>
      <w:r>
        <w:rPr>
          <w:rFonts w:ascii="Times New Roman" w:hAnsi="Times New Roman" w:eastAsia="宋体"/>
          <w:color w:val="000000"/>
          <w:sz w:val="21"/>
          <w:vertAlign w:val="superscript"/>
        </w:rPr>
        <w:t>*</w:t>
      </w:r>
      <w:r>
        <w:rPr>
          <w:rFonts w:ascii="Times New Roman" w:hAnsi="Times New Roman" w:eastAsia="宋体"/>
          <w:color w:val="000000"/>
          <w:sz w:val="21"/>
        </w:rPr>
        <w:t>=0。</w:t>
      </w:r>
    </w:p>
    <w:p w14:paraId="0AAAC041">
      <w:pPr>
        <w:pStyle w:val="3"/>
        <w:keepNext/>
        <w:widowControl/>
      </w:pPr>
      <w:r>
        <w:rPr>
          <w:rFonts w:ascii="Times New Roman" w:hAnsi="Times New Roman" w:eastAsia="黑体"/>
          <w:b/>
          <w:color w:val="000000"/>
          <w:sz w:val="21"/>
        </w:rPr>
        <w:t>5.3 相对速度估算跟随</w:t>
      </w:r>
    </w:p>
    <w:p w14:paraId="5C5648BE">
      <w:pPr>
        <w:widowControl/>
      </w:pPr>
      <w:r>
        <w:rPr>
          <w:rFonts w:ascii="Times New Roman" w:hAnsi="Times New Roman" w:eastAsia="宋体"/>
          <w:color w:val="000000"/>
          <w:sz w:val="21"/>
        </w:rPr>
        <w:t>相对速度模式保留一个带时间戳的位移窗口。窗口同时受最大样本数和最大时间跨度约束，旧样本会随新观测自动移除。当有效样本少于三个或时间跨度不足时，控制结果标记为尚未就绪。样本满足条件后，系统通过最小二乘直线斜率估计目标相对机器人的速度，并与根据已下发 RPM 估计的机器人速度相加，如式（6）所示。</w:t>
      </w:r>
    </w:p>
    <w:tbl>
      <w:tblPr>
        <w:tblStyle w:val="18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28"/>
        <w:gridCol w:w="1152"/>
      </w:tblGrid>
      <w:tr w14:paraId="4CB656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2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7CAB2DA">
            <w:pPr>
              <w:keepNext/>
              <w:spacing w:before="60" w:after="60" w:line="252" w:lineRule="auto"/>
              <w:ind w:firstLine="0"/>
              <w:jc w:val="center"/>
            </w:pPr>
            <w:r>
              <w:drawing>
                <wp:inline distT="0" distB="0" distL="114300" distR="114300">
                  <wp:extent cx="4526280" cy="584200"/>
                  <wp:effectExtent l="0" t="0" r="762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280" cy="584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0868594">
            <w:pPr>
              <w:keepNext/>
              <w:spacing w:before="60" w:after="60" w:line="252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9"/>
              </w:rPr>
              <w:t>(6)</w:t>
            </w:r>
          </w:p>
        </w:tc>
      </w:tr>
    </w:tbl>
    <w:p w14:paraId="0DDAE66D">
      <w:pPr>
        <w:widowControl/>
      </w:pPr>
      <w:r>
        <w:rPr>
          <w:rFonts w:ascii="Times New Roman" w:hAnsi="Times New Roman" w:eastAsia="宋体"/>
          <w:color w:val="000000"/>
          <w:sz w:val="21"/>
        </w:rPr>
        <w:t>式中：i 为滑动窗口内样本索引；</w:t>
      </w:r>
      <w:r>
        <w:rPr>
          <w:rFonts w:ascii="Times New Roman" w:hAnsi="Times New Roman" w:eastAsia="宋体"/>
          <w:i/>
          <w:color w:val="000000"/>
          <w:sz w:val="21"/>
        </w:rPr>
        <w:t>t</w:t>
      </w:r>
      <w:r>
        <w:rPr>
          <w:rFonts w:ascii="Times New Roman" w:hAnsi="Times New Roman" w:eastAsia="宋体"/>
          <w:color w:val="000000"/>
          <w:sz w:val="21"/>
          <w:vertAlign w:val="subscript"/>
        </w:rPr>
        <w:t>i</w:t>
      </w:r>
      <w:r>
        <w:rPr>
          <w:rFonts w:ascii="Times New Roman" w:hAnsi="Times New Roman" w:eastAsia="宋体"/>
          <w:color w:val="000000"/>
          <w:sz w:val="21"/>
        </w:rPr>
        <w:t xml:space="preserve"> 为第 i 个观测的单调时钟时间戳，单位为 s；t̄ 为窗口内时间戳均值；</w:t>
      </w:r>
      <w:r>
        <w:rPr>
          <w:rFonts w:ascii="Times New Roman" w:hAnsi="Times New Roman" w:eastAsia="宋体"/>
          <w:i/>
          <w:color w:val="000000"/>
          <w:sz w:val="21"/>
        </w:rPr>
        <w:t>d</w:t>
      </w:r>
      <w:r>
        <w:rPr>
          <w:rFonts w:ascii="Times New Roman" w:hAnsi="Times New Roman" w:eastAsia="宋体"/>
          <w:color w:val="000000"/>
          <w:sz w:val="21"/>
          <w:vertAlign w:val="subscript"/>
        </w:rPr>
        <w:t>i</w:t>
      </w:r>
      <w:r>
        <w:rPr>
          <w:rFonts w:ascii="Times New Roman" w:hAnsi="Times New Roman" w:eastAsia="宋体"/>
          <w:color w:val="000000"/>
          <w:sz w:val="21"/>
        </w:rPr>
        <w:t xml:space="preserve"> 为由横向像素偏差换算得到的第 i 个相对位移，单位为 m；d̄ 为窗口内相对位移均值；</w:t>
      </w:r>
      <w:r>
        <w:rPr>
          <w:rFonts w:ascii="Times New Roman" w:hAnsi="Times New Roman" w:eastAsia="宋体"/>
          <w:i/>
          <w:color w:val="000000"/>
          <w:sz w:val="21"/>
        </w:rPr>
        <w:t>v</w:t>
      </w:r>
      <w:r>
        <w:rPr>
          <w:rFonts w:ascii="Times New Roman" w:hAnsi="Times New Roman" w:eastAsia="宋体"/>
          <w:color w:val="000000"/>
          <w:sz w:val="21"/>
          <w:vertAlign w:val="subscript"/>
        </w:rPr>
        <w:t>rel</w:t>
      </w:r>
      <w:r>
        <w:rPr>
          <w:rFonts w:ascii="Times New Roman" w:hAnsi="Times New Roman" w:eastAsia="宋体"/>
          <w:color w:val="000000"/>
          <w:sz w:val="21"/>
        </w:rPr>
        <w:t xml:space="preserve"> 为最小二乘直线斜率给出的目标相对机器人速度，单位为 m/s；</w:t>
      </w:r>
      <w:r>
        <w:rPr>
          <w:rFonts w:ascii="Times New Roman" w:hAnsi="Times New Roman" w:eastAsia="宋体"/>
          <w:i/>
          <w:color w:val="000000"/>
          <w:sz w:val="21"/>
        </w:rPr>
        <w:t>v</w:t>
      </w:r>
      <w:r>
        <w:rPr>
          <w:rFonts w:ascii="Times New Roman" w:hAnsi="Times New Roman" w:eastAsia="宋体"/>
          <w:color w:val="000000"/>
          <w:sz w:val="21"/>
          <w:vertAlign w:val="subscript"/>
        </w:rPr>
        <w:t>robot</w:t>
      </w:r>
      <w:r>
        <w:rPr>
          <w:rFonts w:ascii="Times New Roman" w:hAnsi="Times New Roman" w:eastAsia="宋体"/>
          <w:color w:val="000000"/>
          <w:sz w:val="21"/>
        </w:rPr>
        <w:t xml:space="preserve"> 为依据最后成功下发 RPM 换算的机器人指令速度估计，单位为 m/s；</w:t>
      </w:r>
      <w:r>
        <w:rPr>
          <w:rFonts w:ascii="Times New Roman" w:hAnsi="Times New Roman" w:eastAsia="宋体"/>
          <w:i/>
          <w:color w:val="000000"/>
          <w:sz w:val="21"/>
        </w:rPr>
        <w:t>v</w:t>
      </w:r>
      <w:r>
        <w:rPr>
          <w:rFonts w:ascii="Times New Roman" w:hAnsi="Times New Roman" w:eastAsia="宋体"/>
          <w:color w:val="000000"/>
          <w:sz w:val="21"/>
          <w:vertAlign w:val="superscript"/>
        </w:rPr>
        <w:t>*</w:t>
      </w:r>
      <w:r>
        <w:rPr>
          <w:rFonts w:ascii="Times New Roman" w:hAnsi="Times New Roman" w:eastAsia="宋体"/>
          <w:color w:val="000000"/>
          <w:sz w:val="21"/>
        </w:rPr>
        <w:t xml:space="preserve"> 为两者相加并限制到 [−</w:t>
      </w:r>
      <w:r>
        <w:rPr>
          <w:rFonts w:ascii="Times New Roman" w:hAnsi="Times New Roman" w:eastAsia="宋体"/>
          <w:i/>
          <w:color w:val="000000"/>
          <w:sz w:val="21"/>
        </w:rPr>
        <w:t>v</w:t>
      </w:r>
      <w:r>
        <w:rPr>
          <w:rFonts w:ascii="Times New Roman" w:hAnsi="Times New Roman" w:eastAsia="宋体"/>
          <w:color w:val="000000"/>
          <w:sz w:val="21"/>
          <w:vertAlign w:val="subscript"/>
        </w:rPr>
        <w:t>max</w:t>
      </w:r>
      <w:r>
        <w:rPr>
          <w:rFonts w:ascii="Times New Roman" w:hAnsi="Times New Roman" w:eastAsia="宋体"/>
          <w:color w:val="000000"/>
          <w:sz w:val="21"/>
        </w:rPr>
        <w:t>,</w:t>
      </w:r>
      <w:r>
        <w:rPr>
          <w:rFonts w:ascii="Times New Roman" w:hAnsi="Times New Roman" w:eastAsia="宋体"/>
          <w:i/>
          <w:color w:val="000000"/>
          <w:sz w:val="21"/>
        </w:rPr>
        <w:t>v</w:t>
      </w:r>
      <w:r>
        <w:rPr>
          <w:rFonts w:ascii="Times New Roman" w:hAnsi="Times New Roman" w:eastAsia="宋体"/>
          <w:color w:val="000000"/>
          <w:sz w:val="21"/>
          <w:vertAlign w:val="subscript"/>
        </w:rPr>
        <w:t>max</w:t>
      </w:r>
      <w:r>
        <w:rPr>
          <w:rFonts w:ascii="Times New Roman" w:hAnsi="Times New Roman" w:eastAsia="宋体"/>
          <w:color w:val="000000"/>
          <w:sz w:val="21"/>
        </w:rPr>
        <w:t>] 后的期望线速度。分母 Σ(</w:t>
      </w:r>
      <w:r>
        <w:rPr>
          <w:rFonts w:ascii="Times New Roman" w:hAnsi="Times New Roman" w:eastAsia="宋体"/>
          <w:i/>
          <w:color w:val="000000"/>
          <w:sz w:val="21"/>
        </w:rPr>
        <w:t>t</w:t>
      </w:r>
      <w:r>
        <w:rPr>
          <w:rFonts w:ascii="Times New Roman" w:hAnsi="Times New Roman" w:eastAsia="宋体"/>
          <w:color w:val="000000"/>
          <w:sz w:val="21"/>
          <w:vertAlign w:val="subscript"/>
        </w:rPr>
        <w:t>i</w:t>
      </w:r>
      <w:r>
        <w:rPr>
          <w:rFonts w:ascii="Times New Roman" w:hAnsi="Times New Roman" w:eastAsia="宋体"/>
          <w:color w:val="000000"/>
          <w:sz w:val="21"/>
        </w:rPr>
        <w:t>−t̄)² 表示时间样本离散程度，样本不足或该分母过小时不输出速度结果。</w:t>
      </w:r>
    </w:p>
    <w:p w14:paraId="62B7E7DB">
      <w:pPr>
        <w:widowControl/>
      </w:pPr>
      <w:r>
        <w:rPr>
          <w:rFonts w:ascii="Times New Roman" w:hAnsi="Times New Roman" w:eastAsia="宋体"/>
          <w:color w:val="000000"/>
          <w:sz w:val="21"/>
        </w:rPr>
        <w:t>由于当前 TCP 接口没有实际转速反馈，机器人速度由最后下发的 RPM 估算，不能视为闭环测量值。</w:t>
      </w:r>
    </w:p>
    <w:p w14:paraId="56AFDA78">
      <w:pPr>
        <w:pStyle w:val="3"/>
        <w:keepNext/>
        <w:widowControl/>
      </w:pPr>
      <w:r>
        <w:rPr>
          <w:rFonts w:ascii="Times New Roman" w:hAnsi="Times New Roman" w:eastAsia="黑体"/>
          <w:b/>
          <w:color w:val="000000"/>
          <w:sz w:val="21"/>
        </w:rPr>
        <w:t>5.4 输出约束</w:t>
      </w:r>
      <w:bookmarkStart w:id="0" w:name="_GoBack"/>
      <w:bookmarkEnd w:id="0"/>
    </w:p>
    <w:p w14:paraId="4E503036">
      <w:pPr>
        <w:widowControl/>
      </w:pPr>
      <w:r>
        <w:rPr>
          <w:rFonts w:ascii="Times New Roman" w:hAnsi="Times New Roman" w:eastAsia="宋体"/>
          <w:color w:val="000000"/>
          <w:sz w:val="21"/>
        </w:rPr>
        <w:t>所有控制结果在发送前统一执行速度限幅和变化率限制；连接、停车或故障复位后，目标转速从零重新建立，避免突然启动。</w:t>
      </w:r>
    </w:p>
    <w:p w14:paraId="5C493AEB">
      <w:pPr>
        <w:pStyle w:val="2"/>
        <w:keepNext/>
        <w:widowControl/>
      </w:pPr>
      <w:r>
        <w:rPr>
          <w:rFonts w:ascii="Times New Roman" w:hAnsi="Times New Roman" w:eastAsia="黑体"/>
          <w:b/>
          <w:color w:val="000000"/>
          <w:sz w:val="24"/>
        </w:rPr>
        <w:t>6 电机通信与安全监督</w:t>
      </w:r>
    </w:p>
    <w:p w14:paraId="17FE7C8A">
      <w:pPr>
        <w:widowControl/>
      </w:pPr>
      <w:r>
        <w:rPr>
          <w:rFonts w:ascii="Times New Roman" w:hAnsi="Times New Roman" w:eastAsia="宋体"/>
          <w:color w:val="000000"/>
          <w:sz w:val="21"/>
        </w:rPr>
        <w:t>系统提供仿真和 TCP 两种电机接口。仿真接口用于无实物调试，TCP 接口用于连接实际控制端，两者共用相同的运动指令和安全限制。</w:t>
      </w:r>
    </w:p>
    <w:p w14:paraId="1AAA85DA">
      <w:pPr>
        <w:widowControl/>
      </w:pPr>
      <w:r>
        <w:rPr>
          <w:rFonts w:ascii="Times New Roman" w:hAnsi="Times New Roman" w:eastAsia="宋体"/>
          <w:color w:val="000000"/>
          <w:sz w:val="21"/>
        </w:rPr>
        <w:t>TCP 控制端接收启动、停车和目标转速三类命令。系统在连接和启动时先保持零目标，停车、故障或退出时主动发送停车请求。独立监督模块持续检查界面心跳和目标指令，任一更新超时即进入故障状态。</w:t>
      </w:r>
    </w:p>
    <w:p w14:paraId="3076D197">
      <w:pPr>
        <w:spacing w:after="0"/>
      </w:pPr>
    </w:p>
    <w:p w14:paraId="64F4DA0A">
      <w:pPr>
        <w:pStyle w:val="2"/>
        <w:keepNext/>
        <w:widowControl/>
      </w:pPr>
      <w:r>
        <w:rPr>
          <w:rFonts w:ascii="Times New Roman" w:hAnsi="Times New Roman" w:eastAsia="黑体"/>
          <w:b/>
          <w:color w:val="000000"/>
          <w:sz w:val="24"/>
        </w:rPr>
        <w:t>7 安全与故障处理</w:t>
      </w:r>
    </w:p>
    <w:p w14:paraId="5983B6F7">
      <w:pPr>
        <w:widowControl/>
      </w:pPr>
      <w:r>
        <w:rPr>
          <w:rFonts w:ascii="Times New Roman" w:hAnsi="Times New Roman" w:eastAsia="宋体"/>
          <w:color w:val="000000"/>
          <w:sz w:val="21"/>
        </w:rPr>
        <w:t>系统按照未连接、已停止、目标就绪、运行和故障闭锁组织控制状态。视觉跟随只有在视频、目标、标定和电机连接均有效时才能启动，状态关系如图 3 所示。</w:t>
      </w:r>
    </w:p>
    <w:p w14:paraId="059B4CAE">
      <w:pPr>
        <w:keepNext/>
        <w:spacing w:before="100" w:after="40" w:line="240" w:lineRule="auto"/>
        <w:ind w:firstLine="0"/>
        <w:jc w:val="center"/>
      </w:pPr>
      <w:r>
        <w:drawing>
          <wp:inline distT="0" distB="0" distL="114300" distR="114300">
            <wp:extent cx="5440680" cy="2466340"/>
            <wp:effectExtent l="0" t="0" r="7620" b="10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46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19BF">
      <w:pPr>
        <w:keepNext w:val="0"/>
        <w:widowControl/>
        <w:spacing w:after="100"/>
        <w:ind w:firstLine="0"/>
        <w:jc w:val="center"/>
      </w:pPr>
      <w:r>
        <w:rPr>
          <w:rFonts w:ascii="Times New Roman" w:hAnsi="Times New Roman" w:eastAsia="宋体"/>
          <w:color w:val="000000"/>
          <w:sz w:val="21"/>
        </w:rPr>
        <w:t>图 3 视觉跟随启动与故障处置示意</w:t>
      </w:r>
    </w:p>
    <w:p w14:paraId="0CE4641A">
      <w:pPr>
        <w:widowControl/>
      </w:pPr>
      <w:r>
        <w:rPr>
          <w:rFonts w:ascii="Times New Roman" w:hAnsi="Times New Roman" w:eastAsia="宋体"/>
          <w:color w:val="000000"/>
          <w:sz w:val="21"/>
        </w:rPr>
        <w:t>摄像头断流、目标丢失、偏差越界、通信异常或监督超时都会触发故障闭锁和停车请求。系统不会自动恢复运动，故障排除并由用户确认后才返回停止状态。</w:t>
      </w:r>
    </w:p>
    <w:p w14:paraId="52EF8140">
      <w:pPr>
        <w:widowControl/>
      </w:pPr>
      <w:r>
        <w:rPr>
          <w:rFonts w:ascii="Times New Roman" w:hAnsi="Times New Roman" w:eastAsia="宋体"/>
          <w:color w:val="000000"/>
          <w:sz w:val="21"/>
        </w:rPr>
        <w:t>离线视频只用于分析和仿真，软件禁止用录像回放驱动真实电机。</w:t>
      </w:r>
    </w:p>
    <w:p w14:paraId="4E0BE41E">
      <w:pPr>
        <w:pStyle w:val="2"/>
        <w:keepNext/>
        <w:widowControl/>
      </w:pPr>
      <w:r>
        <w:rPr>
          <w:rFonts w:ascii="Times New Roman" w:hAnsi="Times New Roman" w:eastAsia="黑体"/>
          <w:b/>
          <w:color w:val="000000"/>
          <w:sz w:val="24"/>
        </w:rPr>
        <w:t>8 应用功能</w:t>
      </w:r>
    </w:p>
    <w:p w14:paraId="02AAC35F">
      <w:pPr>
        <w:widowControl/>
      </w:pPr>
      <w:r>
        <w:rPr>
          <w:rFonts w:ascii="Times New Roman" w:hAnsi="Times New Roman" w:eastAsia="宋体"/>
          <w:color w:val="000000"/>
          <w:sz w:val="21"/>
        </w:rPr>
        <w:t>上位机界面提供视频源选择、目标框选、处理方式切换、运行参数设置、故障复位和录像控制。界面叠加的目标框、参考中心和安全区域只用于观察，不反馈到视觉算法。</w:t>
      </w:r>
    </w:p>
    <w:p w14:paraId="327DD85E">
      <w:pPr>
        <w:widowControl/>
      </w:pPr>
      <w:r>
        <w:rPr>
          <w:rFonts w:ascii="Times New Roman" w:hAnsi="Times New Roman" w:eastAsia="宋体"/>
          <w:color w:val="000000"/>
          <w:sz w:val="21"/>
        </w:rPr>
        <w:t>系统同时支持实时画面和离线视频。离线模式可暂停、逐帧分析并录制带目标标记的结果，便于重复开展增强与未增强画面的对照实验。</w:t>
      </w:r>
    </w:p>
    <w:p w14:paraId="5B8CE6B7">
      <w:pPr>
        <w:pStyle w:val="2"/>
        <w:keepNext/>
        <w:widowControl/>
      </w:pPr>
      <w:r>
        <w:rPr>
          <w:rFonts w:ascii="Times New Roman" w:hAnsi="Times New Roman" w:eastAsia="黑体"/>
          <w:b/>
          <w:color w:val="000000"/>
          <w:sz w:val="24"/>
        </w:rPr>
        <w:t>9 验证方法与适用边界</w:t>
      </w:r>
    </w:p>
    <w:p w14:paraId="544E04D3">
      <w:pPr>
        <w:pStyle w:val="3"/>
        <w:keepNext/>
        <w:widowControl/>
      </w:pPr>
      <w:r>
        <w:rPr>
          <w:rFonts w:ascii="Times New Roman" w:hAnsi="Times New Roman" w:eastAsia="黑体"/>
          <w:b/>
          <w:color w:val="000000"/>
          <w:sz w:val="21"/>
        </w:rPr>
        <w:t>9.1 图像质量与跟踪评价</w:t>
      </w:r>
    </w:p>
    <w:p w14:paraId="2D1222DD">
      <w:pPr>
        <w:widowControl/>
      </w:pPr>
      <w:r>
        <w:rPr>
          <w:rFonts w:ascii="Times New Roman" w:hAnsi="Times New Roman" w:eastAsia="宋体"/>
          <w:color w:val="000000"/>
          <w:sz w:val="21"/>
        </w:rPr>
        <w:t>面对各处理步骤贡献难以区分的问题，应在相同原始视频、初始目标框、工作分辨率和 CSRT 参数下设置对照：固定缩放后直接跟踪、仅框外白平衡、仅三区空间处理、完整分层增强。所有实验均以实际送入 CSRT 的帧为准，测试视频覆盖不同色偏、亮度、气泡遮挡、泳道背景和目标姿态，并对目标框逐帧标注。</w:t>
      </w:r>
    </w:p>
    <w:p w14:paraId="4708A4E1">
      <w:pPr>
        <w:widowControl/>
      </w:pPr>
      <w:r>
        <w:rPr>
          <w:rFonts w:ascii="Times New Roman" w:hAnsi="Times New Roman" w:eastAsia="宋体"/>
          <w:color w:val="000000"/>
          <w:sz w:val="21"/>
        </w:rPr>
        <w:t>跟踪评价建议报告目标中心误差、预测框与标注框的交并比、首次失跟时间及人工重选次数。图像增强评价应同时观察目标可辨识度、噪声放大、局部接缝和色彩闪烁；对比度或锐度单项指标的增加不足以证明整体质量提升。当前稿件未提供上述实测序列与统计结果，因而不宣称方法优于已有算法。</w:t>
      </w:r>
    </w:p>
    <w:p w14:paraId="5DC0E5E6">
      <w:pPr>
        <w:pStyle w:val="3"/>
        <w:keepNext/>
        <w:widowControl/>
      </w:pPr>
      <w:r>
        <w:rPr>
          <w:rFonts w:ascii="Times New Roman" w:hAnsi="Times New Roman" w:eastAsia="黑体"/>
          <w:b/>
          <w:color w:val="000000"/>
          <w:sz w:val="21"/>
        </w:rPr>
        <w:t>9.2 实时性与故障响应评价</w:t>
      </w:r>
    </w:p>
    <w:p w14:paraId="7ED8EC4F">
      <w:pPr>
        <w:widowControl/>
      </w:pPr>
      <w:r>
        <w:rPr>
          <w:rFonts w:ascii="Times New Roman" w:hAnsi="Times New Roman" w:eastAsia="宋体"/>
          <w:color w:val="000000"/>
          <w:sz w:val="21"/>
        </w:rPr>
        <w:t>面对局部微基准不能代表整机实时性的问题，应在固定硬件与输入条件下分别测量采集、白平衡、三区处理、CSRT、显示和命令发送耗时，报告平均值、中位数与第 95 百分位数，同时记录输入帧率、有效处理帧率、跳帧数和命令更新间隔。相机曝光、编码、网络传输和缓冲延迟应计入端到端时延；本文约 29.8 ms 的结果不包含这些环节。</w:t>
      </w:r>
    </w:p>
    <w:p w14:paraId="62507ED3">
      <w:pPr>
        <w:widowControl/>
      </w:pPr>
      <w:r>
        <w:rPr>
          <w:rFonts w:ascii="Times New Roman" w:hAnsi="Times New Roman" w:eastAsia="宋体"/>
          <w:color w:val="000000"/>
          <w:sz w:val="21"/>
        </w:rPr>
        <w:t>故障测试应覆盖视频断流、目标丢失、通信中断和界面阻塞，并检查停车请求与人工复位过程。机械停止效果仍需结合驱动器和执行机构实测。</w:t>
      </w:r>
    </w:p>
    <w:p w14:paraId="33336132">
      <w:pPr>
        <w:pStyle w:val="2"/>
        <w:keepNext/>
        <w:widowControl/>
      </w:pPr>
      <w:r>
        <w:rPr>
          <w:rFonts w:ascii="Times New Roman" w:hAnsi="Times New Roman" w:eastAsia="黑体"/>
          <w:b/>
          <w:color w:val="000000"/>
          <w:sz w:val="24"/>
        </w:rPr>
        <w:t>10 结论与展望</w:t>
      </w:r>
    </w:p>
    <w:p w14:paraId="561A5BE2">
      <w:pPr>
        <w:widowControl/>
      </w:pPr>
      <w:r>
        <w:rPr>
          <w:rFonts w:ascii="Times New Roman" w:hAnsi="Times New Roman" w:eastAsia="宋体"/>
          <w:color w:val="000000"/>
          <w:sz w:val="21"/>
        </w:rPr>
        <w:t>本文完成了面向水下干扰的目标引导视觉与运动控制软件设计。面对未知目标，系统以人工 ROI 定义跟踪对象；面对色偏与高光干扰，使用保护区外统计和受限增益白平衡；面对背景误匹配与目标弱纹理，采用远背景受限模糊、保护环弱模糊和核心区自适应增强，并把羽化融合结果直接用于 CSRT。运动控制再将目标观测转换为速度指令，经电机网关与独立监督进程发送。</w:t>
      </w:r>
    </w:p>
    <w:p w14:paraId="0F0F3187">
      <w:pPr>
        <w:widowControl/>
      </w:pPr>
      <w:r>
        <w:rPr>
          <w:rFonts w:ascii="Times New Roman" w:hAnsi="Times New Roman" w:eastAsia="宋体"/>
          <w:color w:val="000000"/>
          <w:sz w:val="21"/>
        </w:rPr>
        <w:t>当前实现仍依赖人工目标初始化，缺少自动重检测和实际转速反馈，且视觉处理由界面回调同步执行。本机合成画面微基准只能说明算法具备实时运行的初步条件，不能证明水下跟踪准确率已经提高。后续应优先获取不同水下条件的标注视频，测量跟踪漂移、首次失跟时间、人工重选次数和端到端时延，再据结果调整分区范围与增强阈值。</w:t>
      </w:r>
    </w:p>
    <w:p w14:paraId="5E9F1027">
      <w:pPr>
        <w:pStyle w:val="2"/>
        <w:pageBreakBefore/>
        <w:widowControl/>
      </w:pPr>
      <w:r>
        <w:rPr>
          <w:rFonts w:ascii="Times New Roman" w:hAnsi="Times New Roman" w:eastAsia="黑体"/>
          <w:b/>
          <w:color w:val="000000"/>
          <w:sz w:val="24"/>
        </w:rPr>
        <w:t>参考文献</w:t>
      </w:r>
    </w:p>
    <w:p w14:paraId="2952E8D0">
      <w:pPr>
        <w:widowControl/>
        <w:spacing w:after="40" w:line="240" w:lineRule="auto"/>
        <w:ind w:left="280" w:hanging="280"/>
      </w:pPr>
      <w:r>
        <w:rPr>
          <w:rFonts w:ascii="Times New Roman" w:hAnsi="Times New Roman" w:eastAsia="宋体"/>
          <w:color w:val="000000"/>
          <w:sz w:val="19"/>
        </w:rPr>
        <w:t>[1] ZUIDERVELD K. Contrast Limited Adaptive Histogram Equalization[M]//HECKBERT P S. Graphics Gems IV. Academic Press, 1994: 474-485. DOI: 10.1016/B978-0-12-336156-1.50061-6.</w:t>
      </w:r>
    </w:p>
    <w:p w14:paraId="70540AC6">
      <w:pPr>
        <w:widowControl/>
        <w:spacing w:after="40" w:line="240" w:lineRule="auto"/>
        <w:ind w:left="280" w:hanging="280"/>
      </w:pPr>
      <w:r>
        <w:rPr>
          <w:rFonts w:ascii="Times New Roman" w:hAnsi="Times New Roman" w:eastAsia="宋体"/>
          <w:color w:val="000000"/>
          <w:sz w:val="19"/>
        </w:rPr>
        <w:t>[2] LUKEZIC A, VOJIR T, CEHOVIN ZAJC L, et al. Discriminative Correlation Filter with Channel and Spatial Reliability[C]//Proceedings of the IEEE Conference on Computer Vision and Pattern Recognition. 2017: 6309-6318.</w:t>
      </w:r>
    </w:p>
    <w:sectPr>
      <w:footerReference r:id="rId5" w:type="default"/>
      <w:pgSz w:w="11906" w:h="16838"/>
      <w:pgMar w:top="1440" w:right="1417" w:bottom="1440" w:left="1701" w:header="850" w:footer="85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C85F15">
    <w:pPr>
      <w:pStyle w:val="12"/>
      <w:jc w:val="center"/>
    </w:pPr>
    <w:r>
      <w:rPr>
        <w:sz w:val="20"/>
      </w:rPr>
      <w:fldChar w:fldCharType="begin"/>
    </w:r>
    <w:r>
      <w:rPr>
        <w:sz w:val="20"/>
      </w:rPr>
      <w:instrText xml:space="preserve">PAGE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EFC"/>
    <w:rsid w:val="000052F1"/>
    <w:rsid w:val="000146C2"/>
    <w:rsid w:val="000159E2"/>
    <w:rsid w:val="000450DD"/>
    <w:rsid w:val="00077686"/>
    <w:rsid w:val="000864C2"/>
    <w:rsid w:val="000A56A8"/>
    <w:rsid w:val="000C0DFE"/>
    <w:rsid w:val="000D167D"/>
    <w:rsid w:val="00101E90"/>
    <w:rsid w:val="00127836"/>
    <w:rsid w:val="0013071D"/>
    <w:rsid w:val="001F2D1D"/>
    <w:rsid w:val="001F5C32"/>
    <w:rsid w:val="0020288D"/>
    <w:rsid w:val="002032CE"/>
    <w:rsid w:val="00206A9B"/>
    <w:rsid w:val="00242260"/>
    <w:rsid w:val="00265819"/>
    <w:rsid w:val="002C6639"/>
    <w:rsid w:val="002D287F"/>
    <w:rsid w:val="00313D6E"/>
    <w:rsid w:val="003679F3"/>
    <w:rsid w:val="00390F77"/>
    <w:rsid w:val="00394150"/>
    <w:rsid w:val="00397B27"/>
    <w:rsid w:val="003C7109"/>
    <w:rsid w:val="003E38F3"/>
    <w:rsid w:val="003E5EFC"/>
    <w:rsid w:val="003F0A4D"/>
    <w:rsid w:val="00416ACF"/>
    <w:rsid w:val="00447210"/>
    <w:rsid w:val="00450D3C"/>
    <w:rsid w:val="004521B4"/>
    <w:rsid w:val="00454B11"/>
    <w:rsid w:val="0047144A"/>
    <w:rsid w:val="004764FF"/>
    <w:rsid w:val="004A552C"/>
    <w:rsid w:val="004D2F1E"/>
    <w:rsid w:val="004D4687"/>
    <w:rsid w:val="004D5C8A"/>
    <w:rsid w:val="004E76D4"/>
    <w:rsid w:val="004F0AC0"/>
    <w:rsid w:val="00512B16"/>
    <w:rsid w:val="00513798"/>
    <w:rsid w:val="00553EF9"/>
    <w:rsid w:val="0057598A"/>
    <w:rsid w:val="005B5B65"/>
    <w:rsid w:val="005C1E43"/>
    <w:rsid w:val="005F3620"/>
    <w:rsid w:val="00630358"/>
    <w:rsid w:val="00633B53"/>
    <w:rsid w:val="006616A8"/>
    <w:rsid w:val="006869EE"/>
    <w:rsid w:val="006A4879"/>
    <w:rsid w:val="006B4056"/>
    <w:rsid w:val="006B710B"/>
    <w:rsid w:val="006C30A1"/>
    <w:rsid w:val="006D2A26"/>
    <w:rsid w:val="006E4563"/>
    <w:rsid w:val="00734C03"/>
    <w:rsid w:val="0074171A"/>
    <w:rsid w:val="00761FC0"/>
    <w:rsid w:val="00772136"/>
    <w:rsid w:val="007B25AE"/>
    <w:rsid w:val="007B2913"/>
    <w:rsid w:val="007B2F86"/>
    <w:rsid w:val="007D6025"/>
    <w:rsid w:val="007F1018"/>
    <w:rsid w:val="00807233"/>
    <w:rsid w:val="0081547C"/>
    <w:rsid w:val="008278D4"/>
    <w:rsid w:val="008343FC"/>
    <w:rsid w:val="00873C24"/>
    <w:rsid w:val="00877140"/>
    <w:rsid w:val="008A4B83"/>
    <w:rsid w:val="008B1146"/>
    <w:rsid w:val="008B3987"/>
    <w:rsid w:val="008C1C26"/>
    <w:rsid w:val="008D3E88"/>
    <w:rsid w:val="008E2C6A"/>
    <w:rsid w:val="0093185C"/>
    <w:rsid w:val="00960C87"/>
    <w:rsid w:val="00975566"/>
    <w:rsid w:val="00982A97"/>
    <w:rsid w:val="009A1EC9"/>
    <w:rsid w:val="009A4618"/>
    <w:rsid w:val="009B530B"/>
    <w:rsid w:val="009C3AB3"/>
    <w:rsid w:val="009F1FC4"/>
    <w:rsid w:val="00A03E7B"/>
    <w:rsid w:val="00A20BD7"/>
    <w:rsid w:val="00A20F98"/>
    <w:rsid w:val="00A23F52"/>
    <w:rsid w:val="00A467BB"/>
    <w:rsid w:val="00A51D51"/>
    <w:rsid w:val="00A534A3"/>
    <w:rsid w:val="00A549C3"/>
    <w:rsid w:val="00A56905"/>
    <w:rsid w:val="00A65304"/>
    <w:rsid w:val="00A77726"/>
    <w:rsid w:val="00A953C7"/>
    <w:rsid w:val="00A97054"/>
    <w:rsid w:val="00AB5A58"/>
    <w:rsid w:val="00AB6E86"/>
    <w:rsid w:val="00AD53D7"/>
    <w:rsid w:val="00AD675D"/>
    <w:rsid w:val="00AE4586"/>
    <w:rsid w:val="00B05635"/>
    <w:rsid w:val="00B20B7C"/>
    <w:rsid w:val="00B37441"/>
    <w:rsid w:val="00B65C3E"/>
    <w:rsid w:val="00B66F55"/>
    <w:rsid w:val="00BA21B4"/>
    <w:rsid w:val="00BC4A1C"/>
    <w:rsid w:val="00BC4D62"/>
    <w:rsid w:val="00BC738D"/>
    <w:rsid w:val="00C11EC0"/>
    <w:rsid w:val="00C264E5"/>
    <w:rsid w:val="00C305BC"/>
    <w:rsid w:val="00C310B0"/>
    <w:rsid w:val="00C32272"/>
    <w:rsid w:val="00C45121"/>
    <w:rsid w:val="00C50E74"/>
    <w:rsid w:val="00C5430B"/>
    <w:rsid w:val="00C559F6"/>
    <w:rsid w:val="00C56AF5"/>
    <w:rsid w:val="00C73206"/>
    <w:rsid w:val="00C90A9B"/>
    <w:rsid w:val="00CA6AF3"/>
    <w:rsid w:val="00CC64C2"/>
    <w:rsid w:val="00CD34FA"/>
    <w:rsid w:val="00CD5D03"/>
    <w:rsid w:val="00D121A7"/>
    <w:rsid w:val="00D2715D"/>
    <w:rsid w:val="00D52424"/>
    <w:rsid w:val="00D550B3"/>
    <w:rsid w:val="00D57AC8"/>
    <w:rsid w:val="00D6608A"/>
    <w:rsid w:val="00D66D2F"/>
    <w:rsid w:val="00D82D48"/>
    <w:rsid w:val="00D910F5"/>
    <w:rsid w:val="00DE1DAF"/>
    <w:rsid w:val="00DE3CD4"/>
    <w:rsid w:val="00DE6889"/>
    <w:rsid w:val="00DE748B"/>
    <w:rsid w:val="00E10BCC"/>
    <w:rsid w:val="00E10D71"/>
    <w:rsid w:val="00E16168"/>
    <w:rsid w:val="00E50B3B"/>
    <w:rsid w:val="00E60B1A"/>
    <w:rsid w:val="00E9372E"/>
    <w:rsid w:val="00EC03E4"/>
    <w:rsid w:val="00ED4A64"/>
    <w:rsid w:val="00F240BC"/>
    <w:rsid w:val="00F52F8A"/>
    <w:rsid w:val="00F6778B"/>
    <w:rsid w:val="00F840B1"/>
    <w:rsid w:val="00FB4AEA"/>
    <w:rsid w:val="00FD0A73"/>
    <w:rsid w:val="7EFB3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00" w:lineRule="auto"/>
      <w:ind w:firstLine="420"/>
      <w:jc w:val="both"/>
    </w:pPr>
    <w:rPr>
      <w:rFonts w:ascii="Times New Roman" w:hAnsi="Times New Roman" w:eastAsia="宋体" w:cstheme="minorBidi"/>
      <w:kern w:val="0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200" w:after="80" w:line="240" w:lineRule="auto"/>
      <w:ind w:firstLine="0"/>
      <w:outlineLvl w:val="0"/>
    </w:pPr>
    <w:rPr>
      <w:rFonts w:asciiTheme="majorHAnsi" w:hAnsiTheme="majorHAnsi" w:eastAsiaTheme="majorEastAsia" w:cstheme="majorBidi"/>
      <w:b/>
      <w:color w:val="000000"/>
      <w:sz w:val="24"/>
      <w:szCs w:val="48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spacing w:before="120" w:after="40" w:line="240" w:lineRule="auto"/>
      <w:ind w:firstLine="0"/>
      <w:outlineLvl w:val="1"/>
    </w:pPr>
    <w:rPr>
      <w:rFonts w:asciiTheme="majorHAnsi" w:hAnsiTheme="majorHAnsi" w:eastAsiaTheme="majorEastAsia" w:cstheme="majorBidi"/>
      <w:b/>
      <w:color w:val="000000"/>
      <w:sz w:val="21"/>
      <w:szCs w:val="40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80" w:after="20" w:line="240" w:lineRule="auto"/>
      <w:ind w:firstLine="0"/>
      <w:outlineLvl w:val="2"/>
    </w:pPr>
    <w:rPr>
      <w:rFonts w:asciiTheme="majorHAnsi" w:hAnsiTheme="majorHAnsi" w:eastAsiaTheme="majorEastAsia" w:cstheme="majorBidi"/>
      <w:b/>
      <w:color w:val="000000"/>
      <w:sz w:val="21"/>
      <w:szCs w:val="32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Cs w:val="24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2"/>
    <w:semiHidden/>
    <w:unhideWhenUsed/>
    <w:uiPriority w:val="99"/>
  </w:style>
  <w:style w:type="paragraph" w:styleId="12">
    <w:name w:val="footer"/>
    <w:basedOn w:val="1"/>
    <w:link w:val="40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3">
    <w:name w:val="header"/>
    <w:basedOn w:val="1"/>
    <w:link w:val="39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1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Normal (Web)"/>
    <w:basedOn w:val="1"/>
    <w:semiHidden/>
    <w:unhideWhenUsed/>
    <w:uiPriority w:val="99"/>
    <w:rPr>
      <w:rFonts w:cs="Times New Roman"/>
      <w:szCs w:val="24"/>
    </w:rPr>
  </w:style>
  <w:style w:type="paragraph" w:styleId="16">
    <w:name w:val="Title"/>
    <w:basedOn w:val="1"/>
    <w:next w:val="1"/>
    <w:link w:val="30"/>
    <w:qFormat/>
    <w:uiPriority w:val="10"/>
    <w:pPr>
      <w:spacing w:after="360"/>
      <w:contextualSpacing/>
      <w:jc w:val="center"/>
    </w:pPr>
    <w:rPr>
      <w:rFonts w:asciiTheme="majorHAnsi" w:hAnsiTheme="majorHAnsi" w:eastAsiaTheme="majorEastAsia" w:cstheme="majorBidi"/>
      <w:b/>
      <w:color w:val="000000"/>
      <w:spacing w:val="-10"/>
      <w:kern w:val="28"/>
      <w:sz w:val="36"/>
      <w:szCs w:val="56"/>
    </w:rPr>
  </w:style>
  <w:style w:type="paragraph" w:styleId="17">
    <w:name w:val="annotation subject"/>
    <w:basedOn w:val="11"/>
    <w:next w:val="11"/>
    <w:link w:val="43"/>
    <w:semiHidden/>
    <w:unhideWhenUsed/>
    <w:uiPriority w:val="99"/>
    <w:rPr>
      <w:b/>
      <w:bCs/>
    </w:rPr>
  </w:style>
  <w:style w:type="character" w:styleId="20">
    <w:name w:val="annotation reference"/>
    <w:basedOn w:val="19"/>
    <w:semiHidden/>
    <w:unhideWhenUsed/>
    <w:uiPriority w:val="99"/>
    <w:rPr>
      <w:sz w:val="21"/>
      <w:szCs w:val="21"/>
    </w:rPr>
  </w:style>
  <w:style w:type="character" w:customStyle="1" w:styleId="21">
    <w:name w:val="标题 1 字符"/>
    <w:basedOn w:val="19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2">
    <w:name w:val="标题 2 字符"/>
    <w:basedOn w:val="19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3">
    <w:name w:val="标题 3 字符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4">
    <w:name w:val="标题 4 字符"/>
    <w:basedOn w:val="19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5">
    <w:name w:val="标题 5 字符"/>
    <w:basedOn w:val="19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6">
    <w:name w:val="标题 6 字符"/>
    <w:basedOn w:val="19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7">
    <w:name w:val="标题 7 字符"/>
    <w:basedOn w:val="19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8 字符"/>
    <w:basedOn w:val="19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9 字符"/>
    <w:basedOn w:val="19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字符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副标题 字符"/>
    <w:basedOn w:val="19"/>
    <w:link w:val="14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引用 字符"/>
    <w:basedOn w:val="19"/>
    <w:link w:val="32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9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明显引用 字符"/>
    <w:basedOn w:val="19"/>
    <w:link w:val="36"/>
    <w:uiPriority w:val="30"/>
    <w:rPr>
      <w:i/>
      <w:iCs/>
      <w:color w:val="104862" w:themeColor="accent1" w:themeShade="BF"/>
    </w:rPr>
  </w:style>
  <w:style w:type="character" w:customStyle="1" w:styleId="38">
    <w:name w:val="Intense Reference"/>
    <w:basedOn w:val="19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9">
    <w:name w:val="页眉 字符"/>
    <w:basedOn w:val="19"/>
    <w:link w:val="13"/>
    <w:uiPriority w:val="99"/>
    <w:rPr>
      <w:sz w:val="18"/>
      <w:szCs w:val="18"/>
    </w:rPr>
  </w:style>
  <w:style w:type="character" w:customStyle="1" w:styleId="40">
    <w:name w:val="页脚 字符"/>
    <w:basedOn w:val="19"/>
    <w:link w:val="12"/>
    <w:uiPriority w:val="99"/>
    <w:rPr>
      <w:sz w:val="18"/>
      <w:szCs w:val="18"/>
    </w:rPr>
  </w:style>
  <w:style w:type="character" w:styleId="41">
    <w:name w:val="Placeholder Text"/>
    <w:basedOn w:val="19"/>
    <w:semiHidden/>
    <w:uiPriority w:val="99"/>
    <w:rPr>
      <w:color w:val="666666"/>
    </w:rPr>
  </w:style>
  <w:style w:type="character" w:customStyle="1" w:styleId="42">
    <w:name w:val="批注文字 字符"/>
    <w:basedOn w:val="19"/>
    <w:link w:val="11"/>
    <w:semiHidden/>
    <w:uiPriority w:val="99"/>
    <w:rPr>
      <w:rFonts w:ascii="Times New Roman" w:hAnsi="Times New Roman" w:eastAsia="宋体"/>
      <w:kern w:val="0"/>
      <w:sz w:val="24"/>
      <w:lang w:eastAsia="en-US"/>
    </w:rPr>
  </w:style>
  <w:style w:type="character" w:customStyle="1" w:styleId="43">
    <w:name w:val="批注主题 字符"/>
    <w:basedOn w:val="42"/>
    <w:link w:val="17"/>
    <w:semiHidden/>
    <w:uiPriority w:val="99"/>
    <w:rPr>
      <w:rFonts w:ascii="Times New Roman" w:hAnsi="Times New Roman" w:eastAsia="宋体"/>
      <w:b/>
      <w:bCs/>
      <w:kern w:val="0"/>
      <w:sz w:val="2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31F3FC-66A9-4235-B9BB-A576D1D2208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1235</Words>
  <Characters>1306</Characters>
  <Lines>72</Lines>
  <Paragraphs>20</Paragraphs>
  <TotalTime>2300</TotalTime>
  <ScaleCrop>false</ScaleCrop>
  <LinksUpToDate>false</LinksUpToDate>
  <CharactersWithSpaces>1358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2026-02-26T12:22:00Z</dcterms:created>
  <dc:creator>陈昕睿</dc:creator>
  <cp:keywords>水下机器人, OpenCV, CSRT, 自适应图像增强, TCP, 安全状态机</cp:keywords>
  <cp:lastModifiedBy>陈昕睿</cp:lastModifiedBy>
  <dcterms:modified xsi:type="dcterms:W3CDTF">2026-09-15T16:46:19Z</dcterms:modified>
  <dc:subject>水下目标核心区自适应增强与CSRT跟踪设计</dc:subject>
  <dc:title>面向游泳训练的自动追踪水下机器人技术设计与实现</dc:title>
  <cp:revision>135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eyJoZGlkIjoiMTY1NGUyN2QzOGU4YzY4OTZlMDc2OTNlNzc4MjE2NDgiLCJ1c2VySWQiOiIxODA1ODg2MTE2In0=</vt:lpwstr>
  </property>
  <property fmtid="{D5CDD505-2E9C-101B-9397-08002B2CF9AE}" pid="3" name="KSOProductBuildVer">
    <vt:lpwstr>2052-12.1.0.28488</vt:lpwstr>
  </property>
  <property fmtid="{D5CDD505-2E9C-101B-9397-08002B2CF9AE}" pid="4" name="ICV">
    <vt:lpwstr>DFEC4FF4FF6C481B84B5539A0446E4D7_12</vt:lpwstr>
  </property>
</Properties>
</file>