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A9844">
      <w:pPr>
        <w:spacing w:line="540" w:lineRule="exac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附件1：</w:t>
      </w:r>
    </w:p>
    <w:p w14:paraId="0BF67E47">
      <w:pPr>
        <w:jc w:val="center"/>
        <w:rPr>
          <w:rFonts w:hint="eastAsia" w:ascii="黑体" w:hAnsi="黑体" w:eastAsia="黑体"/>
          <w:b/>
          <w:color w:val="000000"/>
          <w:sz w:val="44"/>
          <w:szCs w:val="44"/>
          <w:lang w:eastAsia="zh-CN"/>
        </w:rPr>
      </w:pPr>
    </w:p>
    <w:p w14:paraId="2F930B80">
      <w:pPr>
        <w:jc w:val="center"/>
        <w:rPr>
          <w:rFonts w:hint="eastAsia" w:ascii="华文中宋" w:hAnsi="华文中宋" w:eastAsia="华文中宋"/>
          <w:b/>
          <w:bCs/>
          <w:color w:val="000000"/>
          <w:sz w:val="48"/>
          <w:szCs w:val="48"/>
          <w:lang w:val="en-US" w:eastAsia="zh-CN"/>
        </w:rPr>
      </w:pPr>
    </w:p>
    <w:p w14:paraId="7D76D317">
      <w:pPr>
        <w:jc w:val="both"/>
        <w:rPr>
          <w:rFonts w:hint="eastAsia" w:ascii="华文中宋" w:hAnsi="华文中宋" w:eastAsia="华文中宋"/>
          <w:b/>
          <w:bCs/>
          <w:color w:val="000000"/>
          <w:sz w:val="48"/>
          <w:szCs w:val="48"/>
        </w:rPr>
      </w:pPr>
      <w:r>
        <w:rPr>
          <w:rFonts w:hint="eastAsia" w:ascii="华文中宋" w:hAnsi="华文中宋" w:eastAsia="华文中宋"/>
          <w:b/>
          <w:bCs/>
          <w:color w:val="000000"/>
          <w:sz w:val="48"/>
          <w:szCs w:val="48"/>
        </w:rPr>
        <w:t>广东医科大学大学生创新训练计划项目</w:t>
      </w:r>
    </w:p>
    <w:p w14:paraId="5986A4AE">
      <w:pPr>
        <w:jc w:val="center"/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</w:pPr>
    </w:p>
    <w:p w14:paraId="5F29569B">
      <w:pPr>
        <w:jc w:val="center"/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</w:pPr>
      <w:r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  <w:t>申报书</w:t>
      </w:r>
    </w:p>
    <w:p w14:paraId="7DF087B6">
      <w:pPr>
        <w:jc w:val="both"/>
        <w:rPr>
          <w:color w:val="000000"/>
          <w:sz w:val="52"/>
          <w:szCs w:val="52"/>
        </w:rPr>
      </w:pPr>
    </w:p>
    <w:p w14:paraId="0D6C9635">
      <w:pPr>
        <w:rPr>
          <w:rFonts w:hint="eastAsia"/>
          <w:color w:val="000000"/>
          <w:sz w:val="52"/>
          <w:szCs w:val="52"/>
        </w:rPr>
      </w:pP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2"/>
      </w:tblGrid>
      <w:tr w14:paraId="277F6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0" w:hRule="atLeast"/>
          <w:jc w:val="center"/>
        </w:trPr>
        <w:tc>
          <w:tcPr>
            <w:tcW w:w="7162" w:type="dxa"/>
            <w:noWrap w:val="0"/>
            <w:vAlign w:val="top"/>
          </w:tcPr>
          <w:p w14:paraId="3CCCE5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eastAsia="黑体"/>
                <w:bCs/>
                <w:color w:val="000000"/>
                <w:spacing w:val="102"/>
                <w:kern w:val="0"/>
                <w:sz w:val="28"/>
                <w:szCs w:val="28"/>
                <w:fitText w:val="2216" w:id="1718895027"/>
              </w:rPr>
              <w:t>项目名称</w:t>
            </w:r>
            <w:r>
              <w:rPr>
                <w:rFonts w:hint="eastAsia" w:eastAsia="黑体"/>
                <w:bCs/>
                <w:color w:val="000000"/>
                <w:spacing w:val="0"/>
                <w:kern w:val="0"/>
                <w:sz w:val="28"/>
                <w:szCs w:val="28"/>
                <w:fitText w:val="2216" w:id="1718895027"/>
              </w:rPr>
              <w:t>：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AI 风险筛查与提醒、用药管理与人文关怀 —— </w:t>
            </w:r>
          </w:p>
          <w:p w14:paraId="715F9D03">
            <w:pPr>
              <w:keepNext w:val="0"/>
              <w:keepLines w:val="0"/>
              <w:widowControl/>
              <w:suppressLineNumbers w:val="0"/>
              <w:ind w:firstLine="2319" w:firstLineChars="1100"/>
              <w:jc w:val="left"/>
              <w:rPr>
                <w:rFonts w:hint="default" w:eastAsia="黑体"/>
                <w:bCs/>
                <w:color w:val="000000"/>
                <w:sz w:val="28"/>
                <w:szCs w:val="28"/>
                <w:u w:val="singl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>老年人慢病用药辅助智能体（系统）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</w:t>
            </w:r>
          </w:p>
          <w:p w14:paraId="7C31B769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53"/>
                <w:kern w:val="0"/>
                <w:sz w:val="28"/>
                <w:szCs w:val="28"/>
                <w:fitText w:val="2216" w:id="152384886"/>
              </w:rPr>
              <w:t>申请者姓名</w:t>
            </w:r>
            <w:r>
              <w:rPr>
                <w:rFonts w:hint="eastAsia" w:eastAsia="黑体"/>
                <w:bCs/>
                <w:color w:val="000000"/>
                <w:spacing w:val="3"/>
                <w:kern w:val="0"/>
                <w:sz w:val="28"/>
                <w:szCs w:val="28"/>
                <w:fitText w:val="2216" w:id="152384886"/>
              </w:rPr>
              <w:t>：</w:t>
            </w:r>
            <w:r>
              <w:rPr>
                <w:rFonts w:hint="eastAsia"/>
                <w:color w:val="000000"/>
                <w:u w:val="single"/>
              </w:rPr>
              <w:t xml:space="preserve">            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1"/>
                <w:szCs w:val="21"/>
                <w:u w:val="single"/>
                <w:lang w:val="en-US" w:eastAsia="zh-CN"/>
              </w:rPr>
              <w:t>XXX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color w:val="000000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u w:val="single"/>
              </w:rPr>
              <w:t xml:space="preserve">             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color w:val="000000"/>
                <w:u w:val="single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 xml:space="preserve">             </w:t>
            </w:r>
          </w:p>
          <w:p w14:paraId="441A4160">
            <w:pPr>
              <w:rPr>
                <w:rFonts w:eastAsia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"/>
                <w:w w:val="98"/>
                <w:kern w:val="0"/>
                <w:sz w:val="28"/>
                <w:szCs w:val="28"/>
                <w:fitText w:val="2216" w:id="1393107701"/>
              </w:rPr>
              <w:t>申请者所在学院</w:t>
            </w:r>
            <w:r>
              <w:rPr>
                <w:rFonts w:hint="eastAsia" w:eastAsia="黑体"/>
                <w:bCs/>
                <w:color w:val="000000"/>
                <w:spacing w:val="7"/>
                <w:w w:val="98"/>
                <w:kern w:val="0"/>
                <w:sz w:val="28"/>
                <w:szCs w:val="28"/>
                <w:fitText w:val="2216" w:id="1393107701"/>
              </w:rPr>
              <w:t>：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>基础医学院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</w:rPr>
              <w:t xml:space="preserve">                         </w:t>
            </w:r>
          </w:p>
          <w:p w14:paraId="0EEC01BB">
            <w:pPr>
              <w:rPr>
                <w:color w:val="000000"/>
                <w:szCs w:val="28"/>
              </w:rPr>
            </w:pPr>
            <w:commentRangeStart w:id="0"/>
            <w:r>
              <w:rPr>
                <w:rFonts w:hint="eastAsia" w:eastAsia="黑体"/>
                <w:bCs/>
                <w:color w:val="000000"/>
                <w:spacing w:val="16"/>
                <w:w w:val="100"/>
                <w:kern w:val="0"/>
                <w:sz w:val="28"/>
                <w:szCs w:val="28"/>
                <w:fitText w:val="2216" w:id="799036894"/>
              </w:rPr>
              <w:t xml:space="preserve">指 导 教 师 </w:t>
            </w:r>
            <w:r>
              <w:rPr>
                <w:rFonts w:hint="eastAsia" w:eastAsia="黑体"/>
                <w:bCs/>
                <w:color w:val="000000"/>
                <w:spacing w:val="0"/>
                <w:w w:val="100"/>
                <w:kern w:val="0"/>
                <w:sz w:val="28"/>
                <w:szCs w:val="28"/>
                <w:fitText w:val="2216" w:id="799036894"/>
              </w:rPr>
              <w:t>姓</w:t>
            </w:r>
            <w:commentRangeEnd w:id="0"/>
            <w:r>
              <w:commentReference w:id="0"/>
            </w:r>
            <w:r>
              <w:rPr>
                <w:rFonts w:hint="eastAsia" w:eastAsia="黑体"/>
                <w:bCs/>
                <w:color w:val="000000"/>
                <w:spacing w:val="154"/>
                <w:w w:val="100"/>
                <w:kern w:val="0"/>
                <w:sz w:val="28"/>
                <w:szCs w:val="28"/>
                <w:fitText w:val="2216" w:id="799036894"/>
              </w:rPr>
              <w:t xml:space="preserve"> 名 ：</w:t>
            </w:r>
            <w:r>
              <w:rPr>
                <w:rFonts w:hint="eastAsia" w:eastAsia="黑体"/>
                <w:bCs/>
                <w:color w:val="000000"/>
                <w:spacing w:val="2"/>
                <w:w w:val="100"/>
                <w:kern w:val="0"/>
                <w:sz w:val="28"/>
                <w:szCs w:val="28"/>
                <w:fitText w:val="2216" w:id="799036894"/>
              </w:rPr>
              <w:t xml:space="preserve"> </w:t>
            </w:r>
            <w:r>
              <w:rPr>
                <w:rFonts w:hint="eastAsia" w:eastAsia="黑体"/>
                <w:bCs/>
                <w:color w:val="000000"/>
                <w:spacing w:val="-6"/>
                <w:sz w:val="28"/>
                <w:szCs w:val="28"/>
                <w:u w:val="single"/>
              </w:rPr>
              <w:t xml:space="preserve">                                     </w:t>
            </w:r>
          </w:p>
          <w:p w14:paraId="0E56A7DD">
            <w:pPr>
              <w:rPr>
                <w:rFonts w:hint="eastAsia" w:eastAsia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"/>
                <w:w w:val="87"/>
                <w:kern w:val="0"/>
                <w:sz w:val="28"/>
                <w:szCs w:val="28"/>
                <w:fitText w:val="2216" w:id="1584163145"/>
              </w:rPr>
              <w:t>指导教师所在部门</w:t>
            </w:r>
            <w:r>
              <w:rPr>
                <w:rFonts w:hint="eastAsia" w:eastAsia="黑体"/>
                <w:bCs/>
                <w:color w:val="000000"/>
                <w:spacing w:val="7"/>
                <w:w w:val="87"/>
                <w:kern w:val="0"/>
                <w:sz w:val="28"/>
                <w:szCs w:val="28"/>
                <w:fitText w:val="2216" w:id="1584163145"/>
              </w:rPr>
              <w:t>：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          </w:t>
            </w:r>
          </w:p>
          <w:p w14:paraId="6C8E464F">
            <w:pPr>
              <w:rPr>
                <w:color w:val="000000"/>
                <w:szCs w:val="28"/>
              </w:rPr>
            </w:pPr>
            <w:r>
              <w:rPr>
                <w:rFonts w:hint="eastAsia" w:eastAsia="黑体"/>
                <w:bCs/>
                <w:strike w:val="0"/>
                <w:dstrike w:val="0"/>
                <w:color w:val="000000"/>
                <w:spacing w:val="1"/>
                <w:w w:val="65"/>
                <w:kern w:val="0"/>
                <w:sz w:val="28"/>
                <w:szCs w:val="28"/>
                <w:fitText w:val="2216" w:id="57504734"/>
              </w:rPr>
              <w:t>指 导 教 师 联系电话 ：</w:t>
            </w:r>
            <w:r>
              <w:rPr>
                <w:rFonts w:hint="eastAsia" w:eastAsia="黑体"/>
                <w:bCs/>
                <w:color w:val="000000"/>
                <w:spacing w:val="4"/>
                <w:w w:val="65"/>
                <w:kern w:val="0"/>
                <w:sz w:val="28"/>
                <w:szCs w:val="28"/>
                <w:fitText w:val="2216" w:id="57504734"/>
              </w:rPr>
              <w:t xml:space="preserve"> </w:t>
            </w:r>
            <w:r>
              <w:rPr>
                <w:rFonts w:hint="eastAsia" w:eastAsia="黑体"/>
                <w:bCs/>
                <w:color w:val="000000"/>
                <w:spacing w:val="-6"/>
                <w:sz w:val="28"/>
                <w:szCs w:val="28"/>
                <w:u w:val="single"/>
              </w:rPr>
              <w:t xml:space="preserve">                                     </w:t>
            </w:r>
          </w:p>
          <w:p w14:paraId="5F340761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02"/>
                <w:kern w:val="0"/>
                <w:sz w:val="28"/>
                <w:szCs w:val="28"/>
                <w:fitText w:val="2216" w:id="700127679"/>
              </w:rPr>
              <w:t>填表日期</w:t>
            </w:r>
            <w:r>
              <w:rPr>
                <w:rFonts w:hint="eastAsia" w:eastAsia="黑体"/>
                <w:bCs/>
                <w:color w:val="000000"/>
                <w:spacing w:val="0"/>
                <w:kern w:val="0"/>
                <w:sz w:val="28"/>
                <w:szCs w:val="28"/>
                <w:fitText w:val="2216" w:id="700127679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sz w:val="28"/>
                <w:szCs w:val="28"/>
              </w:rPr>
              <w:t>年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color w:val="000000"/>
                <w:sz w:val="28"/>
                <w:szCs w:val="28"/>
                <w:u w:val="single"/>
                <w:lang w:val="en-US" w:eastAsia="zh-CN"/>
              </w:rPr>
              <w:t>10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8"/>
                <w:szCs w:val="28"/>
              </w:rPr>
              <w:t>月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color w:val="000000"/>
                <w:sz w:val="28"/>
                <w:szCs w:val="28"/>
                <w:u w:val="single"/>
                <w:lang w:val="en-US" w:eastAsia="zh-CN"/>
              </w:rPr>
              <w:t>15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　  </w:t>
            </w:r>
            <w:r>
              <w:rPr>
                <w:rFonts w:hint="eastAsia"/>
                <w:color w:val="000000"/>
                <w:sz w:val="28"/>
                <w:szCs w:val="28"/>
              </w:rPr>
              <w:t>日</w:t>
            </w:r>
          </w:p>
        </w:tc>
      </w:tr>
    </w:tbl>
    <w:p w14:paraId="2D93F53D">
      <w:pPr>
        <w:rPr>
          <w:color w:val="000000"/>
          <w:szCs w:val="21"/>
        </w:rPr>
      </w:pPr>
    </w:p>
    <w:p w14:paraId="188C076F">
      <w:pPr>
        <w:jc w:val="both"/>
        <w:rPr>
          <w:rFonts w:hint="eastAsia" w:hAnsi="宋体"/>
          <w:color w:val="000000"/>
          <w:sz w:val="28"/>
          <w:szCs w:val="28"/>
        </w:rPr>
      </w:pPr>
    </w:p>
    <w:p w14:paraId="48CF1F9F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6C7AAFD0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3B9EF9BA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7EE69965">
      <w:pPr>
        <w:jc w:val="center"/>
        <w:rPr>
          <w:rFonts w:hint="eastAsia" w:ascii="黑体" w:eastAsia="黑体"/>
          <w:sz w:val="36"/>
        </w:rPr>
      </w:pPr>
      <w:r>
        <w:rPr>
          <w:rFonts w:hint="eastAsia" w:ascii="黑体" w:eastAsia="黑体"/>
          <w:sz w:val="36"/>
        </w:rPr>
        <w:t>填表及报送材料要求</w:t>
      </w:r>
    </w:p>
    <w:p w14:paraId="5DA566C2">
      <w:pPr>
        <w:jc w:val="center"/>
        <w:rPr>
          <w:rFonts w:hint="eastAsia" w:ascii="黑体" w:eastAsia="黑体"/>
          <w:sz w:val="28"/>
        </w:rPr>
      </w:pPr>
    </w:p>
    <w:p w14:paraId="4AAC18C6">
      <w:pPr>
        <w:spacing w:line="480" w:lineRule="auto"/>
        <w:ind w:left="959" w:leftChars="228" w:hanging="480" w:hangingChars="200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一、学生填写立项申报表前，请先咨询指导教师或有关专业教师。申报书的各项内容要求实事求是，逐条认真填写，表达明确、严谨。</w:t>
      </w:r>
    </w:p>
    <w:p w14:paraId="6524E947">
      <w:pPr>
        <w:spacing w:line="480" w:lineRule="auto"/>
        <w:ind w:left="959" w:leftChars="228" w:hanging="480" w:hangingChars="200"/>
        <w:rPr>
          <w:rFonts w:hint="eastAsia" w:ascii="宋体"/>
          <w:sz w:val="24"/>
        </w:rPr>
      </w:pPr>
      <w:r>
        <w:rPr>
          <w:rFonts w:hint="eastAsia" w:ascii="宋体"/>
          <w:sz w:val="24"/>
          <w:lang w:val="en-US" w:eastAsia="zh-CN"/>
        </w:rPr>
        <w:t>二</w:t>
      </w:r>
      <w:r>
        <w:rPr>
          <w:rFonts w:hint="eastAsia" w:ascii="宋体"/>
          <w:sz w:val="24"/>
        </w:rPr>
        <w:t>、申报书填写内容用</w:t>
      </w:r>
      <w:r>
        <w:rPr>
          <w:rFonts w:hint="eastAsia" w:ascii="宋体"/>
          <w:b/>
          <w:sz w:val="24"/>
        </w:rPr>
        <w:t>宋体5号字体，行距22磅</w:t>
      </w:r>
      <w:r>
        <w:rPr>
          <w:rFonts w:hint="eastAsia" w:ascii="宋体"/>
          <w:sz w:val="24"/>
        </w:rPr>
        <w:t>。</w:t>
      </w:r>
    </w:p>
    <w:p w14:paraId="67339848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/>
          <w:sz w:val="24"/>
          <w:lang w:val="en-US" w:eastAsia="zh-CN"/>
        </w:rPr>
        <w:t>三</w:t>
      </w:r>
      <w:r>
        <w:rPr>
          <w:rFonts w:hint="eastAsia" w:ascii="宋体"/>
          <w:sz w:val="24"/>
        </w:rPr>
        <w:t>、</w:t>
      </w:r>
      <w:r>
        <w:rPr>
          <w:rFonts w:hint="eastAsia" w:ascii="宋体"/>
          <w:sz w:val="24"/>
          <w:lang w:val="en-US" w:eastAsia="zh-CN"/>
        </w:rPr>
        <w:t>若</w:t>
      </w:r>
      <w:r>
        <w:rPr>
          <w:rFonts w:hint="eastAsia" w:ascii="宋体" w:hAnsi="Times New Roman" w:eastAsia="宋体" w:cs="Times New Roman"/>
          <w:sz w:val="24"/>
          <w:lang w:val="en-US" w:eastAsia="zh-CN"/>
        </w:rPr>
        <w:t>申报项目已有业绩成果或支撑项目的</w:t>
      </w:r>
      <w:commentRangeStart w:id="1"/>
      <w:r>
        <w:rPr>
          <w:rFonts w:hint="eastAsia" w:ascii="宋体" w:hAnsi="Times New Roman" w:eastAsia="宋体" w:cs="Times New Roman"/>
          <w:sz w:val="24"/>
          <w:lang w:val="en-US" w:eastAsia="zh-CN"/>
        </w:rPr>
        <w:t>需附上相关的佐证材料</w:t>
      </w:r>
      <w:commentRangeEnd w:id="1"/>
      <w:r>
        <w:commentReference w:id="1"/>
      </w:r>
      <w:r>
        <w:rPr>
          <w:rFonts w:hint="eastAsia" w:ascii="宋体" w:hAnsi="Times New Roman" w:eastAsia="宋体" w:cs="Times New Roman"/>
          <w:sz w:val="24"/>
          <w:lang w:val="en-US" w:eastAsia="zh-CN"/>
        </w:rPr>
        <w:t>。</w:t>
      </w:r>
    </w:p>
    <w:p w14:paraId="38E3F2B0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 w:hAnsi="Times New Roman" w:eastAsia="宋体" w:cs="Times New Roman"/>
          <w:sz w:val="24"/>
          <w:lang w:val="en-US" w:eastAsia="zh-CN"/>
        </w:rPr>
        <w:t>四、项目编号不用填写</w:t>
      </w:r>
    </w:p>
    <w:p w14:paraId="42DAABB1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 w:hAnsi="Times New Roman" w:eastAsia="宋体" w:cs="Times New Roman"/>
          <w:sz w:val="24"/>
          <w:lang w:val="en-US" w:eastAsia="zh-CN"/>
        </w:rPr>
        <w:t>五、材料一式三份（均为原件）。</w:t>
      </w:r>
    </w:p>
    <w:p w14:paraId="00CD8055">
      <w:pPr>
        <w:spacing w:line="480" w:lineRule="auto"/>
        <w:ind w:firstLine="480" w:firstLineChars="200"/>
        <w:rPr>
          <w:rFonts w:hint="eastAsia" w:ascii="宋体"/>
          <w:sz w:val="24"/>
        </w:rPr>
      </w:pPr>
    </w:p>
    <w:p w14:paraId="672627C3">
      <w:pPr>
        <w:spacing w:line="480" w:lineRule="auto"/>
        <w:ind w:firstLine="480" w:firstLineChars="200"/>
        <w:rPr>
          <w:rFonts w:hint="eastAsia" w:hAnsi="宋体" w:eastAsia="宋体"/>
          <w:bCs/>
          <w:color w:val="000000"/>
          <w:sz w:val="18"/>
          <w:szCs w:val="18"/>
          <w:lang w:eastAsia="zh-CN"/>
        </w:rPr>
      </w:pPr>
      <w:r>
        <w:rPr>
          <w:rFonts w:hint="eastAsia" w:ascii="宋体"/>
          <w:sz w:val="24"/>
        </w:rPr>
        <w:br w:type="page"/>
      </w:r>
    </w:p>
    <w:tbl>
      <w:tblPr>
        <w:tblStyle w:val="3"/>
        <w:tblW w:w="97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28" w:type="dxa"/>
        </w:tblCellMar>
      </w:tblPr>
      <w:tblGrid>
        <w:gridCol w:w="932"/>
        <w:gridCol w:w="853"/>
        <w:gridCol w:w="420"/>
        <w:gridCol w:w="630"/>
        <w:gridCol w:w="525"/>
        <w:gridCol w:w="812"/>
        <w:gridCol w:w="343"/>
        <w:gridCol w:w="693"/>
        <w:gridCol w:w="364"/>
        <w:gridCol w:w="559"/>
        <w:gridCol w:w="1324"/>
        <w:gridCol w:w="105"/>
        <w:gridCol w:w="1155"/>
        <w:gridCol w:w="105"/>
        <w:gridCol w:w="945"/>
      </w:tblGrid>
      <w:tr w14:paraId="78995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3DDE5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34B4C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名称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70476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AI 风险筛查与提醒、用药管理与人文关怀 —— 老年人慢病用药辅助智能体（系统）</w:t>
            </w:r>
          </w:p>
        </w:tc>
      </w:tr>
      <w:tr w14:paraId="29BE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06E27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6E8C8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46C01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hAnsi="宋体"/>
                <w:color w:val="000000"/>
                <w:lang w:eastAsia="zh-CN"/>
              </w:rPr>
              <w:t>□</w:t>
            </w:r>
            <w:r>
              <w:rPr>
                <w:rFonts w:hint="eastAsia"/>
                <w:color w:val="000000"/>
              </w:rPr>
              <w:t xml:space="preserve">创新训练项目      </w:t>
            </w:r>
            <w:r>
              <w:rPr>
                <w:rFonts w:hint="eastAsia" w:hAnsi="宋体"/>
                <w:color w:val="000000"/>
                <w:lang w:eastAsia="zh-CN"/>
              </w:rPr>
              <w:t>☑</w:t>
            </w:r>
            <w:r>
              <w:rPr>
                <w:rFonts w:hint="eastAsia" w:ascii="_x000B__x000C_" w:hAnsi="_x000B__x000C_"/>
                <w:color w:val="000000"/>
                <w:szCs w:val="21"/>
              </w:rPr>
              <w:t>创业训练项目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  <w:lang w:val="en-US" w:eastAsia="zh-CN"/>
              </w:rPr>
              <w:t xml:space="preserve">    </w:t>
            </w:r>
            <w:r>
              <w:rPr>
                <w:rFonts w:hint="eastAsia" w:hAnsi="宋体"/>
                <w:color w:val="000000"/>
              </w:rPr>
              <w:t>□创业实践项目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 w:ascii="宋体" w:hAnsi="宋体"/>
                <w:color w:val="000000"/>
              </w:rPr>
              <w:t xml:space="preserve">   </w:t>
            </w:r>
          </w:p>
        </w:tc>
      </w:tr>
      <w:tr w14:paraId="672D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4CAD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学生</w:t>
            </w:r>
          </w:p>
          <w:p w14:paraId="58D91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团队</w:t>
            </w:r>
          </w:p>
        </w:tc>
        <w:tc>
          <w:tcPr>
            <w:tcW w:w="853" w:type="dxa"/>
            <w:noWrap w:val="0"/>
            <w:vAlign w:val="center"/>
          </w:tcPr>
          <w:p w14:paraId="3FAF2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类  别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0C8CA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 名</w:t>
            </w:r>
          </w:p>
        </w:tc>
        <w:tc>
          <w:tcPr>
            <w:tcW w:w="1337" w:type="dxa"/>
            <w:gridSpan w:val="2"/>
            <w:noWrap w:val="0"/>
            <w:vAlign w:val="center"/>
          </w:tcPr>
          <w:p w14:paraId="3C812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 号</w:t>
            </w:r>
          </w:p>
        </w:tc>
        <w:tc>
          <w:tcPr>
            <w:tcW w:w="1036" w:type="dxa"/>
            <w:gridSpan w:val="2"/>
            <w:noWrap w:val="0"/>
            <w:vAlign w:val="center"/>
          </w:tcPr>
          <w:p w14:paraId="65A05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所属年级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A202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专  业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1438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项目分工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278E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945" w:type="dxa"/>
            <w:noWrap w:val="0"/>
            <w:vAlign w:val="center"/>
          </w:tcPr>
          <w:p w14:paraId="0E031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备注</w:t>
            </w:r>
          </w:p>
        </w:tc>
      </w:tr>
      <w:tr w14:paraId="54D3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65E6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noWrap w:val="0"/>
            <w:vAlign w:val="center"/>
          </w:tcPr>
          <w:p w14:paraId="0B6B5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项目组长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01FE8F88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7F1C00B7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74CD0920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2987B69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生物技术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D09C2E1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项目全面统筹、系统</w:t>
            </w:r>
            <w:r>
              <w:rPr>
                <w:rFonts w:ascii="宋体" w:hAnsi="宋体" w:eastAsia="宋体"/>
              </w:rPr>
              <w:t>总体架构</w:t>
            </w:r>
            <w:r>
              <w:rPr>
                <w:rFonts w:ascii="宋体" w:hAnsi="宋体" w:eastAsia="宋体"/>
                <w:sz w:val="21"/>
              </w:rPr>
              <w:t>设计、</w:t>
            </w:r>
            <w:r>
              <w:rPr>
                <w:rFonts w:ascii="宋体" w:hAnsi="宋体" w:eastAsia="宋体"/>
              </w:rPr>
              <w:t>AI智能体与云端后端开发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宋体" w:hAnsi="宋体" w:eastAsia="宋体"/>
              </w:rPr>
              <w:t>安全工程</w:t>
            </w:r>
            <w:r>
              <w:rPr>
                <w:rFonts w:hint="eastAsia" w:ascii="宋体" w:hAnsi="宋体"/>
                <w:lang w:eastAsia="zh-CN"/>
              </w:rPr>
              <w:t>、</w:t>
            </w:r>
            <w:r>
              <w:rPr>
                <w:rFonts w:ascii="宋体" w:hAnsi="宋体" w:eastAsia="宋体"/>
                <w:sz w:val="21"/>
              </w:rPr>
              <w:t>功能迭代、申报材料统筹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7AB5CA52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30ACB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7C72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16E62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restart"/>
            <w:noWrap w:val="0"/>
            <w:vAlign w:val="center"/>
          </w:tcPr>
          <w:p w14:paraId="7571A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项目组</w:t>
            </w:r>
          </w:p>
          <w:p w14:paraId="493E5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成员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3126C4C6">
            <w:pPr>
              <w:spacing w:line="440" w:lineRule="exact"/>
              <w:rPr>
                <w:rFonts w:hint="eastAsia" w:eastAsia="宋体"/>
                <w:lang w:eastAsia="zh-CN"/>
              </w:rPr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329D36AD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4FB0EA35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3824581B">
            <w:pPr>
              <w:spacing w:line="440" w:lineRule="exac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护理学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0F0FE44C">
            <w:pPr>
              <w:spacing w:line="440" w:lineRule="exact"/>
            </w:pPr>
            <w:r>
              <w:rPr>
                <w:rFonts w:ascii="宋体" w:hAnsi="宋体" w:eastAsia="宋体"/>
              </w:rPr>
              <w:t>适老化交互设计优化、社区问卷调研与访谈、需求分析、人文关怀策略设计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39265B75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3E920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7510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CBE5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42D6C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2BFA25EB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79CC45D9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6EAEB735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2024级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34F9EC4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生物医学工程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4D604A08">
            <w:pPr>
              <w:spacing w:line="440" w:lineRule="exact"/>
            </w:pPr>
            <w:r>
              <w:rPr>
                <w:rFonts w:ascii="宋体" w:hAnsi="宋体" w:eastAsia="宋体"/>
              </w:rPr>
              <w:t>技术落地、多端兼容性测试、语音链路联调、材料校对与答辩准备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5E73F36E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4A04F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1916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58BAC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105AD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65619EF9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1310F644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5574CDA7">
            <w:pPr>
              <w:spacing w:line="440" w:lineRule="exact"/>
            </w:pPr>
            <w:r>
              <w:rPr>
                <w:rFonts w:hint="eastAsia"/>
                <w:color w:val="000000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B1E316B">
            <w:pPr>
              <w:spacing w:line="440" w:lineRule="exact"/>
            </w:pPr>
            <w:r>
              <w:rPr>
                <w:rFonts w:hint="eastAsia"/>
                <w:color w:val="000000"/>
                <w:lang w:val="en-US" w:eastAsia="zh-CN"/>
              </w:rPr>
              <w:t>临床药学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2598B46">
            <w:pPr>
              <w:spacing w:line="440" w:lineRule="exact"/>
            </w:pPr>
            <w:r>
              <w:rPr>
                <w:rFonts w:ascii="宋体" w:hAnsi="宋体" w:eastAsia="宋体"/>
              </w:rPr>
              <w:t>药物知识库构建与校对（1494条）、风险筛查规则梳理、医学内容审核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11AC75EA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540E3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02CCE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79AC4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694C0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71F1C382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595806FD">
            <w:pPr>
              <w:spacing w:line="440" w:lineRule="exact"/>
              <w:jc w:val="center"/>
              <w:rPr>
                <w:rFonts w:hint="eastAsia"/>
              </w:rPr>
            </w:pPr>
          </w:p>
          <w:p w14:paraId="79F831FE">
            <w:pPr>
              <w:spacing w:line="440" w:lineRule="exact"/>
              <w:jc w:val="center"/>
              <w:rPr>
                <w:rFonts w:hint="eastAsia"/>
              </w:rPr>
            </w:pPr>
          </w:p>
          <w:p w14:paraId="7CB0C6DE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10C961FE">
            <w:pPr>
              <w:spacing w:line="44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  <w:lang w:val="en-US" w:eastAsia="zh-CN"/>
              </w:rPr>
              <w:t>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1F0A0F23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护理</w:t>
            </w:r>
            <w:r>
              <w:rPr>
                <w:rFonts w:hint="eastAsia"/>
                <w:lang w:val="en-US" w:eastAsia="zh-CN"/>
              </w:rPr>
              <w:t>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C19FCE7">
            <w:pPr>
              <w:spacing w:line="440" w:lineRule="exact"/>
            </w:pPr>
            <w:r>
              <w:rPr>
                <w:rFonts w:ascii="宋体" w:hAnsi="宋体" w:eastAsia="宋体"/>
              </w:rPr>
              <w:t>护理人文关怀模块设计、关怀任务与健康宣教内容开发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E6789F7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516A2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5CB0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3A10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33016D24">
            <w:pPr>
              <w:spacing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团队成员来自生物技术、生物医学工程、临床药学、护理学专业，形成"信息技术+临床药学+</w:t>
            </w:r>
            <w:commentRangeStart w:id="2"/>
            <w:r>
              <w:rPr>
                <w:rFonts w:ascii="宋体" w:hAnsi="宋体" w:eastAsia="宋体"/>
                <w:b w:val="0"/>
                <w:sz w:val="21"/>
              </w:rPr>
              <w:t>医学工程+护理人文</w:t>
            </w:r>
            <w:commentRangeEnd w:id="2"/>
            <w:r>
              <w:commentReference w:id="2"/>
            </w:r>
            <w:r>
              <w:rPr>
                <w:rFonts w:ascii="宋体" w:hAnsi="宋体" w:eastAsia="宋体"/>
                <w:b w:val="0"/>
                <w:sz w:val="21"/>
              </w:rPr>
              <w:t>"的跨学科组合，与本项目高度匹配。成员系统修读了C语言程序设计、Python程序设计、数据库原理、软件工程、医学仪器原理、临床医学概论、基础医学、老年护理学、护理人文关怀、临床药理学、药剂学、生物信息学等课程，具备程序设计、算法实现、医学数据处理、老年人照护与用药安全等知识储备。团队已独立完成"康伴"智能体原型的需求分析、架构设计、开发上线与两轮全量安全审计（</w:t>
            </w:r>
            <w:commentRangeStart w:id="3"/>
            <w:r>
              <w:rPr>
                <w:rFonts w:ascii="宋体" w:hAnsi="宋体" w:eastAsia="宋体"/>
                <w:b w:val="0"/>
                <w:sz w:val="21"/>
              </w:rPr>
              <w:t>修复15类安全缺陷</w:t>
            </w:r>
            <w:commentRangeEnd w:id="3"/>
            <w:r>
              <w:commentReference w:id="3"/>
            </w:r>
            <w:r>
              <w:rPr>
                <w:rFonts w:ascii="宋体" w:hAnsi="宋体" w:eastAsia="宋体"/>
                <w:b w:val="0"/>
                <w:sz w:val="21"/>
              </w:rPr>
              <w:t>），线上系统运行稳定，具备从0到1搭建产品并完成工程化部署的完整能力。部分成员曾参与大学生创新训练计划立项，获中国国际大学生创新大赛校赛优秀奖、"挑战杯"省赛参赛资格，熟悉项目全流程管理、路演答辩与佐证材料整理。</w:t>
            </w:r>
          </w:p>
        </w:tc>
      </w:tr>
      <w:tr w14:paraId="60A9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7F61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指导</w:t>
            </w:r>
          </w:p>
          <w:p w14:paraId="0BF0A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教师</w:t>
            </w:r>
          </w:p>
          <w:p w14:paraId="5E512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113FD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工号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54C03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姓  名  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202CA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</w:rPr>
              <w:t>职  称</w:t>
            </w:r>
          </w:p>
        </w:tc>
        <w:tc>
          <w:tcPr>
            <w:tcW w:w="1057" w:type="dxa"/>
            <w:gridSpan w:val="2"/>
            <w:noWrap w:val="0"/>
            <w:vAlign w:val="center"/>
          </w:tcPr>
          <w:p w14:paraId="64506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专业方向</w:t>
            </w:r>
          </w:p>
        </w:tc>
        <w:tc>
          <w:tcPr>
            <w:tcW w:w="1883" w:type="dxa"/>
            <w:gridSpan w:val="2"/>
            <w:noWrap w:val="0"/>
            <w:vAlign w:val="center"/>
          </w:tcPr>
          <w:p w14:paraId="2D94F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指导任务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AAE1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35606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签  名</w:t>
            </w:r>
          </w:p>
        </w:tc>
      </w:tr>
      <w:tr w14:paraId="6E6C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002C6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28B0FB6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497385F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7AD12AE2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057" w:type="dxa"/>
            <w:gridSpan w:val="2"/>
            <w:noWrap w:val="0"/>
            <w:vAlign w:val="center"/>
          </w:tcPr>
          <w:p w14:paraId="6FA701A0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883" w:type="dxa"/>
            <w:gridSpan w:val="2"/>
            <w:noWrap w:val="0"/>
            <w:vAlign w:val="center"/>
          </w:tcPr>
          <w:p w14:paraId="5FCFF51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269D05C3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1137E31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</w:tr>
      <w:tr w14:paraId="14C9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776B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68B00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val="en-US" w:eastAsia="zh-CN"/>
              </w:rPr>
            </w:pPr>
          </w:p>
        </w:tc>
        <w:tc>
          <w:tcPr>
            <w:tcW w:w="1155" w:type="dxa"/>
            <w:gridSpan w:val="2"/>
            <w:noWrap w:val="0"/>
            <w:vAlign w:val="center"/>
          </w:tcPr>
          <w:p w14:paraId="42656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155" w:type="dxa"/>
            <w:gridSpan w:val="2"/>
            <w:noWrap w:val="0"/>
            <w:vAlign w:val="center"/>
          </w:tcPr>
          <w:p w14:paraId="7D06E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7" w:type="dxa"/>
            <w:gridSpan w:val="2"/>
            <w:noWrap w:val="0"/>
            <w:vAlign w:val="center"/>
          </w:tcPr>
          <w:p w14:paraId="773A5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883" w:type="dxa"/>
            <w:gridSpan w:val="2"/>
            <w:noWrap w:val="0"/>
            <w:vAlign w:val="center"/>
          </w:tcPr>
          <w:p w14:paraId="24D54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088E7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21038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5A1E7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05961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tcBorders>
              <w:bottom w:val="nil"/>
            </w:tcBorders>
            <w:noWrap w:val="0"/>
            <w:vAlign w:val="top"/>
          </w:tcPr>
          <w:p w14:paraId="05690175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指导教师研究方向、近年主持在研的科研项目以及主要科研成果</w:t>
            </w:r>
          </w:p>
        </w:tc>
      </w:tr>
      <w:tr w14:paraId="4E263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36CD0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tcBorders>
              <w:top w:val="nil"/>
            </w:tcBorders>
            <w:noWrap w:val="0"/>
            <w:vAlign w:val="top"/>
          </w:tcPr>
          <w:p w14:paraId="05E1127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</w:tr>
      <w:tr w14:paraId="67D3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7542F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本项目研究的目的与意义、创新性</w:t>
            </w:r>
          </w:p>
        </w:tc>
        <w:tc>
          <w:tcPr>
            <w:tcW w:w="8833" w:type="dxa"/>
            <w:gridSpan w:val="14"/>
            <w:noWrap w:val="0"/>
            <w:vAlign w:val="top"/>
          </w:tcPr>
          <w:p w14:paraId="5DDB1D4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1.1 研究背景</w:t>
            </w:r>
          </w:p>
          <w:p w14:paraId="259BD768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（1）人口深度老龄化与慢病高发叠加，老年用药安全成为重大公共健康问题。</w:t>
            </w:r>
          </w:p>
          <w:p w14:paraId="3F54189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我国已进入</w:t>
            </w:r>
            <w:commentRangeStart w:id="4"/>
            <w:r>
              <w:rPr>
                <w:rFonts w:ascii="宋体" w:hAnsi="宋体" w:eastAsia="宋体"/>
                <w:sz w:val="21"/>
              </w:rPr>
              <w:t>中度老龄化社会</w:t>
            </w:r>
            <w:commentRangeEnd w:id="4"/>
            <w:r>
              <w:commentReference w:id="4"/>
            </w:r>
            <w:r>
              <w:rPr>
                <w:rFonts w:ascii="宋体" w:hAnsi="宋体" w:eastAsia="宋体"/>
                <w:sz w:val="21"/>
              </w:rPr>
              <w:t>。据国家统计局数据，截至2025年末，我国60周岁及以上老年人口达3.23亿人，占总人口的23.0%，预计2035年将突破4亿，进入重度老龄化阶段。慢性病已成为居民头号死因，据国家卫健委、中国疾控中心数据，慢性病死亡人数占居民总死亡的88.5%；我国慢病患者已超过4亿人，其中60岁及以上老年人75.8%至少患有一种慢性病，人均患慢性病3.5种，多病共存比例达43.6%（国家卫健委、全国老龄办《2025年度国家老龄事业发展公报》等）。高血压、糖尿病、心脑血管疾病等慢性病大多需要长期甚至终身规律用药，“一人多病、一病多药”成为老年人群的常态：约70%—75%的老年人需每日服药，多重用药（同时服用5种及以上药物）比例超过40%。</w:t>
            </w:r>
          </w:p>
          <w:p w14:paraId="669BFF49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（2）老年人用药依从性差、漏服错服问题突出，是慢病管理中最难解决的“最后一公里”。</w:t>
            </w:r>
          </w:p>
          <w:p w14:paraId="1DB529F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多重用药与依从性差</w:t>
            </w:r>
            <w:commentRangeStart w:id="5"/>
            <w:r>
              <w:rPr>
                <w:rFonts w:ascii="宋体" w:hAnsi="宋体" w:eastAsia="宋体"/>
                <w:sz w:val="21"/>
              </w:rPr>
              <w:t>相互叠加</w:t>
            </w:r>
            <w:commentRangeEnd w:id="5"/>
            <w:r>
              <w:commentReference w:id="5"/>
            </w:r>
            <w:r>
              <w:rPr>
                <w:rFonts w:ascii="宋体" w:hAnsi="宋体" w:eastAsia="宋体"/>
                <w:sz w:val="21"/>
              </w:rPr>
              <w:t>，使“漏药、错药”成为老年用药安全的核心痛点：</w:t>
            </w:r>
          </w:p>
          <w:p w14:paraId="63D47F1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一项纳入19篇文献、总样本量13万余例的Meta分析显示，我国老年人多重用药的服药依从率仅为41%（《中国全科医学》2023年）；</w:t>
            </w:r>
          </w:p>
          <w:p w14:paraId="54E73AA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中国老龄协会中老年安全用药调研显示，84%的受访者每天需靠闹铃、他人提醒等方式用药，但仍有79%的受访者曾忘记服药或漏用、多用；</w:t>
            </w:r>
          </w:p>
          <w:p w14:paraId="492DD65C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针对社区老年人的调查显示，42%的老年人存在漏服、误服药物的情况，23%曾自行调整剂量（全国政协委员孙蓉援引数据）；</w:t>
            </w:r>
          </w:p>
          <w:p w14:paraId="34C691C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解放军总医院调查显示，在家服药者平均服药6—8种，65.04%的老年人有漏服、少服或多服药现象；</w:t>
            </w:r>
          </w:p>
          <w:p w14:paraId="1D860652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老年慢病患者从医院出院回家的过渡期，服药偏差发生率高达60.61%，其中最主要的问题是漏服药物；</w:t>
            </w:r>
          </w:p>
          <w:p w14:paraId="37D492F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完全了解自己所服药品名称、功能主治和用法用量的老年人仅占25.97%，老年人合理用药素养仅14.2%。</w:t>
            </w:r>
          </w:p>
          <w:p w14:paraId="2677534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漏服、错服不仅直接削弱治疗效果，还会引发病情反复、急性加重甚至药物中毒，显著增加住院与死亡风险。国家药品不良反应监测数据显示，65岁以上老年人药品不良反应报告占比达</w:t>
            </w:r>
            <w:commentRangeStart w:id="6"/>
            <w:r>
              <w:rPr>
                <w:rFonts w:ascii="宋体" w:hAnsi="宋体" w:eastAsia="宋体"/>
                <w:sz w:val="21"/>
              </w:rPr>
              <w:t>34.5%</w:t>
            </w:r>
            <w:commentRangeEnd w:id="6"/>
            <w:r>
              <w:commentReference w:id="6"/>
            </w:r>
            <w:r>
              <w:rPr>
                <w:rFonts w:ascii="宋体" w:hAnsi="宋体" w:eastAsia="宋体"/>
                <w:sz w:val="21"/>
              </w:rPr>
              <w:t>，其中因多药联用导致的不良反应占比超过60%；研究显示同时服用5种药物时</w:t>
            </w:r>
            <w:commentRangeStart w:id="7"/>
            <w:r>
              <w:rPr>
                <w:rFonts w:ascii="宋体" w:hAnsi="宋体" w:eastAsia="宋体"/>
                <w:sz w:val="21"/>
              </w:rPr>
              <w:t>不良反应发生率为13%</w:t>
            </w:r>
            <w:commentRangeEnd w:id="7"/>
            <w:r>
              <w:commentReference w:id="7"/>
            </w:r>
            <w:r>
              <w:rPr>
                <w:rFonts w:ascii="宋体" w:hAnsi="宋体" w:eastAsia="宋体"/>
                <w:sz w:val="21"/>
              </w:rPr>
              <w:t>，服用8种及以上时骤升至82%。</w:t>
            </w:r>
          </w:p>
          <w:p w14:paraId="0E123EEA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（3）现有工具难以满足老年群体真实需求。</w:t>
            </w:r>
          </w:p>
          <w:p w14:paraId="51E7438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目前市面上的用药提醒工具多为简单闹钟式提醒，存在单向机械、无法交互、不具医学知识支撑、适老化不足等问题；而专业用药管理App操作复杂，老年群体使用门槛高。大语言模型智能体技术为“有温度、有知识、可对话”的用药辅助工具提供了新的可能，但直接使用通用大模型又存在医药信息输出不可靠、可能产生幻觉误导等安全隐患。</w:t>
            </w:r>
          </w:p>
          <w:p w14:paraId="1968871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（4）政策导向明确支持智慧养老与老年健康管理创新。</w:t>
            </w:r>
          </w:p>
          <w:p w14:paraId="2C3966EC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《“健康中国2030”规划纲要》、国家积极应对人口老龄化战略、医康养一体化等政策持续加码，鼓励以“居家为基础、社区为依托、机构为补充、医养相结合”的模式发展智慧养老服务，AI+医疗健康正是国家重点鼓励的创新创业方向。</w:t>
            </w:r>
          </w:p>
          <w:p w14:paraId="739D618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1.2 研究目的</w:t>
            </w:r>
          </w:p>
          <w:p w14:paraId="69FB25F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本项目拟面向社区养老机构和居家养老场景，开发一款“AI风险筛查与提醒、用药管理与人文关怀”三位一体的老年人慢病用药辅助智能体（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康伴</w:t>
            </w:r>
            <w:r>
              <w:rPr>
                <w:rFonts w:ascii="宋体" w:hAnsi="宋体" w:eastAsia="宋体"/>
                <w:sz w:val="21"/>
              </w:rPr>
              <w:t>系统），旨在：</w:t>
            </w:r>
          </w:p>
          <w:p w14:paraId="3A4768B5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通过多策略智能提醒（定时弹窗、语音渐进催提醒、漏服提示条、微信推送+一键确认）</w:t>
            </w:r>
            <w:commentRangeStart w:id="8"/>
            <w:r>
              <w:rPr>
                <w:rFonts w:ascii="宋体" w:hAnsi="宋体" w:eastAsia="宋体"/>
                <w:b w:val="0"/>
                <w:sz w:val="21"/>
              </w:rPr>
              <w:t>切实减少漏服</w:t>
            </w:r>
            <w:commentRangeEnd w:id="8"/>
            <w:r>
              <w:commentReference w:id="8"/>
            </w:r>
            <w:r>
              <w:rPr>
                <w:rFonts w:ascii="宋体" w:hAnsi="宋体" w:eastAsia="宋体"/>
                <w:b w:val="0"/>
                <w:sz w:val="21"/>
              </w:rPr>
              <w:t>、错服、重复用药，提升用药依从性；</w:t>
            </w:r>
          </w:p>
          <w:p w14:paraId="5A33761C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依托1494条药物手册知识库（含食物/草药相互作用）与多层输出约束机制，提供可靠、可溯源的用药知识问答，弥补通用大模型在医药场景的安全短板；</w:t>
            </w:r>
          </w:p>
          <w:p w14:paraId="6FA0DD67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构建"老人模式/家属模式"双端与社区治理看板，形成"老人自用—家属监督—社区管理"三级协同闭环，并融入每日不良反应自查、关怀任务、周期小结等人文设计；</w:t>
            </w:r>
          </w:p>
          <w:p w14:paraId="44F30371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通过社区问卷调研、访谈与试点使用，验证产品可行性与社会价值，形成可复制推广的适老化智慧用药管理方案，探索可持续运营模式。</w:t>
            </w:r>
          </w:p>
          <w:p w14:paraId="36F46ED0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1.3 研究意义</w:t>
            </w:r>
          </w:p>
          <w:p w14:paraId="1E2E6F13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现实意义：直击"老人漏药"高频高风险痛点，以零安装网页系统降低使用门槛，语音交互让"不会打字、看不清字"的老人也能独立使用；漏服自动推送家属微信并可一键确认，缓解子女照护焦虑，减轻家庭与社区照护负担。</w:t>
            </w:r>
          </w:p>
          <w:p w14:paraId="734DE03D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学术意义：探索大语言模型智能体在老年慢病用药管理垂直场景的应用范式，研究"提示词约束+知识库检索增强+规则引擎兜底+人文关怀"四位一体的医药场景智能体安全机制，并积累真实用户行为数据用于依从性研究。</w:t>
            </w:r>
          </w:p>
          <w:p w14:paraId="1DD32BE7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社会意义：契合积极应对人口老龄化国家战略与"互联网+医疗健康"方向，服务社区养老与居家养老的普惠健康需求，推广成本低（免安装、免下载、微信即达），具有良好的推广应用前景。</w:t>
            </w:r>
          </w:p>
          <w:p w14:paraId="6ADF7333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二、项目创新性</w:t>
            </w:r>
          </w:p>
          <w:p w14:paraId="09C2BF10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四位一体约束型垂直智能体：提示词约束层+1494条药物手册知识库检索增强（RAG）+业务规则过滤层（相互作用规则库/</w:t>
            </w:r>
            <w:commentRangeStart w:id="9"/>
            <w:r>
              <w:rPr>
                <w:rFonts w:ascii="宋体" w:hAnsi="宋体" w:eastAsia="宋体"/>
                <w:b w:val="0"/>
                <w:sz w:val="21"/>
              </w:rPr>
              <w:t>Beers老年慎用标准</w:t>
            </w:r>
            <w:commentRangeEnd w:id="9"/>
            <w:r>
              <w:commentReference w:id="9"/>
            </w:r>
            <w:r>
              <w:rPr>
                <w:rFonts w:ascii="宋体" w:hAnsi="宋体" w:eastAsia="宋体"/>
                <w:b w:val="0"/>
                <w:sz w:val="21"/>
              </w:rPr>
              <w:t>）+人文关怀对话模块，大模型失效时自动回退本地规则引擎，多层管控降低幻觉风险，保证用药建议可靠、可溯源。</w:t>
            </w:r>
          </w:p>
          <w:p w14:paraId="2B57B105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全链路语音交互与方言识别：语音输入采用"本地Whisper+云端千问ASR"双引擎，可识别方言口音与老人口语化表达（经同义词归一化）；语音播报采用千问TTS温柔女声，慢速分句朗读，回答仅用普通话，形成"听得懂乡音、说得出白话"的适老对话体验。</w:t>
            </w:r>
          </w:p>
          <w:p w14:paraId="6B77A0FE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微信生态漏服监督闭环：系统每5分钟云端巡检全部账号，老人到点未打卡即向家属微信/邮箱/短信推送提醒，消息内置签名"一键确认已服用"链接（免登录、当日有效、防伪造），点按即完成补打卡并停止重复催提醒——把监督做进老人和家属每天都在用的微信里。</w:t>
            </w:r>
          </w:p>
          <w:p w14:paraId="606B4CDB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"筛查—提醒—管理—关怀—守护"业务闭环：风险筛查（相互作用+重复用药+多重用药）、智能提醒（三级渐进）、用药管理（库存扣减、疗程日期、药盒照片图文同步、拍照识别导入）、每日不良反应自查、家属守护与社区治理看板，全板块数据实时联动。</w:t>
            </w:r>
          </w:p>
          <w:p w14:paraId="727FE7C9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5. 极致适老化双模式：首页并列"老人模式/家属模式"入口；老人模式大字体大按钮、今日用药计划一键打卡、图标随性别自动匹配（爷爷/奶奶）、⚡快捷跳转球、逐级返回键、防误触不退站；家属模式聚焦漏服红字预警与监督数据。</w:t>
            </w:r>
          </w:p>
          <w:p w14:paraId="0DA29000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6. 轻量B/S+Serverless架构、零安装：GitHub Pages静态托管+阿里云函数计算+OSS存储+定时巡检，无服务器运维成本，手机/平板/电脑/微信内浏览器均可访问，适合社区快速推广；已完成两轮全量安全审计（修复暴力破解、SSRF、注入、越权等15类缺陷），具备工程级安全基线。</w:t>
            </w:r>
          </w:p>
          <w:p w14:paraId="54151E28">
            <w:r>
              <w:br w:type="page"/>
            </w:r>
          </w:p>
          <w:p w14:paraId="0367AE4D">
            <w:pPr>
              <w:spacing w:line="440" w:lineRule="exact"/>
            </w:pPr>
          </w:p>
        </w:tc>
      </w:tr>
      <w:tr w14:paraId="6D62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12710" w:hRule="atLeast"/>
          <w:jc w:val="center"/>
        </w:trPr>
        <w:tc>
          <w:tcPr>
            <w:tcW w:w="932" w:type="dxa"/>
            <w:noWrap w:val="0"/>
            <w:vAlign w:val="center"/>
          </w:tcPr>
          <w:p w14:paraId="58B29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项目研究内容</w:t>
            </w:r>
          </w:p>
          <w:p w14:paraId="764B7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和拟解决的关键问题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7F0DF8B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3.1 研究内容</w:t>
            </w:r>
          </w:p>
          <w:p w14:paraId="13083104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1）老年慢病用药需求调研。采用问卷与半结构化访谈，面向社区老年人、家属与社区养老机构工作人员三类对象开展调研（样本分布见表1），调研用药现状、漏服错服原因、现有工具使用情况、对智能提醒与人文关怀功能的需求，形成需求分析报告，并据此确定功能边界、授权机制与系统功能优先级。</w:t>
            </w:r>
          </w:p>
          <w:p w14:paraId="10634CFE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表1 调研样本对象预期分布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69"/>
              <w:gridCol w:w="1769"/>
              <w:gridCol w:w="1769"/>
              <w:gridCol w:w="1769"/>
              <w:gridCol w:w="1769"/>
            </w:tblGrid>
            <w:tr w14:paraId="338C4F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1D3E6FAF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调研对象</w:t>
                  </w:r>
                </w:p>
              </w:tc>
              <w:tc>
                <w:tcPr>
                  <w:tcW w:w="1769" w:type="dxa"/>
                </w:tcPr>
                <w:p w14:paraId="1CD235A5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预期样本数量</w:t>
                  </w:r>
                </w:p>
              </w:tc>
              <w:tc>
                <w:tcPr>
                  <w:tcW w:w="1769" w:type="dxa"/>
                </w:tcPr>
                <w:p w14:paraId="0A4E2B8B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调研方式</w:t>
                  </w:r>
                </w:p>
              </w:tc>
              <w:tc>
                <w:tcPr>
                  <w:tcW w:w="1769" w:type="dxa"/>
                </w:tcPr>
                <w:p w14:paraId="38304EA6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调研重点内容</w:t>
                  </w:r>
                </w:p>
              </w:tc>
              <w:tc>
                <w:tcPr>
                  <w:tcW w:w="1769" w:type="dxa"/>
                </w:tcPr>
                <w:p w14:paraId="125876B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对应需求输出</w:t>
                  </w:r>
                </w:p>
              </w:tc>
            </w:tr>
            <w:tr w14:paraId="398AD3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2BACDEF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社区居家慢病老年人</w:t>
                  </w:r>
                </w:p>
              </w:tc>
              <w:tc>
                <w:tcPr>
                  <w:tcW w:w="1769" w:type="dxa"/>
                </w:tcPr>
                <w:p w14:paraId="7A61D56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80—100份（有效问卷回收率目标≥80%）</w:t>
                  </w:r>
                </w:p>
              </w:tc>
              <w:tc>
                <w:tcPr>
                  <w:tcW w:w="1769" w:type="dxa"/>
                </w:tcPr>
                <w:p w14:paraId="64F8A4D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问卷（线上+线下纸质）+部分半结构化访谈</w:t>
                  </w:r>
                </w:p>
              </w:tc>
              <w:tc>
                <w:tcPr>
                  <w:tcW w:w="1769" w:type="dxa"/>
                </w:tcPr>
                <w:p w14:paraId="6B7BFBE0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多重用药情况、服药差错经历、手机使用能力、情感陪伴诉求、对网页工具接受度</w:t>
                  </w:r>
                </w:p>
              </w:tc>
              <w:tc>
                <w:tcPr>
                  <w:tcW w:w="1769" w:type="dxa"/>
                </w:tcPr>
                <w:p w14:paraId="7A62866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确定功能边界与适老化交互方案</w:t>
                  </w:r>
                </w:p>
              </w:tc>
            </w:tr>
            <w:tr w14:paraId="4E805D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6FBF711C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老年人家属</w:t>
                  </w:r>
                </w:p>
              </w:tc>
              <w:tc>
                <w:tcPr>
                  <w:tcW w:w="1769" w:type="dxa"/>
                </w:tcPr>
                <w:p w14:paraId="39105B6B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30—40份</w:t>
                  </w:r>
                </w:p>
              </w:tc>
              <w:tc>
                <w:tcPr>
                  <w:tcW w:w="1769" w:type="dxa"/>
                </w:tcPr>
                <w:p w14:paraId="6D49B14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问卷+访谈</w:t>
                  </w:r>
                </w:p>
              </w:tc>
              <w:tc>
                <w:tcPr>
                  <w:tcW w:w="1769" w:type="dxa"/>
                </w:tcPr>
                <w:p w14:paraId="79E2F39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家属监护诉求、对用药异常推送的接受程度、隐私顾虑</w:t>
                  </w:r>
                </w:p>
              </w:tc>
              <w:tc>
                <w:tcPr>
                  <w:tcW w:w="1769" w:type="dxa"/>
                </w:tcPr>
                <w:p w14:paraId="163D120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确定家属端授权与消息推送机制</w:t>
                  </w:r>
                </w:p>
              </w:tc>
            </w:tr>
            <w:tr w14:paraId="450D15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4672363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社区养老/社康照护工作人员</w:t>
                  </w:r>
                </w:p>
              </w:tc>
              <w:tc>
                <w:tcPr>
                  <w:tcW w:w="1769" w:type="dxa"/>
                </w:tcPr>
                <w:p w14:paraId="00C4162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8—12人</w:t>
                  </w:r>
                </w:p>
              </w:tc>
              <w:tc>
                <w:tcPr>
                  <w:tcW w:w="1769" w:type="dxa"/>
                </w:tcPr>
                <w:p w14:paraId="670FAEC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深度访谈</w:t>
                  </w:r>
                </w:p>
              </w:tc>
              <w:tc>
                <w:tcPr>
                  <w:tcW w:w="1769" w:type="dxa"/>
                </w:tcPr>
                <w:p w14:paraId="744C298F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一线老年照护痛点、现有工具短板、</w:t>
                  </w:r>
                  <w:r>
                    <w:rPr>
                      <w:rFonts w:ascii="宋体" w:hAnsi="宋体" w:eastAsia="宋体"/>
                    </w:rPr>
                    <w:t>管理需求</w:t>
                  </w:r>
                </w:p>
              </w:tc>
              <w:tc>
                <w:tcPr>
                  <w:tcW w:w="1769" w:type="dxa"/>
                </w:tcPr>
                <w:p w14:paraId="5C99D49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确定系统功能优先级与试点方案</w:t>
                  </w:r>
                </w:p>
              </w:tc>
            </w:tr>
            <w:tr w14:paraId="712ABA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3CD6073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合计</w:t>
                  </w:r>
                </w:p>
              </w:tc>
              <w:tc>
                <w:tcPr>
                  <w:tcW w:w="1769" w:type="dxa"/>
                </w:tcPr>
                <w:p w14:paraId="3CAA11FF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有效问卷110—140份，深度访谈20—30人次</w:t>
                  </w:r>
                </w:p>
              </w:tc>
              <w:tc>
                <w:tcPr>
                  <w:tcW w:w="1769" w:type="dxa"/>
                </w:tcPr>
                <w:p w14:paraId="7A776BA9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  <w:tc>
                <w:tcPr>
                  <w:tcW w:w="1769" w:type="dxa"/>
                </w:tcPr>
                <w:p w14:paraId="0C826F03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  <w:tc>
                <w:tcPr>
                  <w:tcW w:w="1769" w:type="dxa"/>
                </w:tcPr>
                <w:p w14:paraId="0B471021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</w:tr>
          </w:tbl>
          <w:p w14:paraId="0B4A53ED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sz w:val="21"/>
              </w:rPr>
              <w:t>（2）</w:t>
            </w:r>
            <w:r>
              <w:rPr>
                <w:rFonts w:ascii="宋体" w:hAnsi="宋体" w:eastAsia="宋体"/>
                <w:b w:val="0"/>
                <w:sz w:val="21"/>
              </w:rPr>
              <w:t>智能体</w:t>
            </w:r>
            <w:commentRangeStart w:id="10"/>
            <w:r>
              <w:rPr>
                <w:rFonts w:ascii="宋体" w:hAnsi="宋体" w:eastAsia="宋体"/>
                <w:b w:val="0"/>
                <w:sz w:val="21"/>
              </w:rPr>
              <w:t>安全与人文体系设计</w:t>
            </w:r>
            <w:commentRangeEnd w:id="10"/>
            <w:r>
              <w:commentReference w:id="10"/>
            </w:r>
            <w:r>
              <w:rPr>
                <w:rFonts w:ascii="宋体" w:hAnsi="宋体" w:eastAsia="宋体"/>
                <w:b w:val="0"/>
                <w:sz w:val="21"/>
              </w:rPr>
              <w:t>。构建"提示词约束+知识库RAG+规则过滤+人文关怀"四层架构；制定医药输出约束规则清单</w:t>
            </w:r>
            <w:r>
              <w:rPr>
                <w:rFonts w:ascii="宋体" w:hAnsi="宋体" w:eastAsia="宋体"/>
                <w:sz w:val="21"/>
              </w:rPr>
              <w:t>（见表2），药品信息与权威来源一致、涉及诊疗建议时提示就医、不承诺疗效、敏感内容转人工；</w:t>
            </w:r>
            <w:r>
              <w:rPr>
                <w:rFonts w:ascii="宋体" w:hAnsi="宋体" w:eastAsia="宋体"/>
                <w:b w:val="0"/>
                <w:sz w:val="21"/>
              </w:rPr>
              <w:t>建成含1494种药品、覆盖适应症/用法/禁忌/不良反应/配伍禁忌/食物草药相互作用的中文药物手册知识库，支持检索增强与离线兜底答疑</w:t>
            </w:r>
            <w:r>
              <w:rPr>
                <w:rFonts w:ascii="宋体" w:hAnsi="宋体" w:eastAsia="宋体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sz w:val="21"/>
              </w:rPr>
              <w:t>建立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人文</w:t>
            </w:r>
            <w:r>
              <w:rPr>
                <w:rFonts w:ascii="宋体" w:hAnsi="宋体" w:eastAsia="宋体"/>
                <w:b w:val="0"/>
                <w:sz w:val="21"/>
              </w:rPr>
              <w:t>关怀对话策略（称呼随性别自适应"X伯伯/X阿姨"、耐心倾听、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关怀提醒、</w:t>
            </w:r>
            <w:r>
              <w:rPr>
                <w:rFonts w:ascii="宋体" w:hAnsi="宋体" w:eastAsia="宋体"/>
                <w:b w:val="0"/>
                <w:sz w:val="21"/>
              </w:rPr>
              <w:t>鼓励式反馈、情绪支持）。</w:t>
            </w:r>
          </w:p>
          <w:p w14:paraId="5525D21D">
            <w:pPr>
              <w:spacing w:line="440" w:lineRule="exact"/>
            </w:pPr>
          </w:p>
          <w:p w14:paraId="2E2D2007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表2 智能体输出约束规则清单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11"/>
              <w:gridCol w:w="2211"/>
              <w:gridCol w:w="2211"/>
              <w:gridCol w:w="2211"/>
            </w:tblGrid>
            <w:tr w14:paraId="29A438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7427F0D3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类别</w:t>
                  </w:r>
                </w:p>
              </w:tc>
              <w:tc>
                <w:tcPr>
                  <w:tcW w:w="2211" w:type="dxa"/>
                </w:tcPr>
                <w:p w14:paraId="5C235C1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允许输出内容</w:t>
                  </w:r>
                </w:p>
              </w:tc>
              <w:tc>
                <w:tcPr>
                  <w:tcW w:w="2211" w:type="dxa"/>
                </w:tcPr>
                <w:p w14:paraId="60B29458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严格拦截/禁止输出内容</w:t>
                  </w:r>
                </w:p>
              </w:tc>
              <w:tc>
                <w:tcPr>
                  <w:tcW w:w="2211" w:type="dxa"/>
                </w:tcPr>
                <w:p w14:paraId="6D03A22C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示例话术</w:t>
                  </w:r>
                </w:p>
              </w:tc>
            </w:tr>
            <w:tr w14:paraId="55B2FB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5F6BDA12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用药相关</w:t>
                  </w:r>
                </w:p>
              </w:tc>
              <w:tc>
                <w:tcPr>
                  <w:tcW w:w="2211" w:type="dxa"/>
                </w:tcPr>
                <w:p w14:paraId="31714528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用药提醒、服药鼓励、医嘱通俗转述、用药风险科普提示（标注仅供参考）</w:t>
                  </w:r>
                </w:p>
              </w:tc>
              <w:tc>
                <w:tcPr>
                  <w:tcW w:w="2211" w:type="dxa"/>
                </w:tcPr>
                <w:p w14:paraId="484EB55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疾病诊断、判断病情、开具药品处方、建议增减/停用药物、替代医师药师给出治疗方案</w:t>
                  </w:r>
                </w:p>
              </w:tc>
              <w:tc>
                <w:tcPr>
                  <w:tcW w:w="2211" w:type="dxa"/>
                </w:tcPr>
                <w:p w14:paraId="2026A50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用户“我记不清这药怎么吃了”→“请以医生/药师医嘱为准，我可以帮您整理服药时间提醒”</w:t>
                  </w:r>
                </w:p>
              </w:tc>
            </w:tr>
            <w:tr w14:paraId="75DEF3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4250C72B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对话人文关怀</w:t>
                  </w:r>
                </w:p>
              </w:tc>
              <w:tc>
                <w:tcPr>
                  <w:tcW w:w="2211" w:type="dxa"/>
                </w:tcPr>
                <w:p w14:paraId="6984861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用药鼓励、简单情绪安抚、与老年健康/用药相关的生活宽慰闲聊</w:t>
                  </w:r>
                </w:p>
              </w:tc>
              <w:tc>
                <w:tcPr>
                  <w:tcW w:w="2211" w:type="dxa"/>
                </w:tcPr>
                <w:p w14:paraId="73ED979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心理咨询诊疗、疾病预后判断、迷信引导、脱离用药主题的长时间无意义闲聊</w:t>
                  </w:r>
                </w:p>
              </w:tc>
              <w:tc>
                <w:tcPr>
                  <w:tcW w:w="2211" w:type="dxa"/>
                </w:tcPr>
                <w:p w14:paraId="5B7CA500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用户“我天天吃药好烦”→“坚持服药很不容易，您做得很好；需要我陪您聊聊吗”</w:t>
                  </w:r>
                </w:p>
              </w:tc>
            </w:tr>
            <w:tr w14:paraId="4862D4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52C7882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隐私数据输出</w:t>
                  </w:r>
                </w:p>
              </w:tc>
              <w:tc>
                <w:tcPr>
                  <w:tcW w:w="2211" w:type="dxa"/>
                </w:tcPr>
                <w:p w14:paraId="334096A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仅向本人及经授权的家属展示脱敏后的用药记录</w:t>
                  </w:r>
                </w:p>
              </w:tc>
              <w:tc>
                <w:tcPr>
                  <w:tcW w:w="2211" w:type="dxa"/>
                </w:tcPr>
                <w:p w14:paraId="1C25460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向非授权第三方输出老人完整姓名、身份证号、完整病历、全部原始用药隐私数据</w:t>
                  </w:r>
                </w:p>
              </w:tc>
              <w:tc>
                <w:tcPr>
                  <w:tcW w:w="2211" w:type="dxa"/>
                </w:tcPr>
                <w:p w14:paraId="6F3B093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非授权请求一律拒绝并提示“只有您授权的家人才可以查看”</w:t>
                  </w:r>
                </w:p>
              </w:tc>
            </w:tr>
            <w:tr w14:paraId="42A78C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122135E8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其他输出</w:t>
                  </w:r>
                </w:p>
              </w:tc>
              <w:tc>
                <w:tcPr>
                  <w:tcW w:w="2211" w:type="dxa"/>
                </w:tcPr>
                <w:p w14:paraId="46B47B49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拒答话术模板、转人工/就医提示</w:t>
                  </w:r>
                </w:p>
              </w:tc>
              <w:tc>
                <w:tcPr>
                  <w:tcW w:w="2211" w:type="dxa"/>
                </w:tcPr>
                <w:p w14:paraId="2B0184FF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编造数据、承诺疗效、提供无依据的偏方</w:t>
                  </w:r>
                </w:p>
              </w:tc>
              <w:tc>
                <w:tcPr>
                  <w:tcW w:w="2211" w:type="dxa"/>
                </w:tcPr>
                <w:p w14:paraId="5C57FD9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不确定时→“这个问题超出我的能力范围，建议您咨询医生或药师”</w:t>
                  </w:r>
                </w:p>
              </w:tc>
            </w:tr>
          </w:tbl>
          <w:p w14:paraId="1C4F5A6F">
            <w:pPr>
              <w:numPr>
                <w:ilvl w:val="0"/>
                <w:numId w:val="1"/>
              </w:numPr>
              <w:spacing w:line="440" w:lineRule="exact"/>
              <w:rPr>
                <w:rFonts w:ascii="宋体" w:hAnsi="宋体" w:eastAsia="宋体"/>
                <w:b w:val="0"/>
                <w:sz w:val="21"/>
              </w:rPr>
            </w:pPr>
            <w:commentRangeStart w:id="11"/>
            <w:r>
              <w:rPr>
                <w:rFonts w:ascii="宋体" w:hAnsi="宋体" w:eastAsia="宋体"/>
                <w:b w:val="0"/>
                <w:sz w:val="21"/>
              </w:rPr>
              <w:t>适老化网页系统开发</w:t>
            </w:r>
            <w:commentRangeEnd w:id="11"/>
            <w:r>
              <w:commentReference w:id="11"/>
            </w:r>
            <w:r>
              <w:rPr>
                <w:rFonts w:ascii="宋体" w:hAnsi="宋体" w:eastAsia="宋体"/>
                <w:b w:val="0"/>
                <w:sz w:val="21"/>
              </w:rPr>
              <w:t>与已实现功能</w:t>
            </w:r>
            <w:r>
              <w:rPr>
                <w:rFonts w:ascii="宋体" w:hAnsi="宋体" w:eastAsia="宋体"/>
                <w:sz w:val="21"/>
              </w:rPr>
              <w:t>。基于已上线的智能体原型（https://xinwo-yuhaojie.github.io/med-assist-demo/ ）迭代开发，</w:t>
            </w:r>
            <w:r>
              <w:rPr>
                <w:rFonts w:ascii="宋体" w:hAnsi="宋体" w:eastAsia="宋体"/>
                <w:b w:val="0"/>
                <w:sz w:val="21"/>
              </w:rPr>
              <w:t>当前已实现四大板块</w:t>
            </w:r>
            <w:commentRangeStart w:id="12"/>
            <w:r>
              <w:rPr>
                <w:rFonts w:ascii="宋体" w:hAnsi="宋体" w:eastAsia="宋体"/>
                <w:b w:val="0"/>
                <w:sz w:val="21"/>
              </w:rPr>
              <w:t>30余项功能（表3）</w:t>
            </w:r>
            <w:commentRangeEnd w:id="12"/>
            <w:r>
              <w:commentReference w:id="12"/>
            </w:r>
            <w:r>
              <w:rPr>
                <w:rFonts w:ascii="宋体" w:hAnsi="宋体" w:eastAsia="宋体"/>
                <w:b w:val="0"/>
                <w:sz w:val="21"/>
              </w:rPr>
              <w:t>，全部在线可用。</w:t>
            </w:r>
          </w:p>
          <w:p w14:paraId="594D79B8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18"/>
              <w:gridCol w:w="2763"/>
              <w:gridCol w:w="2718"/>
            </w:tblGrid>
            <w:tr w14:paraId="752887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5" w:hRule="atLeast"/>
              </w:trPr>
              <w:tc>
                <w:tcPr>
                  <w:tcW w:w="2718" w:type="dxa"/>
                </w:tcPr>
                <w:p w14:paraId="29D2BAD9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板块</w:t>
                  </w:r>
                </w:p>
              </w:tc>
              <w:tc>
                <w:tcPr>
                  <w:tcW w:w="2763" w:type="dxa"/>
                </w:tcPr>
                <w:p w14:paraId="13FCC22F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核心功能</w:t>
                  </w:r>
                </w:p>
              </w:tc>
              <w:tc>
                <w:tcPr>
                  <w:tcW w:w="2718" w:type="dxa"/>
                </w:tcPr>
                <w:p w14:paraId="708D2AFA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状态</w:t>
                  </w:r>
                </w:p>
              </w:tc>
            </w:tr>
            <w:tr w14:paraId="315E9D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73" w:hRule="atLeast"/>
              </w:trPr>
              <w:tc>
                <w:tcPr>
                  <w:tcW w:w="2718" w:type="dxa"/>
                </w:tcPr>
                <w:p w14:paraId="2ACF1345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老人端</w:t>
                  </w:r>
                </w:p>
              </w:tc>
              <w:tc>
                <w:tcPr>
                  <w:tcW w:w="2763" w:type="dxa"/>
                </w:tcPr>
                <w:p w14:paraId="330D30C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老人模式（大字体大按钮、今日用药计划一键打卡、图标随性别自适应）、语音对话（方言识别+千问语音播报）、智能助手多轮对话（真实大模型+规则引擎兜底）、用药管理（拍照/语音/文字导入药品、每次用量与疗程日期、库存按次扣减、补满提醒）、服药打卡与漏服三级渐进提醒、每日不良反应自查、血压血糖记录与趋势解读、风险筛查与新药冲突自查、余药告急红字预警、SOS紧急求助、⚡快捷跳转、逐级返回、字号/主题调节、关怀任务与本周小结</w:t>
                  </w:r>
                </w:p>
              </w:tc>
              <w:tc>
                <w:tcPr>
                  <w:tcW w:w="2718" w:type="dxa"/>
                </w:tcPr>
                <w:p w14:paraId="6DEB1B4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09BD49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85" w:hRule="atLeast"/>
              </w:trPr>
              <w:tc>
                <w:tcPr>
                  <w:tcW w:w="2718" w:type="dxa"/>
                </w:tcPr>
                <w:p w14:paraId="0196077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家属端</w:t>
                  </w:r>
                </w:p>
              </w:tc>
              <w:tc>
                <w:tcPr>
                  <w:tcW w:w="2763" w:type="dxa"/>
                </w:tcPr>
                <w:p w14:paraId="539960BA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家属模式监督概览（漏服/依从率/余药/不适反馈红字标注）、家属远程代录代打卡、紧急联系人管理、漏服自动推送微信/邮箱/短信、推送内一键确认补打卡、周报一键发送</w:t>
                  </w:r>
                </w:p>
              </w:tc>
              <w:tc>
                <w:tcPr>
                  <w:tcW w:w="2718" w:type="dxa"/>
                </w:tcPr>
                <w:p w14:paraId="448CDFA1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596FA2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3" w:hRule="atLeast"/>
              </w:trPr>
              <w:tc>
                <w:tcPr>
                  <w:tcW w:w="2718" w:type="dxa"/>
                </w:tcPr>
                <w:p w14:paraId="060C6893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智能体</w:t>
                  </w:r>
                </w:p>
              </w:tc>
              <w:tc>
                <w:tcPr>
                  <w:tcW w:w="2763" w:type="dxa"/>
                </w:tcPr>
                <w:p w14:paraId="54732B2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通义千问大模型接入（含视觉识别药盒）、1494条药物手册RAG检索增强、相互作用规则库双向冲突扫描与警告弹窗、输出约束与回退机制</w:t>
                  </w:r>
                </w:p>
              </w:tc>
              <w:tc>
                <w:tcPr>
                  <w:tcW w:w="2718" w:type="dxa"/>
                </w:tcPr>
                <w:p w14:paraId="241860B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6E9ECB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3" w:hRule="atLeast"/>
              </w:trPr>
              <w:tc>
                <w:tcPr>
                  <w:tcW w:w="2718" w:type="dxa"/>
                </w:tcPr>
                <w:p w14:paraId="6D8B6B6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社区端</w:t>
                  </w:r>
                </w:p>
              </w:tc>
              <w:tc>
                <w:tcPr>
                  <w:tcW w:w="2763" w:type="dxa"/>
                </w:tcPr>
                <w:p w14:paraId="5C1C94F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社区治理看板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管理者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eastAsia="zh-CN"/>
                    </w:rPr>
                    <w:t>）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（服务端密码校验+全站统计：依从率/漏服/余药/不良反应/渠道开通，内嵌浮层零跳转）、每5分钟云端漏服巡检</w:t>
                  </w:r>
                </w:p>
              </w:tc>
              <w:tc>
                <w:tcPr>
                  <w:tcW w:w="2718" w:type="dxa"/>
                </w:tcPr>
                <w:p w14:paraId="48E71FD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7080EB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21" w:hRule="atLeast"/>
              </w:trPr>
              <w:tc>
                <w:tcPr>
                  <w:tcW w:w="2718" w:type="dxa"/>
                </w:tcPr>
                <w:p w14:paraId="44B0352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账号与数据</w:t>
                  </w:r>
                </w:p>
              </w:tc>
              <w:tc>
                <w:tcPr>
                  <w:tcW w:w="2763" w:type="dxa"/>
                </w:tcPr>
                <w:p w14:paraId="3375E2E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云端账号体系（密码scrypt加盐存储、多设备找回、换机不丢数据）、全板块数据实时联动、离线缓存</w:t>
                  </w:r>
                </w:p>
              </w:tc>
              <w:tc>
                <w:tcPr>
                  <w:tcW w:w="2718" w:type="dxa"/>
                </w:tcPr>
                <w:p w14:paraId="35FCE9E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700BEA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0" w:hRule="atLeast"/>
              </w:trPr>
              <w:tc>
                <w:tcPr>
                  <w:tcW w:w="2718" w:type="dxa"/>
                </w:tcPr>
                <w:p w14:paraId="32E9A7E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安全工程</w:t>
                  </w:r>
                </w:p>
              </w:tc>
              <w:tc>
                <w:tcPr>
                  <w:tcW w:w="2763" w:type="dxa"/>
                </w:tcPr>
                <w:p w14:paraId="5407B59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两轮全量安全审计：登录/注册/找回密码限流防暴力、请求体上限防内存攻击、webhook主机白名单防SSRF、字段白名单与长度钳制、XSS转义、CORS白名单、确认链接HMAC签名+时效+限流、通知响应PII最小化</w:t>
                  </w:r>
                </w:p>
              </w:tc>
              <w:tc>
                <w:tcPr>
                  <w:tcW w:w="2718" w:type="dxa"/>
                </w:tcPr>
                <w:p w14:paraId="55A98AF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已完成</w:t>
                  </w:r>
                </w:p>
              </w:tc>
            </w:tr>
            <w:tr w14:paraId="4D8FF3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21" w:hRule="atLeast"/>
              </w:trPr>
              <w:tc>
                <w:tcPr>
                  <w:tcW w:w="2718" w:type="dxa"/>
                </w:tcPr>
                <w:p w14:paraId="3AB9141F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测试</w:t>
                  </w:r>
                </w:p>
              </w:tc>
              <w:tc>
                <w:tcPr>
                  <w:tcW w:w="2763" w:type="dxa"/>
                </w:tcPr>
                <w:p w14:paraId="75665AE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14个前端脚本模块编译校验、后端接口端到端攻击样本实测（越权/注入/脏数据均被拦截）、手机多端真机迭代验证</w:t>
                  </w:r>
                </w:p>
              </w:tc>
              <w:tc>
                <w:tcPr>
                  <w:tcW w:w="2718" w:type="dxa"/>
                </w:tcPr>
                <w:p w14:paraId="65C06861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持续进行</w:t>
                  </w:r>
                </w:p>
              </w:tc>
            </w:tr>
            <w:tr w14:paraId="728C95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8" w:hRule="atLeast"/>
              </w:trPr>
              <w:tc>
                <w:tcPr>
                  <w:tcW w:w="2718" w:type="dxa"/>
                </w:tcPr>
                <w:p w14:paraId="161C8BC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调研试点</w:t>
                  </w:r>
                </w:p>
              </w:tc>
              <w:tc>
                <w:tcPr>
                  <w:tcW w:w="2763" w:type="dxa"/>
                </w:tcPr>
                <w:p w14:paraId="5F306376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社区问卷与访谈、</w:t>
                  </w:r>
                  <w:commentRangeStart w:id="13"/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老年可用性测试、试点应用</w:t>
                  </w:r>
                  <w:commentRangeEnd w:id="13"/>
                  <w:r>
                    <w:commentReference w:id="13"/>
                  </w:r>
                </w:p>
              </w:tc>
              <w:tc>
                <w:tcPr>
                  <w:tcW w:w="2718" w:type="dxa"/>
                </w:tcPr>
                <w:p w14:paraId="7C9F1E32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下一阶段</w:t>
                  </w:r>
                </w:p>
              </w:tc>
            </w:tr>
          </w:tbl>
          <w:p w14:paraId="39074711">
            <w:pPr>
              <w:numPr>
                <w:ilvl w:val="0"/>
                <w:numId w:val="0"/>
              </w:numPr>
              <w:spacing w:line="440" w:lineRule="exact"/>
              <w:jc w:val="both"/>
              <w:rPr>
                <w:rFonts w:ascii="宋体" w:hAnsi="宋体" w:eastAsia="宋体"/>
                <w:sz w:val="21"/>
              </w:rPr>
            </w:pPr>
          </w:p>
          <w:p w14:paraId="58A7AED1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5A4C0E5D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ACE8757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1128F291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6BEC9885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DE2F9A5">
            <w:pPr>
              <w:numPr>
                <w:ilvl w:val="0"/>
                <w:numId w:val="0"/>
              </w:num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4）多维度测试与迭代。对系统开展业务功能测试、浏览器兼容性测试、大模型对抗黑盒安全测试与老年可用性测试（测试类型与重点见表3），依据测试结果迭代优化功能与交互体验，形成测试报告与迭代记录。</w:t>
            </w:r>
          </w:p>
          <w:p w14:paraId="56697712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表3 系统测试类型与重点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11"/>
              <w:gridCol w:w="2211"/>
              <w:gridCol w:w="2211"/>
              <w:gridCol w:w="2211"/>
            </w:tblGrid>
            <w:tr w14:paraId="6D9635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73CE6CF0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测试类型</w:t>
                  </w:r>
                </w:p>
              </w:tc>
              <w:tc>
                <w:tcPr>
                  <w:tcW w:w="2211" w:type="dxa"/>
                </w:tcPr>
                <w:p w14:paraId="6A3540D0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测试对象</w:t>
                  </w:r>
                </w:p>
              </w:tc>
              <w:tc>
                <w:tcPr>
                  <w:tcW w:w="2211" w:type="dxa"/>
                </w:tcPr>
                <w:p w14:paraId="6F931E4D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测试重点</w:t>
                  </w:r>
                </w:p>
              </w:tc>
              <w:tc>
                <w:tcPr>
                  <w:tcW w:w="2211" w:type="dxa"/>
                </w:tcPr>
                <w:p w14:paraId="1AE1FE64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预期指标/验收标准</w:t>
                  </w:r>
                </w:p>
              </w:tc>
            </w:tr>
            <w:tr w14:paraId="223EF3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1425D37B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业务功能测试</w:t>
                  </w:r>
                </w:p>
              </w:tc>
              <w:tc>
                <w:tcPr>
                  <w:tcW w:w="2211" w:type="dxa"/>
                </w:tcPr>
                <w:p w14:paraId="6398A33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网页全部业务模块</w:t>
                  </w:r>
                </w:p>
              </w:tc>
              <w:tc>
                <w:tcPr>
                  <w:tcW w:w="2211" w:type="dxa"/>
                </w:tcPr>
                <w:p w14:paraId="203E74B6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档案录入、定时提醒、库存扣减、打卡推送、看板统计正确性</w:t>
                  </w:r>
                </w:p>
              </w:tc>
              <w:tc>
                <w:tcPr>
                  <w:tcW w:w="2211" w:type="dxa"/>
                </w:tcPr>
                <w:p w14:paraId="38AF2239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核心功能用例通过率100%</w:t>
                  </w:r>
                </w:p>
              </w:tc>
            </w:tr>
            <w:tr w14:paraId="42A87F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34E6317E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浏览器兼容性测试</w:t>
                  </w:r>
                </w:p>
              </w:tc>
              <w:tc>
                <w:tcPr>
                  <w:tcW w:w="2211" w:type="dxa"/>
                </w:tcPr>
                <w:p w14:paraId="64F967D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Chrome、Edge、手机微信内置浏览器等</w:t>
                  </w:r>
                </w:p>
              </w:tc>
              <w:tc>
                <w:tcPr>
                  <w:tcW w:w="2211" w:type="dxa"/>
                </w:tcPr>
                <w:p w14:paraId="1D0164E6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布局、极简模式、语音播报、缓存更新</w:t>
                  </w:r>
                </w:p>
              </w:tc>
              <w:tc>
                <w:tcPr>
                  <w:tcW w:w="2211" w:type="dxa"/>
                </w:tcPr>
                <w:p w14:paraId="3D379AFB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主流浏览器页面无错乱，兼容率≥95%</w:t>
                  </w:r>
                </w:p>
              </w:tc>
            </w:tr>
            <w:tr w14:paraId="44236C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22A71FB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大模型对抗黑盒安全测试</w:t>
                  </w:r>
                </w:p>
              </w:tc>
              <w:tc>
                <w:tcPr>
                  <w:tcW w:w="2211" w:type="dxa"/>
                </w:tcPr>
                <w:p w14:paraId="53D94F17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四位</w:t>
                  </w:r>
                  <w:r>
                    <w:rPr>
                      <w:rFonts w:ascii="宋体" w:hAnsi="宋体" w:eastAsia="宋体"/>
                      <w:b w:val="0"/>
                      <w:sz w:val="21"/>
                    </w:rPr>
                    <w:t>一体智能体</w:t>
                  </w:r>
                </w:p>
              </w:tc>
              <w:tc>
                <w:tcPr>
                  <w:tcW w:w="2211" w:type="dxa"/>
                </w:tcPr>
                <w:p w14:paraId="25B472A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诱导提问下是否发生医疗越界输出、违禁内容拦截有效性</w:t>
                  </w:r>
                </w:p>
              </w:tc>
              <w:tc>
                <w:tcPr>
                  <w:tcW w:w="2211" w:type="dxa"/>
                </w:tcPr>
                <w:p w14:paraId="742CC6A1">
                  <w:pPr>
                    <w:jc w:val="left"/>
                  </w:pPr>
                  <w:commentRangeStart w:id="14"/>
                  <w:r>
                    <w:rPr>
                      <w:rFonts w:ascii="宋体" w:hAnsi="宋体" w:eastAsia="宋体"/>
                      <w:b w:val="0"/>
                      <w:sz w:val="21"/>
                    </w:rPr>
                    <w:t>越界输出拦截率</w:t>
                  </w:r>
                  <w:commentRangeEnd w:id="14"/>
                  <w:r>
                    <w:commentReference w:id="14"/>
                  </w:r>
                  <w:r>
                    <w:rPr>
                      <w:rFonts w:ascii="宋体" w:hAnsi="宋体" w:eastAsia="宋体"/>
                      <w:b w:val="0"/>
                      <w:sz w:val="21"/>
                    </w:rPr>
                    <w:t>≥95%</w:t>
                  </w:r>
                </w:p>
              </w:tc>
            </w:tr>
            <w:tr w14:paraId="20F7D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29640007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老年可用性测试</w:t>
                  </w:r>
                </w:p>
              </w:tc>
              <w:tc>
                <w:tcPr>
                  <w:tcW w:w="2211" w:type="dxa"/>
                </w:tcPr>
                <w:p w14:paraId="0526A7F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模拟老年目标用户</w:t>
                  </w:r>
                </w:p>
              </w:tc>
              <w:tc>
                <w:tcPr>
                  <w:tcW w:w="2211" w:type="dxa"/>
                </w:tcPr>
                <w:p w14:paraId="7983F2B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操作步骤难易、模式体验、语音清晰度、</w:t>
                  </w:r>
                  <w:r>
                    <w:rPr>
                      <w:rFonts w:ascii="宋体" w:hAnsi="宋体" w:eastAsia="宋体"/>
                    </w:rPr>
                    <w:t>漏服提示有效性、防误退出</w:t>
                  </w:r>
                  <w:r>
                    <w:rPr>
                      <w:rFonts w:ascii="宋体" w:hAnsi="宋体" w:eastAsia="宋体"/>
                      <w:b w:val="0"/>
                      <w:sz w:val="21"/>
                    </w:rPr>
                    <w:t>、隐私设置易用性</w:t>
                  </w:r>
                </w:p>
              </w:tc>
              <w:tc>
                <w:tcPr>
                  <w:tcW w:w="2211" w:type="dxa"/>
                </w:tcPr>
                <w:p w14:paraId="73C2689A">
                  <w:pPr>
                    <w:jc w:val="left"/>
                  </w:pPr>
                  <w:commentRangeStart w:id="15"/>
                  <w:r>
                    <w:rPr>
                      <w:rFonts w:ascii="宋体" w:hAnsi="宋体" w:eastAsia="宋体"/>
                      <w:b w:val="0"/>
                      <w:sz w:val="21"/>
                    </w:rPr>
                    <w:t>核心任务完成率</w:t>
                  </w:r>
                  <w:commentRangeEnd w:id="15"/>
                  <w:r>
                    <w:commentReference w:id="15"/>
                  </w:r>
                  <w:r>
                    <w:rPr>
                      <w:rFonts w:ascii="宋体" w:hAnsi="宋体" w:eastAsia="宋体"/>
                      <w:b w:val="0"/>
                      <w:sz w:val="21"/>
                    </w:rPr>
                    <w:t>≥80%，用户满意度≥4分（5分制）</w:t>
                  </w:r>
                </w:p>
              </w:tc>
            </w:tr>
          </w:tbl>
          <w:p w14:paraId="7BA2DE38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（5）试点应用与成果整理。在社区/养老机构开展试点使用，收集真实使用数据与反馈；整理调研报告、使用手册，申请软件著作权，撰写研究论文，参加“互联网+”等创新创业竞赛。</w:t>
            </w:r>
          </w:p>
          <w:p w14:paraId="10497A2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3.2 拟解决的关键问题</w:t>
            </w:r>
          </w:p>
          <w:p w14:paraId="48D31C9A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医药信息输出安全可靠：以"提示词约束+知识库RAG+规则引擎兜底+失效回退"保证用药建议可溯源、可审核；</w:t>
            </w:r>
          </w:p>
          <w:p w14:paraId="281C451B">
            <w:pPr>
              <w:numPr>
                <w:ilvl w:val="0"/>
                <w:numId w:val="2"/>
              </w:numPr>
              <w:spacing w:line="440" w:lineRule="exact"/>
              <w:jc w:val="left"/>
              <w:rPr>
                <w:rFonts w:ascii="宋体" w:hAnsi="宋体" w:eastAsia="宋体"/>
                <w:b w:val="0"/>
                <w:sz w:val="21"/>
              </w:rPr>
            </w:pPr>
            <w:commentRangeStart w:id="16"/>
            <w:r>
              <w:rPr>
                <w:rFonts w:ascii="宋体" w:hAnsi="宋体" w:eastAsia="宋体"/>
                <w:sz w:val="21"/>
              </w:rPr>
              <w:t>老年用户使用门槛</w:t>
            </w:r>
            <w:commentRangeEnd w:id="16"/>
            <w:r>
              <w:commentReference w:id="16"/>
            </w:r>
            <w:r>
              <w:rPr>
                <w:rFonts w:ascii="宋体" w:hAnsi="宋体" w:eastAsia="宋体"/>
                <w:sz w:val="21"/>
              </w:rPr>
              <w:t>：设计适老化交互，</w:t>
            </w:r>
            <w:r>
              <w:rPr>
                <w:rFonts w:ascii="宋体" w:hAnsi="宋体" w:eastAsia="宋体"/>
                <w:b w:val="0"/>
                <w:sz w:val="21"/>
              </w:rPr>
              <w:t>双模式界面、语音方言识别、一键操作、逐级返回与防误退出设计，让视力、听力、认知减退的老人独立完成打卡与查询；</w:t>
            </w:r>
          </w:p>
          <w:p w14:paraId="4CCDF9CF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复杂用药方案的调度与提醒策略：支持一人多药、每次不同剂量、疗程起止日期、自定义服药时间点，漏服按"弹窗→语音渐进→提示条→微信推送"四级触达且不扰民；</w:t>
            </w:r>
          </w:p>
          <w:p w14:paraId="1392AA63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4. 监督闭环与隐私平衡：分级授权、脱敏展示、签名时效链接、PII最小化输出，家属监督不以牺牲隐私为代价；</w:t>
            </w:r>
          </w:p>
          <w:p w14:paraId="14BD7073">
            <w:pPr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5. 公益性与可持续运营：零安装、Serverless低成本架构（月成本可控在数十元内），探索"社区采购+家属增值"的可持续模式。</w:t>
            </w:r>
          </w:p>
          <w:p w14:paraId="36C6952C">
            <w:pPr>
              <w:jc w:val="center"/>
            </w:pPr>
            <w:r>
              <w:drawing>
                <wp:inline distT="0" distB="0" distL="114300" distR="114300">
                  <wp:extent cx="5039995" cy="2280285"/>
                  <wp:effectExtent l="0" t="0" r="825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8A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605A1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研究</w:t>
            </w:r>
          </w:p>
          <w:p w14:paraId="6D284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方案</w:t>
            </w:r>
          </w:p>
          <w:p w14:paraId="2E824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（技术路线）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6F21E533">
            <w:pPr>
              <w:spacing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需求调研（问卷+访谈）→ 用户画像与场景梳理 → 隐私与安全设计</w:t>
            </w:r>
            <w:r>
              <w:rPr>
                <w:rFonts w:ascii="宋体" w:hAnsi="宋体" w:eastAsia="宋体"/>
                <w:sz w:val="21"/>
              </w:rPr>
              <w:t>（脱敏存储、分级权限）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总体架构设计</w:t>
            </w:r>
            <w:r>
              <w:rPr>
                <w:rFonts w:ascii="宋体" w:hAnsi="宋体" w:eastAsia="宋体"/>
                <w:sz w:val="21"/>
              </w:rPr>
              <w:t>（双模式前端+三位一体智能体+数据层）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用药</w:t>
            </w:r>
            <w:r>
              <w:rPr>
                <w:rFonts w:ascii="宋体" w:hAnsi="宋体" w:eastAsia="宋体"/>
                <w:b w:val="0"/>
                <w:sz w:val="21"/>
              </w:rPr>
              <w:t xml:space="preserve">知识库构建（1494条，含食物/草药相互作用）→ 四层安全输出体系开发 </w:t>
            </w:r>
            <w:r>
              <w:rPr>
                <w:rFonts w:ascii="宋体" w:hAnsi="宋体" w:eastAsia="宋体"/>
                <w:sz w:val="21"/>
              </w:rPr>
              <w:t>（提示词约束+业务规则过滤+人文关怀子模块）</w:t>
            </w:r>
            <w:r>
              <w:rPr>
                <w:rFonts w:ascii="宋体" w:hAnsi="宋体" w:eastAsia="宋体"/>
                <w:b w:val="0"/>
                <w:sz w:val="21"/>
              </w:rPr>
              <w:t>→ 核心模块开发联调</w:t>
            </w:r>
            <w:r>
              <w:rPr>
                <w:rFonts w:ascii="宋体" w:hAnsi="宋体" w:eastAsia="宋体"/>
                <w:sz w:val="21"/>
              </w:rPr>
              <w:t>（用药管理/风险筛查/家属守护/统计看板/权限服务）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安全审计与渗透测试 → 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社区</w:t>
            </w:r>
            <w:r>
              <w:rPr>
                <w:rFonts w:ascii="宋体" w:hAnsi="宋体" w:eastAsia="宋体"/>
                <w:b w:val="0"/>
                <w:sz w:val="21"/>
              </w:rPr>
              <w:t>老年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用户</w:t>
            </w:r>
            <w:r>
              <w:rPr>
                <w:rFonts w:ascii="宋体" w:hAnsi="宋体" w:eastAsia="宋体"/>
                <w:b w:val="0"/>
                <w:sz w:val="21"/>
              </w:rPr>
              <w:t xml:space="preserve">可用性测试 → </w:t>
            </w:r>
            <w:r>
              <w:rPr>
                <w:rFonts w:ascii="宋体" w:hAnsi="宋体" w:eastAsia="宋体"/>
                <w:sz w:val="21"/>
              </w:rPr>
              <w:t>多方反馈迭代</w:t>
            </w:r>
            <w:r>
              <w:rPr>
                <w:rFonts w:ascii="宋体" w:hAnsi="宋体" w:eastAsia="宋体"/>
                <w:b w:val="0"/>
                <w:sz w:val="21"/>
              </w:rPr>
              <w:t>→</w:t>
            </w:r>
            <w:r>
              <w:rPr>
                <w:rFonts w:ascii="宋体" w:hAnsi="宋体" w:eastAsia="宋体"/>
                <w:sz w:val="21"/>
              </w:rPr>
              <w:t>试点应用（社区/养老机构）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数据反馈迭代 → </w:t>
            </w:r>
            <w:r>
              <w:rPr>
                <w:rFonts w:ascii="宋体" w:hAnsi="宋体" w:eastAsia="宋体"/>
                <w:sz w:val="21"/>
              </w:rPr>
              <w:t>功能定型→</w:t>
            </w:r>
            <w:r>
              <w:rPr>
                <w:rFonts w:ascii="宋体" w:hAnsi="宋体" w:eastAsia="宋体"/>
                <w:b w:val="0"/>
                <w:sz w:val="21"/>
              </w:rPr>
              <w:t>成果整理</w:t>
            </w:r>
            <w:r>
              <w:rPr>
                <w:rFonts w:ascii="宋体" w:hAnsi="宋体" w:eastAsia="宋体"/>
                <w:sz w:val="21"/>
              </w:rPr>
              <w:t>（调研报告/软著/论文/竞赛/结题）</w:t>
            </w:r>
          </w:p>
          <w:p w14:paraId="25728028">
            <w:pPr>
              <w:spacing w:line="440" w:lineRule="exac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b/>
                <w:sz w:val="22"/>
              </w:rPr>
              <w:t>已落地的真实技术栈：</w:t>
            </w:r>
          </w:p>
          <w:tbl>
            <w:tblPr>
              <w:tblStyle w:val="4"/>
              <w:tblW w:w="0" w:type="auto"/>
              <w:tblInd w:w="12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00"/>
              <w:gridCol w:w="2762"/>
              <w:gridCol w:w="3078"/>
            </w:tblGrid>
            <w:tr w14:paraId="4A12A9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1" w:hRule="atLeast"/>
              </w:trPr>
              <w:tc>
                <w:tcPr>
                  <w:tcW w:w="2500" w:type="dxa"/>
                </w:tcPr>
                <w:p w14:paraId="6B8DB5F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层</w:t>
                  </w:r>
                </w:p>
              </w:tc>
              <w:tc>
                <w:tcPr>
                  <w:tcW w:w="2762" w:type="dxa"/>
                </w:tcPr>
                <w:p w14:paraId="25D6D46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组件</w:t>
                  </w:r>
                </w:p>
              </w:tc>
              <w:tc>
                <w:tcPr>
                  <w:tcW w:w="3078" w:type="dxa"/>
                </w:tcPr>
                <w:p w14:paraId="1C1522BC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说明</w:t>
                  </w:r>
                </w:p>
              </w:tc>
            </w:tr>
            <w:tr w14:paraId="6D30E9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55E3F8B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前端交互层</w:t>
                  </w:r>
                </w:p>
              </w:tc>
              <w:tc>
                <w:tcPr>
                  <w:tcW w:w="2762" w:type="dxa"/>
                </w:tcPr>
                <w:p w14:paraId="0A2E367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原生HTML/JS单页应用+Service Worker</w:t>
                  </w:r>
                </w:p>
              </w:tc>
              <w:tc>
                <w:tcPr>
                  <w:tcW w:w="3078" w:type="dxa"/>
                </w:tcPr>
                <w:p w14:paraId="5F3183ED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GitHub Pages托管，零安装跨端，离线缓存，版本自检横幅提醒更新</w:t>
                  </w:r>
                </w:p>
              </w:tc>
            </w:tr>
            <w:tr w14:paraId="65172A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1" w:hRule="atLeast"/>
              </w:trPr>
              <w:tc>
                <w:tcPr>
                  <w:tcW w:w="2500" w:type="dxa"/>
                </w:tcPr>
                <w:p w14:paraId="37930440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智能体层</w:t>
                  </w:r>
                </w:p>
              </w:tc>
              <w:tc>
                <w:tcPr>
                  <w:tcW w:w="2762" w:type="dxa"/>
                </w:tcPr>
                <w:p w14:paraId="25B96A1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通义千问大模型（文本/视觉/TTS/ASR）+本地规则引擎</w:t>
                  </w:r>
                </w:p>
              </w:tc>
              <w:tc>
                <w:tcPr>
                  <w:tcW w:w="3078" w:type="dxa"/>
                </w:tcPr>
                <w:p w14:paraId="4BDAD42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双链路互备：大模型失效自动回退规则引擎；千问TTS语音播报、Whisper+千问ASR双识别引擎</w:t>
                  </w:r>
                </w:p>
              </w:tc>
            </w:tr>
            <w:tr w14:paraId="36A583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6B0A5626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知识层</w:t>
                  </w:r>
                </w:p>
              </w:tc>
              <w:tc>
                <w:tcPr>
                  <w:tcW w:w="2762" w:type="dxa"/>
                </w:tcPr>
                <w:p w14:paraId="606E294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1494条中文药物手册知识库+相互作用规则库+Beers老年慎用标准</w:t>
                  </w:r>
                </w:p>
              </w:tc>
              <w:tc>
                <w:tcPr>
                  <w:tcW w:w="3078" w:type="dxa"/>
                </w:tcPr>
                <w:p w14:paraId="3E42F72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RAG检索增强、双向配伍冲突扫描、警告弹窗</w:t>
                  </w:r>
                </w:p>
              </w:tc>
            </w:tr>
            <w:tr w14:paraId="273C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72FB9FF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服务层</w:t>
                  </w:r>
                </w:p>
              </w:tc>
              <w:tc>
                <w:tcPr>
                  <w:tcW w:w="2762" w:type="dxa"/>
                </w:tcPr>
                <w:p w14:paraId="2867E1CA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阿里云函数计算（Serverless）+Node.js</w:t>
                  </w:r>
                </w:p>
              </w:tc>
              <w:tc>
                <w:tcPr>
                  <w:tcW w:w="3078" w:type="dxa"/>
                </w:tcPr>
                <w:p w14:paraId="703DA24E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账号/数据/提醒/</w:t>
                  </w:r>
                  <w:r>
                    <w:rPr>
                      <w:rFonts w:hint="eastAsia" w:ascii="宋体" w:hAnsi="宋体"/>
                      <w:sz w:val="21"/>
                      <w:szCs w:val="21"/>
                      <w:lang w:val="en-US" w:eastAsia="zh-CN"/>
                    </w:rPr>
                    <w:t>管理者</w:t>
                  </w: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看板/统计接口，限流与白名单安全体系</w:t>
                  </w:r>
                </w:p>
              </w:tc>
            </w:tr>
            <w:tr w14:paraId="68E38E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5" w:hRule="atLeast"/>
              </w:trPr>
              <w:tc>
                <w:tcPr>
                  <w:tcW w:w="2500" w:type="dxa"/>
                </w:tcPr>
                <w:p w14:paraId="7393254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数据层</w:t>
                  </w:r>
                </w:p>
              </w:tc>
              <w:tc>
                <w:tcPr>
                  <w:tcW w:w="2762" w:type="dxa"/>
                </w:tcPr>
                <w:p w14:paraId="3C84C6B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阿里云OSS对象存储</w:t>
                  </w:r>
                </w:p>
              </w:tc>
              <w:tc>
                <w:tcPr>
                  <w:tcW w:w="3078" w:type="dxa"/>
                </w:tcPr>
                <w:p w14:paraId="1B0958BC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按用户隔离的JSON档案，scrypt加盐口令、令牌会话</w:t>
                  </w:r>
                </w:p>
              </w:tc>
            </w:tr>
            <w:tr w14:paraId="664CC3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69CD286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触达层</w:t>
                  </w:r>
                </w:p>
              </w:tc>
              <w:tc>
                <w:tcPr>
                  <w:tcW w:w="2762" w:type="dxa"/>
                </w:tcPr>
                <w:p w14:paraId="0FD856F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PushPlus微信推送+SMTP邮件+阿里云短信+企业微信机器人</w:t>
                  </w:r>
                </w:p>
              </w:tc>
              <w:tc>
                <w:tcPr>
                  <w:tcW w:w="3078" w:type="dxa"/>
                </w:tcPr>
                <w:p w14:paraId="1ECEAC49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每5分钟漏服巡检（GitHub Actions定时触发），一键确认签名链接</w:t>
                  </w:r>
                </w:p>
              </w:tc>
            </w:tr>
            <w:tr w14:paraId="345C8E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2" w:hRule="atLeast"/>
              </w:trPr>
              <w:tc>
                <w:tcPr>
                  <w:tcW w:w="2500" w:type="dxa"/>
                </w:tcPr>
                <w:p w14:paraId="0DF0191E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管理端</w:t>
                  </w:r>
                </w:p>
              </w:tc>
              <w:tc>
                <w:tcPr>
                  <w:tcW w:w="2762" w:type="dxa"/>
                </w:tcPr>
                <w:p w14:paraId="38E9CEC7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社区治理看板</w:t>
                  </w:r>
                </w:p>
              </w:tc>
              <w:tc>
                <w:tcPr>
                  <w:tcW w:w="3078" w:type="dxa"/>
                </w:tcPr>
                <w:p w14:paraId="086C1C3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服务端密码校验、全站匿名化统计、内嵌浮层</w:t>
                  </w:r>
                </w:p>
              </w:tc>
            </w:tr>
          </w:tbl>
          <w:p w14:paraId="3B81F185">
            <w:pPr>
              <w:spacing w:before="0" w:after="0" w:line="440" w:lineRule="exact"/>
              <w:ind w:firstLine="420"/>
            </w:pPr>
            <w:commentRangeStart w:id="17"/>
            <w:r>
              <w:rPr>
                <w:rFonts w:ascii="宋体" w:hAnsi="宋体" w:eastAsia="宋体"/>
                <w:b w:val="0"/>
                <w:sz w:val="21"/>
              </w:rPr>
              <w:t>系统定位为</w:t>
            </w:r>
            <w:commentRangeEnd w:id="17"/>
            <w:r>
              <w:commentReference w:id="17"/>
            </w:r>
            <w:r>
              <w:rPr>
                <w:rFonts w:ascii="宋体" w:hAnsi="宋体" w:eastAsia="宋体"/>
                <w:b w:val="0"/>
                <w:sz w:val="21"/>
              </w:rPr>
              <w:t>"非诊疗用药辅助工具"，所有医学相关内容标注"以医生药师意见为准"。</w:t>
            </w:r>
          </w:p>
          <w:p w14:paraId="10AA807F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DBD249B">
            <w:pPr>
              <w:spacing w:line="440" w:lineRule="exact"/>
            </w:pPr>
          </w:p>
          <w:p w14:paraId="77FC9F12">
            <w:pPr>
              <w:jc w:val="center"/>
            </w:pPr>
            <w:r>
              <w:drawing>
                <wp:inline distT="0" distB="0" distL="114300" distR="114300">
                  <wp:extent cx="5039995" cy="1680845"/>
                  <wp:effectExtent l="0" t="0" r="825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68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CD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4E659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研究</w:t>
            </w:r>
          </w:p>
          <w:p w14:paraId="54928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方法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5B8F1E7D">
            <w:pPr>
              <w:spacing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>1. 文献研究法：系统检索老年人用药依从性、多重用药、药物不良事件、智慧养老、大模型安全等领域的文献与政策文件，明确理论基础与现状数据；</w:t>
            </w:r>
          </w:p>
          <w:p w14:paraId="7709D83C">
            <w:pPr>
              <w:spacing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>2. 问卷调查与半结构化访谈法：面向社区老年人、家属及养老机构工作人员开展调研，量化与质性相结合，挖掘真实需求与使用障碍；</w:t>
            </w:r>
          </w:p>
          <w:p w14:paraId="04D70BC3">
            <w:pPr>
              <w:spacing w:line="440" w:lineRule="exact"/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3. 软件工程原型迭代法：采用“需求—设计—开发—测试—反馈—迭代”的敏捷流程，</w:t>
            </w:r>
            <w:r>
              <w:rPr>
                <w:rFonts w:ascii="宋体" w:hAnsi="宋体" w:eastAsia="宋体"/>
                <w:b w:val="0"/>
                <w:sz w:val="21"/>
              </w:rPr>
              <w:t>已完成多轮真机迭代（移动端提醒形态、语音时延、防误退出等均由真实反馈驱动）；</w:t>
            </w:r>
          </w:p>
          <w:p w14:paraId="28A9B9D9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黑盒测试与安全审计法：功能黑盒测试+两轮渗透式安全审计（暴力破解、注入、SSRF、越权、XSS等）+老年用户可用性测试；</w:t>
            </w:r>
            <w:r>
              <w:rPr>
                <w:rFonts w:ascii="宋体" w:hAnsi="宋体" w:eastAsia="宋体"/>
                <w:sz w:val="21"/>
              </w:rPr>
              <w:t>重点验证适老化和易用性；</w:t>
            </w:r>
          </w:p>
          <w:p w14:paraId="28B534F4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创业实践分析法：</w:t>
            </w:r>
            <w:r>
              <w:rPr>
                <w:rFonts w:ascii="宋体" w:hAnsi="宋体" w:eastAsia="宋体"/>
                <w:sz w:val="21"/>
              </w:rPr>
              <w:t>结合</w:t>
            </w:r>
            <w:commentRangeStart w:id="18"/>
            <w:r>
              <w:rPr>
                <w:rFonts w:ascii="宋体" w:hAnsi="宋体" w:eastAsia="宋体"/>
                <w:sz w:val="21"/>
              </w:rPr>
              <w:t>创业训练项目要求</w:t>
            </w:r>
            <w:commentRangeEnd w:id="18"/>
            <w:r>
              <w:commentReference w:id="18"/>
            </w:r>
            <w:r>
              <w:rPr>
                <w:rFonts w:ascii="宋体" w:hAnsi="宋体" w:eastAsia="宋体"/>
                <w:sz w:val="21"/>
              </w:rPr>
              <w:t>，开展竞品分析、成本测算</w:t>
            </w:r>
            <w:r>
              <w:rPr>
                <w:rFonts w:ascii="宋体" w:hAnsi="宋体" w:eastAsia="宋体"/>
                <w:b w:val="0"/>
                <w:sz w:val="21"/>
              </w:rPr>
              <w:t>（Serverless架构成本模型）与商业模式探索</w:t>
            </w:r>
            <w:r>
              <w:rPr>
                <w:rFonts w:ascii="宋体" w:hAnsi="宋体" w:eastAsia="宋体"/>
                <w:sz w:val="21"/>
              </w:rPr>
              <w:t>，形成创业计划与试点运营记录。</w:t>
            </w:r>
          </w:p>
        </w:tc>
      </w:tr>
      <w:tr w14:paraId="0E33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41E76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研究</w:t>
            </w:r>
          </w:p>
          <w:p w14:paraId="39DA0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基础</w:t>
            </w:r>
          </w:p>
          <w:p w14:paraId="2BA95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和</w:t>
            </w:r>
          </w:p>
          <w:p w14:paraId="4D690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条件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052EBDDB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 xml:space="preserve">1. 已上线的完整产品（核心基础）：「康伴」系统已公开发布并持续迭代，线上地址 </w:t>
            </w:r>
            <w:r>
              <w:rPr>
                <w:rFonts w:hint="eastAsia" w:ascii="宋体" w:hAnsi="宋体" w:eastAsia="宋体"/>
                <w:b w:val="0"/>
                <w:sz w:val="21"/>
              </w:rPr>
              <w:t>https://xinwo-yuhaojie.github.io/med-assist-demo/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，涵盖表3所列四大板块30余项功能，全部可用，非概念验证阶段。</w:t>
            </w:r>
          </w:p>
          <w:p w14:paraId="7FF2245E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2. 已开通的资源与平台：通义千问大模型API（文本+视觉+语音合成+语音识别）、阿里云函数计算与OSS对象存储、阿里云短信服务、SMTP企业邮箱通道、PushPlus微信推送服务、企业微信群机器人、GitHub Pages+Actions持续集成与定时巡检、本地Whisper语音识别服务；1494条中文药物手册知识库（含食物/草药相互作用）已完成清洗、脱敏与结构化入库。</w:t>
            </w:r>
          </w:p>
          <w:p w14:paraId="25715555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3. 团队基础：跨学科团队覆盖技术开发、医学内容、适老化设计、材料统筹；已完成两轮全量安全审计并修复15类缺陷，具备工程级质量意识；部分成员有大创立项与"互联网+"、"挑战杯"竞赛经验。</w:t>
            </w:r>
          </w:p>
          <w:p w14:paraId="0E9F12D1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4. 医学护理风控基础：临床药学成员负责知识库与规则审核，护理学成员负责人文关怀与适老化设计，医学内容由指导教师与药师共同把关。</w:t>
            </w:r>
          </w:p>
          <w:p w14:paraId="6FA4C947">
            <w:pPr>
              <w:spacing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5. 实施环境：指导教师提供学术指导；学校提供创新创业平台与竞赛渠道；可依托社区/养老机构开展调研与试点；</w:t>
            </w:r>
            <w:r>
              <w:rPr>
                <w:rFonts w:ascii="宋体" w:hAnsi="宋体" w:eastAsia="宋体"/>
                <w:sz w:val="21"/>
              </w:rPr>
              <w:t>现有云服务与开发工具满足开发部署需要。</w:t>
            </w:r>
          </w:p>
        </w:tc>
      </w:tr>
      <w:tr w14:paraId="7D24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3D52E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实施</w:t>
            </w:r>
          </w:p>
          <w:p w14:paraId="12C69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进度</w:t>
            </w:r>
          </w:p>
          <w:p w14:paraId="3CA0A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安排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2A176AA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第一阶段（2026.10—2026.12）：文献调研完成；问卷与访谈提纲设计；社区需求调研启动；竞品分析。</w:t>
            </w:r>
          </w:p>
          <w:p w14:paraId="06142037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第二阶段（2027.01—2027.06）：已完成原型全部核心功能（提前完成）；本阶段完成知识库扩充校对、提醒策略优化、看板完善与系统联调。</w:t>
            </w:r>
          </w:p>
          <w:p w14:paraId="3014C10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第三阶段（2027.07—2027.09）：适老化深度优化、大模型对抗安全测试第三轮、医药输出安全性验证，形成测试报告。</w:t>
            </w:r>
          </w:p>
          <w:p w14:paraId="65BDEFF0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第四阶段（2027.10—2028.03）：社区试点使用与老年可用性测试，收集真实数据迭代发布。</w:t>
            </w:r>
          </w:p>
          <w:p w14:paraId="464FC966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第五阶段（2028.04—2028.06）：调研报告与使用手册定稿、软件著作权申请、论文撰写投稿。</w:t>
            </w:r>
          </w:p>
          <w:p w14:paraId="5C9992C2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第六阶段（2028.07—2028.09）：参加"互联网+"等竞赛，结题材料整理与答辩。</w:t>
            </w:r>
          </w:p>
        </w:tc>
      </w:tr>
      <w:tr w14:paraId="3BD4E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6EE74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38179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经费</w:t>
            </w:r>
          </w:p>
          <w:p w14:paraId="001AA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预算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0C8B624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资料费500元：文献资料、参考书籍、问卷与访谈材料印制。</w:t>
            </w:r>
          </w:p>
          <w:p w14:paraId="0044AD78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调研费1000元：社区调研与访谈交通、礼品、试点协调费用。</w:t>
            </w:r>
          </w:p>
          <w:p w14:paraId="2C80366E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开发与云资源费1800元：</w:t>
            </w:r>
            <w:r>
              <w:rPr>
                <w:rFonts w:ascii="宋体" w:hAnsi="宋体" w:eastAsia="宋体"/>
              </w:rPr>
              <w:t>大模型API调用、短信/推送服务、域名与云资源、</w:t>
            </w:r>
            <w:r>
              <w:rPr>
                <w:rFonts w:ascii="宋体" w:hAnsi="宋体" w:eastAsia="宋体"/>
                <w:sz w:val="21"/>
              </w:rPr>
              <w:t>开发测试工具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及耗材</w:t>
            </w:r>
            <w:r>
              <w:rPr>
                <w:rFonts w:ascii="宋体" w:hAnsi="宋体" w:eastAsia="宋体"/>
                <w:sz w:val="21"/>
              </w:rPr>
              <w:t>。</w:t>
            </w:r>
          </w:p>
          <w:p w14:paraId="6F835B82">
            <w:pPr>
              <w:spacing w:line="440" w:lineRule="exact"/>
            </w:pPr>
            <w:commentRangeStart w:id="19"/>
            <w:r>
              <w:rPr>
                <w:rFonts w:ascii="宋体" w:hAnsi="宋体" w:eastAsia="宋体"/>
                <w:sz w:val="21"/>
              </w:rPr>
              <w:t>知识产权与成果费</w:t>
            </w:r>
            <w:commentRangeEnd w:id="19"/>
            <w:r>
              <w:commentReference w:id="19"/>
            </w:r>
            <w:r>
              <w:rPr>
                <w:rFonts w:ascii="宋体" w:hAnsi="宋体" w:eastAsia="宋体"/>
                <w:sz w:val="21"/>
              </w:rPr>
              <w:t>1200元：软件著作权申请、论文发表版面费。</w:t>
            </w:r>
          </w:p>
          <w:p w14:paraId="78583DE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竞赛及创业实践费500元：创新创业竞赛报名、成果展示材料。</w:t>
            </w:r>
          </w:p>
          <w:p w14:paraId="4824D48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合计：5000元（按学校管理办法专款专用，单笔≤5000元由学院审批）。</w:t>
            </w:r>
          </w:p>
        </w:tc>
      </w:tr>
      <w:tr w14:paraId="6EEE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26FA0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预期</w:t>
            </w:r>
          </w:p>
          <w:p w14:paraId="3E605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成果</w:t>
            </w:r>
          </w:p>
        </w:tc>
        <w:tc>
          <w:tcPr>
            <w:tcW w:w="8833" w:type="dxa"/>
            <w:gridSpan w:val="14"/>
            <w:noWrap w:val="0"/>
            <w:vAlign w:val="bottom"/>
          </w:tcPr>
          <w:p w14:paraId="4B471AFD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1. 可实际使用的老年人慢病用药辅助智能体在线系统（含源码与操作手册），试点期服务≥3个社区/家庭组，线上持续运行；</w:t>
            </w:r>
          </w:p>
          <w:p w14:paraId="47040EFA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2. 软件著作权1项（以获得申请号为准，满足校级结题条件）；</w:t>
            </w:r>
          </w:p>
          <w:p w14:paraId="050F0A5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3. 社区调研报告与老年可用性测试报告1份（含真实问卷数据）；</w:t>
            </w:r>
          </w:p>
          <w:p w14:paraId="1655A549">
            <w:pPr>
              <w:spacing w:before="0" w:after="0" w:line="440" w:lineRule="exact"/>
            </w:pPr>
            <w:r>
              <w:rPr>
                <w:rFonts w:ascii="宋体" w:hAnsi="宋体" w:eastAsia="宋体"/>
                <w:sz w:val="21"/>
              </w:rPr>
              <w:t>4. 研究论文1篇（公开发行学术期刊，注明校级大创项目名称与立项编号）；</w:t>
            </w:r>
          </w:p>
          <w:p w14:paraId="5D8337D3">
            <w:pPr>
              <w:spacing w:before="0" w:after="0" w:line="440" w:lineRule="exac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5. 参加“互联网+”大学生创新创业大赛</w:t>
            </w:r>
            <w:commentRangeStart w:id="20"/>
            <w:r>
              <w:rPr>
                <w:rFonts w:ascii="宋体" w:hAnsi="宋体" w:eastAsia="宋体"/>
                <w:sz w:val="21"/>
              </w:rPr>
              <w:t>或相关学科竞赛</w:t>
            </w:r>
            <w:commentRangeEnd w:id="20"/>
            <w:r>
              <w:commentReference w:id="20"/>
            </w:r>
            <w:r>
              <w:rPr>
                <w:rFonts w:ascii="宋体" w:hAnsi="宋体" w:eastAsia="宋体"/>
                <w:sz w:val="21"/>
              </w:rPr>
              <w:t>并力争获奖；</w:t>
            </w:r>
          </w:p>
          <w:p w14:paraId="2B09C46A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6. 结题验收全套材料（工作总结、过程材料、</w:t>
            </w:r>
            <w:commentRangeStart w:id="21"/>
            <w:r>
              <w:rPr>
                <w:rFonts w:ascii="宋体" w:hAnsi="宋体" w:eastAsia="宋体"/>
                <w:sz w:val="21"/>
              </w:rPr>
              <w:t>成果标注以广东医科大学为第一单位</w:t>
            </w:r>
            <w:commentRangeEnd w:id="21"/>
            <w:r>
              <w:commentReference w:id="21"/>
            </w:r>
            <w:r>
              <w:rPr>
                <w:rFonts w:ascii="宋体" w:hAnsi="宋体" w:eastAsia="宋体"/>
                <w:sz w:val="21"/>
              </w:rPr>
              <w:t>）。</w:t>
            </w:r>
          </w:p>
        </w:tc>
      </w:tr>
      <w:tr w14:paraId="5B06C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3261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立项</w:t>
            </w:r>
          </w:p>
          <w:p w14:paraId="57F96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评审</w:t>
            </w:r>
          </w:p>
        </w:tc>
        <w:tc>
          <w:tcPr>
            <w:tcW w:w="8833" w:type="dxa"/>
            <w:gridSpan w:val="14"/>
            <w:noWrap w:val="0"/>
            <w:vAlign w:val="top"/>
          </w:tcPr>
          <w:p w14:paraId="2E0E9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38A1E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6BFD4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</w:rPr>
            </w:pPr>
            <w:r>
              <w:rPr>
                <w:rFonts w:hint="eastAsia" w:ascii="黑体" w:eastAsia="黑体"/>
                <w:sz w:val="24"/>
              </w:rPr>
              <w:t>四、指导老师意见</w:t>
            </w:r>
            <w:r>
              <w:rPr>
                <w:rFonts w:hint="eastAsia"/>
              </w:rPr>
              <w:t>：</w:t>
            </w:r>
          </w:p>
          <w:p w14:paraId="6A58B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color w:val="000000"/>
                <w:sz w:val="24"/>
              </w:rPr>
              <w:t>（评价该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>项目申报</w:t>
            </w:r>
            <w:r>
              <w:rPr>
                <w:rFonts w:hint="eastAsia" w:eastAsia="仿宋_GB2312"/>
                <w:color w:val="000000"/>
                <w:sz w:val="24"/>
              </w:rPr>
              <w:t>的科学性、先进性、理论与实际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>创新</w:t>
            </w:r>
            <w:r>
              <w:rPr>
                <w:rFonts w:hint="eastAsia" w:eastAsia="仿宋_GB2312"/>
                <w:color w:val="000000"/>
                <w:sz w:val="24"/>
              </w:rPr>
              <w:t>意义）</w:t>
            </w:r>
          </w:p>
          <w:p w14:paraId="4EAB8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</w:p>
          <w:p w14:paraId="03CA2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14F05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518B0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4EB60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</w:p>
          <w:p w14:paraId="70C7B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</w:rPr>
              <w:t>指导老师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  <w:t>签名</w:t>
            </w:r>
            <w:r>
              <w:rPr>
                <w:rFonts w:hint="eastAsia" w:eastAsia="仿宋_GB2312"/>
                <w:color w:val="000000"/>
                <w:sz w:val="24"/>
              </w:rPr>
              <w:t>：         年    月    日</w:t>
            </w:r>
          </w:p>
        </w:tc>
      </w:tr>
      <w:tr w14:paraId="6EA7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34423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20296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641FA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五</w:t>
            </w:r>
            <w:r>
              <w:rPr>
                <w:rFonts w:hint="eastAsia" w:ascii="黑体" w:eastAsia="黑体"/>
                <w:sz w:val="24"/>
              </w:rPr>
              <w:t>、所在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二级院系立项审核</w:t>
            </w:r>
            <w:r>
              <w:rPr>
                <w:rFonts w:hint="eastAsia" w:ascii="黑体" w:eastAsia="黑体"/>
                <w:sz w:val="24"/>
              </w:rPr>
              <w:t>意见：</w:t>
            </w:r>
          </w:p>
          <w:p w14:paraId="7FB13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43275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sz w:val="24"/>
              </w:rPr>
            </w:pPr>
          </w:p>
          <w:p w14:paraId="3EBB3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0732D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2D2A9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1493A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Arial" w:hAnsi="Arial"/>
                <w:b/>
                <w:bCs/>
                <w:sz w:val="24"/>
                <w:szCs w:val="32"/>
              </w:rPr>
            </w:pPr>
          </w:p>
          <w:p w14:paraId="1F841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eastAsia="仿宋_GB2312"/>
                <w:sz w:val="24"/>
              </w:rPr>
            </w:pPr>
            <w:r>
              <w:rPr>
                <w:rFonts w:ascii="Arial" w:hAnsi="Arial" w:eastAsia="仿宋_GB2312"/>
                <w:sz w:val="24"/>
              </w:rPr>
              <w:t xml:space="preserve">    </w:t>
            </w:r>
            <w:r>
              <w:rPr>
                <w:rFonts w:hint="eastAsia" w:eastAsia="仿宋_GB2312"/>
                <w:sz w:val="24"/>
              </w:rPr>
              <w:t>签章：</w:t>
            </w:r>
          </w:p>
          <w:p w14:paraId="6CA70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right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eastAsia="仿宋_GB2312"/>
                <w:color w:val="000000"/>
                <w:sz w:val="24"/>
              </w:rPr>
              <w:t xml:space="preserve">          年    月    日</w:t>
            </w:r>
          </w:p>
        </w:tc>
      </w:tr>
      <w:tr w14:paraId="5C4A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1E369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44EC88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both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  <w:t>六、</w:t>
            </w:r>
            <w:r>
              <w:rPr>
                <w:rFonts w:hint="eastAsia" w:ascii="黑体" w:eastAsia="黑体"/>
                <w:b/>
                <w:bCs/>
                <w:sz w:val="24"/>
                <w:lang w:val="en-US" w:eastAsia="zh-CN"/>
              </w:rPr>
              <w:t>学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校主管部门立项</w:t>
            </w:r>
            <w:r>
              <w:rPr>
                <w:rFonts w:hint="eastAsia" w:ascii="黑体" w:eastAsia="黑体"/>
                <w:sz w:val="24"/>
              </w:rPr>
              <w:t>审核意见</w:t>
            </w:r>
          </w:p>
          <w:p w14:paraId="385138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334A6C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 xml:space="preserve">                  </w:t>
            </w:r>
          </w:p>
          <w:p w14:paraId="33061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3E8ECA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08F6CB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47F69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 xml:space="preserve">               </w:t>
            </w:r>
            <w:r>
              <w:rPr>
                <w:rFonts w:hint="eastAsia" w:eastAsia="仿宋_GB2312"/>
                <w:sz w:val="24"/>
              </w:rPr>
              <w:t>签章：</w:t>
            </w:r>
          </w:p>
          <w:p w14:paraId="52BED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right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eastAsia="仿宋_GB2312"/>
                <w:color w:val="000000"/>
                <w:sz w:val="24"/>
              </w:rPr>
              <w:t xml:space="preserve">     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 xml:space="preserve">    </w:t>
            </w:r>
            <w:r>
              <w:rPr>
                <w:rFonts w:hint="eastAsia" w:eastAsia="仿宋_GB2312"/>
                <w:color w:val="000000"/>
                <w:sz w:val="24"/>
              </w:rPr>
              <w:t xml:space="preserve">     年    月    日</w:t>
            </w:r>
          </w:p>
        </w:tc>
      </w:tr>
    </w:tbl>
    <w:p w14:paraId="7E2F3F00"/>
    <w:sectPr>
      <w:footerReference r:id="rId5" w:type="default"/>
      <w:pgSz w:w="11906" w:h="16838"/>
      <w:pgMar w:top="2098" w:right="1474" w:bottom="1418" w:left="1588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ummit" w:date="2026-10-17T00:57:36Z" w:initials="s">
    <w:p w14:paraId="7390A05A">
      <w:r>
        <w:t>【申报规范·必改项】指导教师信息（姓名、所在部门、联系电话，及工号/职称/研究方向/主要成果/签名）多处仍为【待填】。请尽快联系指导教师补齐全部字段；尤其建议在“研究方向与主要科研成果”栏突出与老年医学、临床药学或信息技术领域的相关性——这是评审判断指导力量与可行性的直接依据。</w:t>
      </w:r>
    </w:p>
  </w:comment>
  <w:comment w:id="1" w:author="summit" w:date="2026-10-17T00:57:36Z" w:initials="s">
    <w:p w14:paraId="7187F041">
      <w:r>
        <w:t>【材料完整性】全文缺参考文献列表与佐证材料目录；填报要求注明“已有业绩成果或支撑项目的需附相关佐证材料”。建议：①补充参考文献（GB/T 7714）；②整理附件清单（上线系统截图、安全审计记录、获奖证书、合作意向函等）随申报书一并报送。</w:t>
      </w:r>
    </w:p>
  </w:comment>
  <w:comment w:id="2" w:author="summit" w:date="2026-10-17T00:57:36Z" w:initials="s">
    <w:p w14:paraId="3D0D368A">
      <w:r>
        <w:t>【排版规范】本段（及全文约48处）使用英文半角引号，建议统一替换为中文全角引号“…”；申报材料应全篇统一标点样式。</w:t>
      </w:r>
    </w:p>
  </w:comment>
  <w:comment w:id="3" w:author="summit" w:date="2026-10-17T00:57:36Z" w:initials="s">
    <w:p w14:paraId="14F3A414">
      <w:r>
        <w:t>【论证与佐证】“两轮全量安全审计、修复 15 类缺陷”建议附专业佐证：审计方式（工具/人工）、问题清单摘要、修复验证记录；可附“安全测试报告摘要”作为申报附件，增强“已有基础”可信度。</w:t>
      </w:r>
    </w:p>
  </w:comment>
  <w:comment w:id="4" w:author="summit" w:date="2026-10-17T00:57:36Z" w:initials="s">
    <w:p w14:paraId="6D670EC4">
      <w:r>
        <w:t>【学术严谨·数据溯源】“3.23 亿、23.0%、2035 年突破 4 亿”等关键数据请精确到来源文件与发布时间（如国家统计局年度统计公报、《国家老龄事业发展公报》）。全文统计数字约 20 余处，建议文末统一附参考文献（GB/T 7714 格式）——这是评审判断学术严谨性的重要依据。</w:t>
      </w:r>
    </w:p>
  </w:comment>
  <w:comment w:id="5" w:author="summit" w:date="2026-10-17T00:57:36Z" w:initials="s">
    <w:p w14:paraId="34556FCE">
      <w:r>
        <w:t>【学术严谨·引用规范】“纳入 19 篇文献的 Meta 分析（《中国全科医学》2023 年）”等信息不完整，建议补全“作者. 题名[J]. 刊名, 年, 卷(期): 页码/DOI”；“中国老龄协会调研”“解放军总医院调查”等亦需注明报告全称与年份，便于核查。</w:t>
      </w:r>
    </w:p>
  </w:comment>
  <w:comment w:id="6" w:author="summit" w:date="2026-10-17T00:57:36Z" w:initials="s">
    <w:p w14:paraId="6D07F27B">
      <w:r>
        <w:t>【数据核实·建议修改】据《国家药品不良反应监测年度报告（2024 年）》，65 岁及以上老年患者占报告总数 33.4%（2023 年为 33.1%）。文中“34.5%”与官方最新口径不符，建议核对：或更正为 33.4%，或注明 34.5% 的具体出处与统计口径。</w:t>
      </w:r>
    </w:p>
  </w:comment>
  <w:comment w:id="7" w:author="summit" w:date="2026-10-17T00:57:36Z" w:initials="s">
    <w:p w14:paraId="372B9EE7">
      <w:r>
        <w:t>【数据引用风险·重要】“服用 5 种药物…13%、8 种及以上…82%”与主流文献不符：13% 对应同时服用 2 种药物的风险，5 种药物约 58%，7 种及以上为 82%（Goldberg et al. 1996 及后续综述）。建议更正数据并补文献出处，避免评审专家质疑材料准确性。</w:t>
      </w:r>
    </w:p>
  </w:comment>
  <w:comment w:id="8" w:author="summit" w:date="2026-10-17T00:57:36Z" w:initials="s">
    <w:p w14:paraId="3DEAD5A4">
      <w:r>
        <w:t>【可行性·目标可测量】建议将“减少漏服错服、提升依从性”量化为可检验终点：主要终点为试点前后 MMAS-8 评分变化、系统日志依从率与漏服次数变化；次要终点为家属满意度、异常事件数。并明确样本量、观察周期与对照设计（单组前后对照或社区平行对照）。</w:t>
      </w:r>
    </w:p>
  </w:comment>
  <w:comment w:id="9" w:author="summit" w:date="2026-10-17T00:57:36Z" w:initials="s">
    <w:p w14:paraId="608B2F53">
      <w:r>
        <w:t>【学术严谨·标准依据】“Beers 标准”为美国标准，建议并列国内权威依据：《2024 版中国老年人潜在不适当用药（PIM-China）标准》（中国全科医学, 2026, 29(24): 3409-3415）与《老年人多重用药评估与管理中国专家共识（2024）》，更契合中国人群；“1494 条”知识库建议注明构建方法、来源、版本与更新机制。</w:t>
      </w:r>
    </w:p>
  </w:comment>
  <w:comment w:id="10" w:author="summit" w:date="2026-10-17T00:57:36Z" w:initials="s">
    <w:p w14:paraId="0E5DE462">
      <w:r>
        <w:t>【学术前沿·细化建议】四层架构建议用一个总图（图1）呈现数据流与失效回退路径；RAG 部分补充检索范围、召回策略与拒答阈值设计。可参考近期医学大模型幻觉评测研究（如 MedHalu、AAAI-26 MHB 基准）设计评测口径，并在文中引用，以体现技术路线的前沿性。</w:t>
      </w:r>
    </w:p>
  </w:comment>
  <w:comment w:id="11" w:author="summit" w:date="2026-10-17T00:57:36Z" w:initials="s">
    <w:p w14:paraId="548BACF7">
      <w:r>
        <w:t>【申报规范·编号】本段为研究内容第（3）项，但缺失“（3）”序号（前有（1）（2）、后有（4）（5））。建议补上序号并统一句式，如“（3）适老化网页系统开发与功能实现。”</w:t>
      </w:r>
    </w:p>
  </w:comment>
  <w:comment w:id="12" w:author="summit" w:date="2026-10-17T00:57:36Z" w:initials="s">
    <w:p w14:paraId="7C443210">
      <w:r>
        <w:t>【申报规范·图表】表号冲突：本处功能表无表题，而后文已有“表3 系统测试类型与重点”；正文两处“表3”所指不同。建议本表题注“表3 系统板块与功能清单”，测试表改为“表4”并同步更新正文引用；另为文中两张系统截图补“图1/图2”图注及正文引用。</w:t>
      </w:r>
    </w:p>
  </w:comment>
  <w:comment w:id="13" w:author="summit" w:date="2026-10-17T00:57:36Z" w:initials="s">
    <w:p w14:paraId="3256EA3D">
      <w:r>
        <w:t>【可行性·试点资源】试点安排尚缺具体承接方。建议在“研究基础与合作条件”中明确：拟合作的社区/养老机构名称或意向、对接人、可支持的样本规模与时间窗口，并附合作意向或调研许可佐证，避免评审质疑“试点落地能力”。</w:t>
      </w:r>
    </w:p>
  </w:comment>
  <w:comment w:id="14" w:author="summit" w:date="2026-10-17T00:57:36Z" w:initials="s">
    <w:p w14:paraId="6463B4EF">
      <w:r>
        <w:t>【测试方法学】“拦截率≥95%”需补充：对抗样本集构建方法（数量、来源、是否参考 MedHalu/MHB 等幻觉基准）、判定标准（双人标注+仲裁）、测试轮次与记录。另建议将“零容忍项”（编造药品信息、越界诊疗建议）单独设为必须 100% 拦截的硬指标。</w:t>
      </w:r>
    </w:p>
  </w:comment>
  <w:comment w:id="15" w:author="summit" w:date="2026-10-17T00:57:36Z" w:initials="s">
    <w:p w14:paraId="324AFBD1">
      <w:r>
        <w:t>【可行性·评价工具】建议采用标准化工具并写明依据：①用药依从性——中文版 MMAS-8 量表（已有信效度研究）；②可用性——SUS 系统可用性量表，并说明样本量与统计学依据；③适老化——对照工信部《互联网网站适老化通用设计规范》（2021）逐条自查（特大字体、语音阅读、无广告弹窗等）。</w:t>
      </w:r>
    </w:p>
  </w:comment>
  <w:comment w:id="16" w:author="summit" w:date="2026-10-17T00:57:36Z" w:initials="s">
    <w:p w14:paraId="0AE40F2C">
      <w:r>
        <w:t>【申报规范·编号】3.2 关键问题列表本项缺少序号“2.”（现为 1.→本项→3.→4.→5.）。建议改为“2. 老年用户使用门槛：……”，保证条目完整。</w:t>
      </w:r>
    </w:p>
  </w:comment>
  <w:comment w:id="17" w:author="summit" w:date="2026-10-17T00:57:36Z" w:initials="s">
    <w:p w14:paraId="717D2790">
      <w:r>
        <w:t>【伦理与合规·建议补充】①面向老年人的问卷、访谈与试点，建议先经学校伦理审查或说明豁免依据，并取得知情同意；②依《个人信息保护法》，服药记录、血压血糖属敏感个人信息，建议写明最小必要收集、加密存储、分级授权与撤回/删除机制；③依《人工智能生成合成内容标识办法》（2025-09-01施行），为AI生成内容添加显式/隐式标识。</w:t>
      </w:r>
    </w:p>
  </w:comment>
  <w:comment w:id="18" w:author="summit" w:date="2026-10-17T00:57:36Z" w:initials="s">
    <w:p w14:paraId="659971F9">
      <w:r>
        <w:t>【申报成功率·评分维度】作为“创业训练项目”，建议强化商业实现路径：市场容量测算、目标客户（社区/家属付费意愿）、成本与收入模型（现月成本“数十元”可给出测算表）、与竞品的差异化对比、可持续运营方案。把“公益性”转为“可持续性”叙事更契合该类评审偏好。</w:t>
      </w:r>
    </w:p>
  </w:comment>
  <w:comment w:id="19" w:author="summit" w:date="2026-10-17T00:57:36Z" w:initials="s">
    <w:p w14:paraId="47ADFD32">
      <w:r>
        <w:t>【预算规范】软件著作权登记自 2017-04-01 起已停征登记费（财税〔2017〕20 号），建议该条目删去“软著申请费”或改列代理/整理材料支出，并兼顾论文查重、润色等实际开支；预算各项建议附测算依据（单价×数量）。</w:t>
      </w:r>
    </w:p>
  </w:comment>
  <w:comment w:id="20" w:author="summit" w:date="2026-10-17T00:57:36Z" w:initials="s">
    <w:p w14:paraId="4EB5B62C">
      <w:r>
        <w:t>【申报规范·名称更新】“互联网+”大赛自2023年起已更名为“中国国际大学生创新大赛”（教育部主办，教高函〔2023〕6号）。建议改为“参加中国国际大学生创新大赛（原“互联网+”大赛）等竞赛并力争获奖”，避免使用过时名称。</w:t>
      </w:r>
    </w:p>
  </w:comment>
  <w:comment w:id="21" w:author="summit" w:date="2026-10-17T00:57:36Z" w:initials="s">
    <w:p w14:paraId="5146FBA4">
      <w:r>
        <w:t>【申报规范·成果标注】建议同时核对校级大创管理办法对论文/软著署名顺序与致谢表述要求；发表前先向科研管理部门确认单位署名格式，避免结题时标注不合规。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390A05A" w15:done="0"/>
  <w15:commentEx w15:paraId="7187F041" w15:done="0"/>
  <w15:commentEx w15:paraId="3D0D368A" w15:done="0"/>
  <w15:commentEx w15:paraId="14F3A414" w15:done="0"/>
  <w15:commentEx w15:paraId="6D670EC4" w15:done="0"/>
  <w15:commentEx w15:paraId="34556FCE" w15:done="0"/>
  <w15:commentEx w15:paraId="6D07F27B" w15:done="0"/>
  <w15:commentEx w15:paraId="372B9EE7" w15:done="0"/>
  <w15:commentEx w15:paraId="3DEAD5A4" w15:done="0"/>
  <w15:commentEx w15:paraId="608B2F53" w15:done="0"/>
  <w15:commentEx w15:paraId="0E5DE462" w15:done="0"/>
  <w15:commentEx w15:paraId="548BACF7" w15:done="0"/>
  <w15:commentEx w15:paraId="7C443210" w15:done="0"/>
  <w15:commentEx w15:paraId="3256EA3D" w15:done="0"/>
  <w15:commentEx w15:paraId="6463B4EF" w15:done="0"/>
  <w15:commentEx w15:paraId="324AFBD1" w15:done="0"/>
  <w15:commentEx w15:paraId="0AE40F2C" w15:done="0"/>
  <w15:commentEx w15:paraId="717D2790" w15:done="0"/>
  <w15:commentEx w15:paraId="659971F9" w15:done="0"/>
  <w15:commentEx w15:paraId="47ADFD32" w15:done="0"/>
  <w15:commentEx w15:paraId="4EB5B62C" w15:done="0"/>
  <w15:commentEx w15:paraId="5146FBA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BA55E">
    <w:pPr>
      <w:pStyle w:val="2"/>
      <w:framePr w:w="1079" w:wrap="around" w:vAnchor="text" w:hAnchor="margin" w:xAlign="outside" w:y="7"/>
      <w:rPr>
        <w:rStyle w:val="6"/>
        <w:rFonts w:eastAsia="仿宋_GB2312"/>
        <w:sz w:val="28"/>
        <w:szCs w:val="28"/>
      </w:rPr>
    </w:pPr>
    <w:r>
      <w:rPr>
        <w:rStyle w:val="6"/>
        <w:sz w:val="28"/>
      </w:rPr>
      <w:t>––</w:t>
    </w:r>
    <w:r>
      <w:rPr>
        <w:rStyle w:val="6"/>
        <w:rFonts w:hint="eastAsia"/>
        <w:sz w:val="28"/>
      </w:rPr>
      <w:t xml:space="preserve"> </w:t>
    </w:r>
    <w:r>
      <w:rPr>
        <w:rStyle w:val="6"/>
        <w:rFonts w:eastAsia="仿宋_GB2312"/>
        <w:sz w:val="28"/>
        <w:szCs w:val="28"/>
      </w:rPr>
      <w:fldChar w:fldCharType="begin"/>
    </w:r>
    <w:r>
      <w:rPr>
        <w:rStyle w:val="6"/>
        <w:rFonts w:eastAsia="仿宋_GB2312"/>
        <w:sz w:val="28"/>
        <w:szCs w:val="28"/>
      </w:rPr>
      <w:instrText xml:space="preserve">PAGE  </w:instrText>
    </w:r>
    <w:r>
      <w:rPr>
        <w:rStyle w:val="6"/>
        <w:rFonts w:eastAsia="仿宋_GB2312"/>
        <w:sz w:val="28"/>
        <w:szCs w:val="28"/>
      </w:rPr>
      <w:fldChar w:fldCharType="separate"/>
    </w:r>
    <w:r>
      <w:rPr>
        <w:rStyle w:val="6"/>
        <w:rFonts w:eastAsia="仿宋_GB2312"/>
        <w:sz w:val="28"/>
        <w:szCs w:val="28"/>
      </w:rPr>
      <w:t>1</w:t>
    </w:r>
    <w:r>
      <w:rPr>
        <w:rStyle w:val="6"/>
        <w:rFonts w:eastAsia="仿宋_GB2312"/>
        <w:sz w:val="28"/>
        <w:szCs w:val="28"/>
      </w:rPr>
      <w:fldChar w:fldCharType="end"/>
    </w:r>
    <w:r>
      <w:rPr>
        <w:rStyle w:val="6"/>
        <w:rFonts w:hint="eastAsia" w:eastAsia="仿宋_GB2312"/>
        <w:sz w:val="28"/>
        <w:szCs w:val="28"/>
      </w:rPr>
      <w:t xml:space="preserve"> </w:t>
    </w:r>
    <w:r>
      <w:rPr>
        <w:rStyle w:val="6"/>
        <w:sz w:val="28"/>
      </w:rPr>
      <w:t>––</w:t>
    </w:r>
  </w:p>
  <w:p w14:paraId="7A862F9E">
    <w:pPr>
      <w:pStyle w:val="2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B3C64"/>
    <w:multiLevelType w:val="singleLevel"/>
    <w:tmpl w:val="88AB3C64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1FCAEA86"/>
    <w:multiLevelType w:val="singleLevel"/>
    <w:tmpl w:val="1FCAEA8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ummit">
    <w15:presenceInfo w15:providerId="None" w15:userId="summi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A0B77"/>
    <w:rsid w:val="01CC1E82"/>
    <w:rsid w:val="05AA02EA"/>
    <w:rsid w:val="06253E14"/>
    <w:rsid w:val="08203D45"/>
    <w:rsid w:val="08F663E7"/>
    <w:rsid w:val="0B586581"/>
    <w:rsid w:val="0BF87683"/>
    <w:rsid w:val="0C0F2A38"/>
    <w:rsid w:val="0C396D85"/>
    <w:rsid w:val="0E323572"/>
    <w:rsid w:val="0EE2320B"/>
    <w:rsid w:val="10E32902"/>
    <w:rsid w:val="11973DCE"/>
    <w:rsid w:val="142761D6"/>
    <w:rsid w:val="14AE3227"/>
    <w:rsid w:val="16DA6555"/>
    <w:rsid w:val="17242614"/>
    <w:rsid w:val="17D835A5"/>
    <w:rsid w:val="1B647381"/>
    <w:rsid w:val="1D6D3C7F"/>
    <w:rsid w:val="1ECE2D29"/>
    <w:rsid w:val="20B00A53"/>
    <w:rsid w:val="20F75336"/>
    <w:rsid w:val="211A2370"/>
    <w:rsid w:val="22B114A9"/>
    <w:rsid w:val="24653902"/>
    <w:rsid w:val="270D43CE"/>
    <w:rsid w:val="272950BB"/>
    <w:rsid w:val="27962024"/>
    <w:rsid w:val="284303FE"/>
    <w:rsid w:val="286345FC"/>
    <w:rsid w:val="2F243BB2"/>
    <w:rsid w:val="308F0036"/>
    <w:rsid w:val="30C6676A"/>
    <w:rsid w:val="33B21D82"/>
    <w:rsid w:val="375515B4"/>
    <w:rsid w:val="39064B69"/>
    <w:rsid w:val="3A16604D"/>
    <w:rsid w:val="3A251DFB"/>
    <w:rsid w:val="3A8326D1"/>
    <w:rsid w:val="3AAB3735"/>
    <w:rsid w:val="401A783F"/>
    <w:rsid w:val="40445CE2"/>
    <w:rsid w:val="409D1F9F"/>
    <w:rsid w:val="421F113C"/>
    <w:rsid w:val="42BE0955"/>
    <w:rsid w:val="43C231B6"/>
    <w:rsid w:val="445175A7"/>
    <w:rsid w:val="47F26248"/>
    <w:rsid w:val="481C49F5"/>
    <w:rsid w:val="4B2A2017"/>
    <w:rsid w:val="4F1555C1"/>
    <w:rsid w:val="5041313C"/>
    <w:rsid w:val="50597248"/>
    <w:rsid w:val="50825428"/>
    <w:rsid w:val="52721C3A"/>
    <w:rsid w:val="54123280"/>
    <w:rsid w:val="552E23F2"/>
    <w:rsid w:val="56FB4F67"/>
    <w:rsid w:val="570A0339"/>
    <w:rsid w:val="5D777921"/>
    <w:rsid w:val="5F5D4BFA"/>
    <w:rsid w:val="621243C2"/>
    <w:rsid w:val="685B0CAE"/>
    <w:rsid w:val="68D5773D"/>
    <w:rsid w:val="6DE12D93"/>
    <w:rsid w:val="711A0B77"/>
    <w:rsid w:val="76F01A11"/>
    <w:rsid w:val="796A0496"/>
    <w:rsid w:val="7AB92A90"/>
    <w:rsid w:val="7C6D4277"/>
    <w:rsid w:val="7CA35EEB"/>
    <w:rsid w:val="7D9E6463"/>
    <w:rsid w:val="7FAB3A34"/>
    <w:rsid w:val="7FFD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8153</Words>
  <Characters>8914</Characters>
  <Lines>0</Lines>
  <Paragraphs>0</Paragraphs>
  <TotalTime>8</TotalTime>
  <ScaleCrop>false</ScaleCrop>
  <LinksUpToDate>false</LinksUpToDate>
  <CharactersWithSpaces>9357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2026-10-15T17:29:00Z</dcterms:created>
  <dc:creator>余浩杰</dc:creator>
  <cp:lastModifiedBy>余浩杰</cp:lastModifiedBy>
  <dcterms:modified xsi:type="dcterms:W3CDTF">2026-10-22T03:21:33Z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0A7CB4D12764483E83062BFBD3C1EBD3_11</vt:lpwstr>
  </property>
  <property fmtid="{D5CDD505-2E9C-101B-9397-08002B2CF9AE}" pid="4" name="KSOTemplateDocerSaveRecord">
    <vt:lpwstr>eyJoZGlkIjoiOTc3M2Y5NzIzMDFlZjAyY2Q4Njk5ODkyYjFjNzBiNTQiLCJ1c2VySWQiOiIxNzYxOTAwMDg1In0=</vt:lpwstr>
  </property>
</Properties>
</file>