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93F7" w14:textId="77FF5AE9" w:rsidR="00D747E1" w:rsidRPr="005307DA" w:rsidRDefault="00D14713" w:rsidP="005307DA">
      <w:pPr>
        <w:jc w:val="center"/>
        <w:rPr>
          <w:b/>
          <w:bCs/>
          <w:sz w:val="30"/>
          <w:szCs w:val="30"/>
        </w:rPr>
      </w:pPr>
      <w:r w:rsidRPr="00D747E1">
        <w:rPr>
          <w:b/>
          <w:bCs/>
          <w:sz w:val="30"/>
          <w:szCs w:val="30"/>
        </w:rPr>
        <w:t xml:space="preserve">Summary of </w:t>
      </w:r>
      <w:r w:rsidR="00170F4C" w:rsidRPr="00D747E1">
        <w:rPr>
          <w:b/>
          <w:bCs/>
          <w:sz w:val="30"/>
          <w:szCs w:val="30"/>
        </w:rPr>
        <w:t xml:space="preserve">PID </w:t>
      </w:r>
      <w:r w:rsidRPr="00D747E1">
        <w:rPr>
          <w:b/>
          <w:bCs/>
          <w:sz w:val="30"/>
          <w:szCs w:val="30"/>
        </w:rPr>
        <w:t>References</w:t>
      </w:r>
    </w:p>
    <w:p w14:paraId="7F48CB51" w14:textId="368777A4" w:rsidR="00704B15" w:rsidRPr="002704D5" w:rsidRDefault="00704B15" w:rsidP="00170F4C">
      <w:pPr>
        <w:rPr>
          <w:b/>
          <w:bCs/>
          <w:sz w:val="26"/>
          <w:szCs w:val="26"/>
        </w:rPr>
      </w:pPr>
      <w:r w:rsidRPr="002704D5">
        <w:rPr>
          <w:b/>
          <w:bCs/>
          <w:sz w:val="26"/>
          <w:szCs w:val="26"/>
        </w:rPr>
        <w:t>Data &amp; Features</w:t>
      </w:r>
    </w:p>
    <w:p w14:paraId="19AECB28" w14:textId="31372552" w:rsidR="00704B15" w:rsidRDefault="00A1666B" w:rsidP="00170F4C">
      <w:r>
        <w:t>The Pima Indian Diabetes (PID) dataset is originally from the national institute of diabetes and digestive and kidney diseases (NIDDK).</w:t>
      </w:r>
      <w:r w:rsidR="003B53A9">
        <w:t xml:space="preserve"> PID dataset consists of 768 </w:t>
      </w:r>
      <w:r w:rsidR="001E58EA">
        <w:t xml:space="preserve">female </w:t>
      </w:r>
      <w:r w:rsidR="003B53A9">
        <w:t>patients’ record</w:t>
      </w:r>
      <w:r w:rsidR="00F05879">
        <w:t xml:space="preserve"> from </w:t>
      </w:r>
      <w:r w:rsidR="00983934">
        <w:t xml:space="preserve">a near Phoenix, </w:t>
      </w:r>
      <w:r w:rsidR="00F05879">
        <w:t>Arizona, USA</w:t>
      </w:r>
      <w:r w:rsidR="00082CAD">
        <w:t xml:space="preserve"> population who were examined for diabetes</w:t>
      </w:r>
      <w:r w:rsidR="00554F2C">
        <w:t xml:space="preserve">, </w:t>
      </w:r>
      <w:r w:rsidR="00F05879">
        <w:t xml:space="preserve">and </w:t>
      </w:r>
      <w:r w:rsidR="00EB1B5A">
        <w:t xml:space="preserve">this dataset </w:t>
      </w:r>
      <w:r w:rsidR="00F05879">
        <w:t xml:space="preserve">is </w:t>
      </w:r>
      <w:r w:rsidR="00554F2C">
        <w:t>composed of diabetic</w:t>
      </w:r>
      <w:r w:rsidR="00CF3CC1">
        <w:t xml:space="preserve"> (268, 34.9%)</w:t>
      </w:r>
      <w:r w:rsidR="00554F2C">
        <w:t xml:space="preserve"> and non-diabetic</w:t>
      </w:r>
      <w:r w:rsidR="00CF3CC1">
        <w:t xml:space="preserve"> (500, 65.1%)</w:t>
      </w:r>
      <w:r w:rsidR="00554F2C">
        <w:t>.</w:t>
      </w:r>
      <w:r w:rsidR="001E58EA">
        <w:t xml:space="preserve"> </w:t>
      </w:r>
      <w:r w:rsidR="00C65D0E">
        <w:t xml:space="preserve">Except </w:t>
      </w:r>
      <w:r w:rsidR="00324C72">
        <w:t>the diabetes identifier, PID is comprised of 8 numeric attributes which contains personal health data and medical examination results.</w:t>
      </w:r>
      <w:r w:rsidR="001B7AFB">
        <w:t xml:space="preserve"> </w:t>
      </w:r>
      <w:r w:rsidR="001B7AFB" w:rsidRPr="006F55B6">
        <w:rPr>
          <w:b/>
          <w:bCs/>
        </w:rPr>
        <w:t>Table 1</w:t>
      </w:r>
      <w:r w:rsidR="001B7AFB">
        <w:t xml:space="preserve"> shows the description and statistic of the attributes of PID.</w:t>
      </w:r>
    </w:p>
    <w:p w14:paraId="0FBAF956" w14:textId="05D38DE2" w:rsidR="006D080B" w:rsidRDefault="006D080B" w:rsidP="00B67634">
      <w:pPr>
        <w:spacing w:after="0"/>
      </w:pPr>
      <w:r w:rsidRPr="006D080B">
        <w:rPr>
          <w:noProof/>
        </w:rPr>
        <w:drawing>
          <wp:inline distT="0" distB="0" distL="0" distR="0" wp14:anchorId="2CAC8E4D" wp14:editId="02B85933">
            <wp:extent cx="5943600" cy="1697355"/>
            <wp:effectExtent l="0" t="0" r="0" b="0"/>
            <wp:docPr id="17275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6AD31E15" w14:textId="4FF6B069" w:rsidR="006D080B" w:rsidRPr="00B67634" w:rsidRDefault="00B67634" w:rsidP="00B67634">
      <w:pPr>
        <w:jc w:val="center"/>
        <w:rPr>
          <w:sz w:val="18"/>
          <w:szCs w:val="18"/>
        </w:rPr>
      </w:pPr>
      <w:r w:rsidRPr="00B67634">
        <w:rPr>
          <w:b/>
          <w:bCs/>
          <w:sz w:val="18"/>
          <w:szCs w:val="18"/>
        </w:rPr>
        <w:t>Table 1</w:t>
      </w:r>
      <w:r w:rsidRPr="00B67634">
        <w:rPr>
          <w:sz w:val="18"/>
          <w:szCs w:val="18"/>
        </w:rPr>
        <w:t>: Attributes of PID dataset</w:t>
      </w:r>
    </w:p>
    <w:p w14:paraId="6E4CA3F2" w14:textId="0F163BED" w:rsidR="00B67634" w:rsidRDefault="00DA0C2C" w:rsidP="00170F4C">
      <w:r>
        <w:t xml:space="preserve">The PID dataset doesn’t have blank value, but some variables, such as Glucose and Diastolic Blood Pressure, show value as 0, which is not reasonable. Data quality is important, so we need to fix the issue of missing value. </w:t>
      </w:r>
      <w:r w:rsidR="003F7313">
        <w:t>Based on the domain knowledge, the above 8 attributes’ value is supposed to related to if the patient is diabetic or not, which means we should assign value by diabetes identifier. Also, mean is a measure impacted by the extreme value, which needs to be avoided. So, in this research, median by diabetes (or not) is assigned to each variable with missing value</w:t>
      </w:r>
      <w:r w:rsidR="00284DF2">
        <w:t xml:space="preserve">; if median </w:t>
      </w:r>
      <w:r w:rsidR="005F2D20">
        <w:t>is 0,</w:t>
      </w:r>
      <w:r w:rsidR="00284DF2">
        <w:t xml:space="preserve"> mean value is applied.</w:t>
      </w:r>
    </w:p>
    <w:p w14:paraId="5FF9F490" w14:textId="40C54FAE" w:rsidR="001028F2" w:rsidRDefault="001028F2" w:rsidP="00170F4C">
      <w:r>
        <w:t>Correlation is calculated by Pearson’s correlation method.</w:t>
      </w:r>
    </w:p>
    <w:p w14:paraId="7FA5A44F" w14:textId="6134A229" w:rsidR="00A758DC" w:rsidRDefault="00A758DC" w:rsidP="00A758DC">
      <w:pPr>
        <w:jc w:val="center"/>
      </w:pPr>
      <w:r>
        <w:rPr>
          <w:noProof/>
        </w:rPr>
        <w:drawing>
          <wp:inline distT="0" distB="0" distL="0" distR="0" wp14:anchorId="3B3DD9A2" wp14:editId="5D25998D">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65E2843" w14:textId="4F60DFA2" w:rsidR="00BF02E6" w:rsidRDefault="007042D9" w:rsidP="00170F4C">
      <w:pPr>
        <w:rPr>
          <w:color w:val="FF0000"/>
        </w:rPr>
      </w:pPr>
      <w:r>
        <w:t>Normalization</w:t>
      </w:r>
      <w:r w:rsidR="002A5B92">
        <w:t xml:space="preserve"> – improve speed and reduce runtime complexity</w:t>
      </w:r>
      <w:r w:rsidR="009227AB">
        <w:t xml:space="preserve">. </w:t>
      </w:r>
      <w:r w:rsidR="00BF02E6" w:rsidRPr="0015764C">
        <w:rPr>
          <w:color w:val="FF0000"/>
        </w:rPr>
        <w:t>More: PCA &amp; K-means</w:t>
      </w:r>
    </w:p>
    <w:p w14:paraId="3AD4DDE2" w14:textId="77777777" w:rsidR="00FD2C03" w:rsidRDefault="009544A6" w:rsidP="00170F4C">
      <w:pPr>
        <w:rPr>
          <w:b/>
          <w:bCs/>
          <w:sz w:val="26"/>
          <w:szCs w:val="26"/>
        </w:rPr>
      </w:pPr>
      <w:r w:rsidRPr="00D81E9B">
        <w:rPr>
          <w:b/>
          <w:bCs/>
          <w:sz w:val="26"/>
          <w:szCs w:val="26"/>
        </w:rPr>
        <w:lastRenderedPageBreak/>
        <w:t xml:space="preserve">Prelim Results </w:t>
      </w:r>
    </w:p>
    <w:p w14:paraId="50B734C4" w14:textId="5B50A4AD" w:rsidR="009544A6" w:rsidRPr="00FD2C03" w:rsidRDefault="009544A6" w:rsidP="00FD2C03">
      <w:pPr>
        <w:pStyle w:val="ListParagraph"/>
        <w:numPr>
          <w:ilvl w:val="0"/>
          <w:numId w:val="3"/>
        </w:numPr>
      </w:pPr>
      <w:r w:rsidRPr="00FD2C03">
        <w:t>Logistic Regression</w:t>
      </w:r>
    </w:p>
    <w:p w14:paraId="4ADF943B" w14:textId="20D19F56" w:rsidR="009544A6" w:rsidRPr="009544A6" w:rsidRDefault="00E95A33" w:rsidP="00E95A33">
      <w:pPr>
        <w:jc w:val="center"/>
      </w:pPr>
      <w:r w:rsidRPr="00E95A33">
        <w:rPr>
          <w:noProof/>
        </w:rPr>
        <w:drawing>
          <wp:inline distT="0" distB="0" distL="0" distR="0" wp14:anchorId="31695D2C" wp14:editId="1C408BF5">
            <wp:extent cx="5943600" cy="4193540"/>
            <wp:effectExtent l="0" t="0" r="0" b="0"/>
            <wp:docPr id="822263868"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63868" name="Picture 3"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p>
    <w:p w14:paraId="6FDCF24C" w14:textId="441AA556" w:rsidR="009544A6" w:rsidRDefault="00FD2C03" w:rsidP="00FD2C03">
      <w:pPr>
        <w:pStyle w:val="ListParagraph"/>
        <w:numPr>
          <w:ilvl w:val="0"/>
          <w:numId w:val="3"/>
        </w:numPr>
      </w:pPr>
      <w:r>
        <w:t>SVM</w:t>
      </w:r>
    </w:p>
    <w:p w14:paraId="06FD38BE" w14:textId="2BD0EA50" w:rsidR="00FD2C03" w:rsidRDefault="00751E25" w:rsidP="00FD2C03">
      <w:r>
        <w:rPr>
          <w:noProof/>
        </w:rPr>
        <w:drawing>
          <wp:inline distT="0" distB="0" distL="0" distR="0" wp14:anchorId="08B9C0B4" wp14:editId="2E44F060">
            <wp:extent cx="5943600" cy="2694305"/>
            <wp:effectExtent l="0" t="0" r="0" b="0"/>
            <wp:docPr id="119864789"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789" name="Picture 1" descr="Graphical user interface, application&#10;&#10;Description automatically generated with medium confidence"/>
                    <pic:cNvPicPr/>
                  </pic:nvPicPr>
                  <pic:blipFill>
                    <a:blip r:embed="rId8"/>
                    <a:stretch>
                      <a:fillRect/>
                    </a:stretch>
                  </pic:blipFill>
                  <pic:spPr>
                    <a:xfrm>
                      <a:off x="0" y="0"/>
                      <a:ext cx="5943600" cy="2694305"/>
                    </a:xfrm>
                    <a:prstGeom prst="rect">
                      <a:avLst/>
                    </a:prstGeom>
                  </pic:spPr>
                </pic:pic>
              </a:graphicData>
            </a:graphic>
          </wp:inline>
        </w:drawing>
      </w:r>
    </w:p>
    <w:p w14:paraId="46DB4A73" w14:textId="77777777" w:rsidR="00751E25" w:rsidRDefault="00751E25" w:rsidP="00FD2C03"/>
    <w:p w14:paraId="03BEB191" w14:textId="7F698C7F" w:rsidR="00FD2C03" w:rsidRDefault="00FD2C03" w:rsidP="00FD2C03">
      <w:pPr>
        <w:pStyle w:val="ListParagraph"/>
        <w:numPr>
          <w:ilvl w:val="0"/>
          <w:numId w:val="3"/>
        </w:numPr>
      </w:pPr>
      <w:r>
        <w:lastRenderedPageBreak/>
        <w:t>Naïve Bayes</w:t>
      </w:r>
    </w:p>
    <w:p w14:paraId="753A564E" w14:textId="149F28D4" w:rsidR="00FD2C03" w:rsidRDefault="00751E25" w:rsidP="00170F4C">
      <w:r w:rsidRPr="00751E25">
        <w:rPr>
          <w:noProof/>
        </w:rPr>
        <w:drawing>
          <wp:inline distT="0" distB="0" distL="0" distR="0" wp14:anchorId="46F21036" wp14:editId="521E83C5">
            <wp:extent cx="5943600" cy="2776220"/>
            <wp:effectExtent l="0" t="0" r="0" b="5080"/>
            <wp:docPr id="169294934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49347" name="Picture 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5FF2DF01" w14:textId="77777777" w:rsidR="00FD2C03" w:rsidRPr="009544A6" w:rsidRDefault="00FD2C03" w:rsidP="00170F4C"/>
    <w:p w14:paraId="658AC6ED" w14:textId="6758421B" w:rsidR="00704B15" w:rsidRPr="002704D5" w:rsidRDefault="00704B15" w:rsidP="00170F4C">
      <w:pPr>
        <w:rPr>
          <w:b/>
          <w:bCs/>
          <w:sz w:val="26"/>
          <w:szCs w:val="26"/>
        </w:rPr>
      </w:pPr>
      <w:r w:rsidRPr="002704D5">
        <w:rPr>
          <w:b/>
          <w:bCs/>
          <w:sz w:val="26"/>
          <w:szCs w:val="26"/>
        </w:rPr>
        <w:t>References</w:t>
      </w:r>
    </w:p>
    <w:p w14:paraId="2082E64C" w14:textId="186620BE" w:rsidR="00170F4C" w:rsidRDefault="00B33AD3" w:rsidP="00B33AD3">
      <w:pPr>
        <w:pStyle w:val="ListParagraph"/>
        <w:numPr>
          <w:ilvl w:val="0"/>
          <w:numId w:val="2"/>
        </w:numPr>
      </w:pPr>
      <w:r>
        <w:t>T.M. Alam, et al., Informatics in medicine unlocked a model for early prediction of diabetes, Inform. Med. Unlocked 16 (2019) 100204.</w:t>
      </w:r>
    </w:p>
    <w:p w14:paraId="03D0B7A6" w14:textId="0879268A" w:rsidR="00B33AD3" w:rsidRDefault="00B33AD3" w:rsidP="00B33AD3">
      <w:pPr>
        <w:pStyle w:val="ListParagraph"/>
        <w:numPr>
          <w:ilvl w:val="1"/>
          <w:numId w:val="2"/>
        </w:numPr>
      </w:pPr>
      <w:r>
        <w:t>ANN – 75.7%</w:t>
      </w:r>
    </w:p>
    <w:p w14:paraId="3A03CA74" w14:textId="247F5F00" w:rsidR="00B33AD3" w:rsidRDefault="00B33AD3" w:rsidP="00B33AD3">
      <w:pPr>
        <w:pStyle w:val="ListParagraph"/>
        <w:numPr>
          <w:ilvl w:val="0"/>
          <w:numId w:val="2"/>
        </w:numPr>
      </w:pPr>
      <w:r>
        <w:t>D. Sisodia, D.S. Sisodia, Prediction of diabetes using classification algorithms, Procedia Comput. Sci. 132 (2018) 1578–1585.</w:t>
      </w:r>
    </w:p>
    <w:p w14:paraId="6804A35B" w14:textId="5D8E457B" w:rsidR="00B33AD3" w:rsidRDefault="00B33AD3" w:rsidP="00B33AD3">
      <w:pPr>
        <w:pStyle w:val="ListParagraph"/>
        <w:numPr>
          <w:ilvl w:val="1"/>
          <w:numId w:val="2"/>
        </w:numPr>
      </w:pPr>
      <w:r>
        <w:t>SVM</w:t>
      </w:r>
    </w:p>
    <w:p w14:paraId="1306F907" w14:textId="4250C061" w:rsidR="00B33AD3" w:rsidRDefault="00B33AD3" w:rsidP="00B33AD3">
      <w:pPr>
        <w:pStyle w:val="ListParagraph"/>
        <w:numPr>
          <w:ilvl w:val="1"/>
          <w:numId w:val="2"/>
        </w:numPr>
      </w:pPr>
      <w:r>
        <w:t>NB – 76.30%</w:t>
      </w:r>
    </w:p>
    <w:p w14:paraId="6ECDF25F" w14:textId="18AE0817" w:rsidR="00B33AD3" w:rsidRDefault="00B33AD3" w:rsidP="00B33AD3">
      <w:pPr>
        <w:pStyle w:val="ListParagraph"/>
        <w:numPr>
          <w:ilvl w:val="1"/>
          <w:numId w:val="2"/>
        </w:numPr>
      </w:pPr>
      <w:r>
        <w:t>DT</w:t>
      </w:r>
    </w:p>
    <w:p w14:paraId="7517B9B5" w14:textId="02F912AC" w:rsidR="00B33AD3" w:rsidRDefault="00B33AD3" w:rsidP="00B33AD3">
      <w:pPr>
        <w:pStyle w:val="ListParagraph"/>
        <w:numPr>
          <w:ilvl w:val="0"/>
          <w:numId w:val="2"/>
        </w:numPr>
      </w:pPr>
      <w:r>
        <w:t>N.P. Tigga, S. Garg, Predicting type 2 Diabetes using Logistic Regression accepted to publish in: Lecture Notes of Electrical Engineering, Springer.</w:t>
      </w:r>
    </w:p>
    <w:p w14:paraId="56566AE2" w14:textId="14FE7226" w:rsidR="00B33AD3" w:rsidRDefault="00B33AD3" w:rsidP="00B33AD3">
      <w:pPr>
        <w:pStyle w:val="ListParagraph"/>
        <w:numPr>
          <w:ilvl w:val="1"/>
          <w:numId w:val="2"/>
        </w:numPr>
      </w:pPr>
      <w:r>
        <w:t>LR – 75.32%</w:t>
      </w:r>
    </w:p>
    <w:p w14:paraId="07FA89CA" w14:textId="6FF2BDEB" w:rsidR="00B33AD3" w:rsidRDefault="00B33AD3" w:rsidP="00B33AD3">
      <w:pPr>
        <w:pStyle w:val="ListParagraph"/>
        <w:numPr>
          <w:ilvl w:val="1"/>
          <w:numId w:val="2"/>
        </w:numPr>
      </w:pPr>
      <w:r>
        <w:t># of pregnancies, BMI &amp; glucose level are the most significant variables</w:t>
      </w:r>
    </w:p>
    <w:p w14:paraId="192CA52F" w14:textId="75CCD40E" w:rsidR="00865C29" w:rsidRDefault="00865C29" w:rsidP="00865C29">
      <w:pPr>
        <w:pStyle w:val="ListParagraph"/>
        <w:numPr>
          <w:ilvl w:val="0"/>
          <w:numId w:val="2"/>
        </w:numPr>
      </w:pPr>
      <w:r>
        <w:t xml:space="preserve">Salim Amour Diwani, Anael Sam, Diabetes forecasting using supervised learning techniques, Adv. Comput. Sci.: Int. J. [S.l.] (ISSN: 2322-5157) (2014) 10–18, Available at: </w:t>
      </w:r>
      <w:hyperlink r:id="rId10" w:history="1">
        <w:r w:rsidRPr="00AE3715">
          <w:rPr>
            <w:rStyle w:val="Hyperlink"/>
          </w:rPr>
          <w:t>http://www.acsij.org/acsij/article/view/156</w:t>
        </w:r>
      </w:hyperlink>
      <w:r>
        <w:t>.</w:t>
      </w:r>
    </w:p>
    <w:p w14:paraId="0D224E58" w14:textId="66C59844" w:rsidR="00865C29" w:rsidRDefault="00865C29" w:rsidP="00865C29">
      <w:pPr>
        <w:pStyle w:val="ListParagraph"/>
        <w:numPr>
          <w:ilvl w:val="1"/>
          <w:numId w:val="2"/>
        </w:numPr>
      </w:pPr>
      <w:r>
        <w:t>10 cross-validations</w:t>
      </w:r>
    </w:p>
    <w:p w14:paraId="5975335D" w14:textId="7D78C412" w:rsidR="00865C29" w:rsidRDefault="00865C29" w:rsidP="00865C29">
      <w:pPr>
        <w:pStyle w:val="ListParagraph"/>
        <w:numPr>
          <w:ilvl w:val="1"/>
          <w:numId w:val="2"/>
        </w:numPr>
      </w:pPr>
      <w:r>
        <w:t>NB – 76.3021%</w:t>
      </w:r>
    </w:p>
    <w:p w14:paraId="5F4091CF" w14:textId="25F8D234" w:rsidR="00865C29" w:rsidRDefault="00865C29" w:rsidP="00865C29">
      <w:pPr>
        <w:pStyle w:val="ListParagraph"/>
        <w:numPr>
          <w:ilvl w:val="1"/>
          <w:numId w:val="2"/>
        </w:numPr>
      </w:pPr>
      <w:r>
        <w:t>DT</w:t>
      </w:r>
    </w:p>
    <w:p w14:paraId="579AB774" w14:textId="5AEEE0A3" w:rsidR="00865C29" w:rsidRDefault="00865C29" w:rsidP="00865C29">
      <w:pPr>
        <w:pStyle w:val="ListParagraph"/>
        <w:numPr>
          <w:ilvl w:val="0"/>
          <w:numId w:val="2"/>
        </w:numPr>
      </w:pPr>
      <w:r>
        <w:t xml:space="preserve">Q. Zou, K. Qu, Y. Luo, D. Yin, Y. Ju, H. Tang, Predicting Diabetes Mellitus with Machine Learning Techniques, Vol. 9, Frontiers in genetics, 2018, p. 515, </w:t>
      </w:r>
      <w:hyperlink r:id="rId11" w:history="1">
        <w:r w:rsidRPr="00AE3715">
          <w:rPr>
            <w:rStyle w:val="Hyperlink"/>
          </w:rPr>
          <w:t>http://dx.doi.org/10.3389/fgene.2018.00515</w:t>
        </w:r>
      </w:hyperlink>
      <w:r>
        <w:t>.</w:t>
      </w:r>
    </w:p>
    <w:p w14:paraId="0805ED33" w14:textId="0E6422B6" w:rsidR="00865C29" w:rsidRDefault="00C1274F" w:rsidP="00865C29">
      <w:pPr>
        <w:pStyle w:val="ListParagraph"/>
        <w:numPr>
          <w:ilvl w:val="1"/>
          <w:numId w:val="2"/>
        </w:numPr>
      </w:pPr>
      <w:r>
        <w:t>RF – 77.21%</w:t>
      </w:r>
    </w:p>
    <w:p w14:paraId="21891976" w14:textId="2E2625E9" w:rsidR="00C1274F" w:rsidRDefault="00C1274F" w:rsidP="00865C29">
      <w:pPr>
        <w:pStyle w:val="ListParagraph"/>
        <w:numPr>
          <w:ilvl w:val="1"/>
          <w:numId w:val="2"/>
        </w:numPr>
      </w:pPr>
      <w:r>
        <w:t>DT</w:t>
      </w:r>
    </w:p>
    <w:p w14:paraId="0EE6250D" w14:textId="4726FE19" w:rsidR="00C1274F" w:rsidRDefault="00C1274F" w:rsidP="00865C29">
      <w:pPr>
        <w:pStyle w:val="ListParagraph"/>
        <w:numPr>
          <w:ilvl w:val="1"/>
          <w:numId w:val="2"/>
        </w:numPr>
      </w:pPr>
      <w:r>
        <w:t>ANN</w:t>
      </w:r>
    </w:p>
    <w:p w14:paraId="12325B28" w14:textId="01140948" w:rsidR="00C1274F" w:rsidRDefault="00C1274F" w:rsidP="00865C29">
      <w:pPr>
        <w:pStyle w:val="ListParagraph"/>
        <w:numPr>
          <w:ilvl w:val="1"/>
          <w:numId w:val="2"/>
        </w:numPr>
      </w:pPr>
      <w:r>
        <w:lastRenderedPageBreak/>
        <w:t>PCA</w:t>
      </w:r>
    </w:p>
    <w:p w14:paraId="4756ECA6" w14:textId="2776D7F7" w:rsidR="00C1274F" w:rsidRDefault="00C1274F" w:rsidP="00865C29">
      <w:pPr>
        <w:pStyle w:val="ListParagraph"/>
        <w:numPr>
          <w:ilvl w:val="1"/>
          <w:numId w:val="2"/>
        </w:numPr>
      </w:pPr>
      <w:r>
        <w:t>Minimum Redundancy Maximum Relevance (mRMR)</w:t>
      </w:r>
    </w:p>
    <w:p w14:paraId="7E884EC4" w14:textId="781B8FA9" w:rsidR="00BF305A" w:rsidRDefault="0078353E" w:rsidP="0078353E">
      <w:pPr>
        <w:pStyle w:val="ListParagraph"/>
        <w:numPr>
          <w:ilvl w:val="0"/>
          <w:numId w:val="2"/>
        </w:numPr>
      </w:pPr>
      <w:r>
        <w:t>Bokhare, Anuja and Vandan Raj, N. 2023 International Conference for Advancement in Technology (ICONAT) Advancement in Technology (ICONAT), 2023 International Conference for. :1-5 Jan, 2023</w:t>
      </w:r>
      <w:r w:rsidR="00EE3ED3">
        <w:t>.</w:t>
      </w:r>
    </w:p>
    <w:p w14:paraId="5B7A9865" w14:textId="4F8A787A" w:rsidR="00433D45" w:rsidRDefault="00433D45" w:rsidP="00433D45">
      <w:pPr>
        <w:pStyle w:val="ListParagraph"/>
        <w:numPr>
          <w:ilvl w:val="1"/>
          <w:numId w:val="2"/>
        </w:numPr>
      </w:pPr>
      <w:r>
        <w:t>LR – 76.66%</w:t>
      </w:r>
    </w:p>
    <w:p w14:paraId="493A7A06" w14:textId="121D7452" w:rsidR="00433D45" w:rsidRDefault="00433D45" w:rsidP="00433D45">
      <w:pPr>
        <w:pStyle w:val="ListParagraph"/>
        <w:numPr>
          <w:ilvl w:val="1"/>
          <w:numId w:val="2"/>
        </w:numPr>
      </w:pPr>
      <w:r>
        <w:t>RF – 74%</w:t>
      </w:r>
    </w:p>
    <w:p w14:paraId="2D28F59E" w14:textId="77777777" w:rsidR="00BF305A" w:rsidRDefault="00BF305A" w:rsidP="00251325"/>
    <w:sectPr w:rsidR="00BF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B6A"/>
    <w:multiLevelType w:val="hybridMultilevel"/>
    <w:tmpl w:val="0A9E9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53C"/>
    <w:multiLevelType w:val="hybridMultilevel"/>
    <w:tmpl w:val="ADF4D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3711A"/>
    <w:multiLevelType w:val="hybridMultilevel"/>
    <w:tmpl w:val="1040A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774901">
    <w:abstractNumId w:val="1"/>
  </w:num>
  <w:num w:numId="2" w16cid:durableId="572081803">
    <w:abstractNumId w:val="0"/>
  </w:num>
  <w:num w:numId="3" w16cid:durableId="1452017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91"/>
    <w:rsid w:val="0007507B"/>
    <w:rsid w:val="00082CAD"/>
    <w:rsid w:val="000D7C1C"/>
    <w:rsid w:val="000F60EC"/>
    <w:rsid w:val="001028F2"/>
    <w:rsid w:val="0015764C"/>
    <w:rsid w:val="00170F4C"/>
    <w:rsid w:val="001B7AFB"/>
    <w:rsid w:val="001E58EA"/>
    <w:rsid w:val="00251325"/>
    <w:rsid w:val="002704D5"/>
    <w:rsid w:val="00284DF2"/>
    <w:rsid w:val="002A5B92"/>
    <w:rsid w:val="00324C72"/>
    <w:rsid w:val="003B0780"/>
    <w:rsid w:val="003B53A9"/>
    <w:rsid w:val="003B6324"/>
    <w:rsid w:val="003F7313"/>
    <w:rsid w:val="00421B69"/>
    <w:rsid w:val="00433D45"/>
    <w:rsid w:val="00434AA4"/>
    <w:rsid w:val="005307DA"/>
    <w:rsid w:val="0053311D"/>
    <w:rsid w:val="00554F2C"/>
    <w:rsid w:val="005B1A36"/>
    <w:rsid w:val="005F2D20"/>
    <w:rsid w:val="006D080B"/>
    <w:rsid w:val="006F55B6"/>
    <w:rsid w:val="007042D9"/>
    <w:rsid w:val="00704B15"/>
    <w:rsid w:val="00751E25"/>
    <w:rsid w:val="00757825"/>
    <w:rsid w:val="0078353E"/>
    <w:rsid w:val="007E6D91"/>
    <w:rsid w:val="007F755B"/>
    <w:rsid w:val="00865C29"/>
    <w:rsid w:val="009227AB"/>
    <w:rsid w:val="009544A6"/>
    <w:rsid w:val="00983934"/>
    <w:rsid w:val="00996D2B"/>
    <w:rsid w:val="009D0891"/>
    <w:rsid w:val="00A1666B"/>
    <w:rsid w:val="00A758DC"/>
    <w:rsid w:val="00A83524"/>
    <w:rsid w:val="00A83882"/>
    <w:rsid w:val="00A83EB1"/>
    <w:rsid w:val="00B33AD3"/>
    <w:rsid w:val="00B67634"/>
    <w:rsid w:val="00BE7E34"/>
    <w:rsid w:val="00BF02E6"/>
    <w:rsid w:val="00BF305A"/>
    <w:rsid w:val="00C1274F"/>
    <w:rsid w:val="00C502EE"/>
    <w:rsid w:val="00C52453"/>
    <w:rsid w:val="00C65D0E"/>
    <w:rsid w:val="00CF3CC1"/>
    <w:rsid w:val="00D14713"/>
    <w:rsid w:val="00D747E1"/>
    <w:rsid w:val="00D7695E"/>
    <w:rsid w:val="00D81E9B"/>
    <w:rsid w:val="00DA0C2C"/>
    <w:rsid w:val="00E7043E"/>
    <w:rsid w:val="00E95A33"/>
    <w:rsid w:val="00EB1B5A"/>
    <w:rsid w:val="00EE3ED3"/>
    <w:rsid w:val="00F05879"/>
    <w:rsid w:val="00F45AC5"/>
    <w:rsid w:val="00FD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5F9"/>
  <w15:chartTrackingRefBased/>
  <w15:docId w15:val="{3B157967-82DC-4563-80D9-2283BA7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13"/>
    <w:pPr>
      <w:ind w:left="720"/>
      <w:contextualSpacing/>
    </w:pPr>
  </w:style>
  <w:style w:type="character" w:styleId="Hyperlink">
    <w:name w:val="Hyperlink"/>
    <w:basedOn w:val="DefaultParagraphFont"/>
    <w:uiPriority w:val="99"/>
    <w:unhideWhenUsed/>
    <w:rsid w:val="00865C29"/>
    <w:rPr>
      <w:color w:val="0563C1" w:themeColor="hyperlink"/>
      <w:u w:val="single"/>
    </w:rPr>
  </w:style>
  <w:style w:type="character" w:styleId="UnresolvedMention">
    <w:name w:val="Unresolved Mention"/>
    <w:basedOn w:val="DefaultParagraphFont"/>
    <w:uiPriority w:val="99"/>
    <w:semiHidden/>
    <w:unhideWhenUsed/>
    <w:rsid w:val="00865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x.doi.org/10.3389/fgene.2018.00515" TargetMode="External"/><Relationship Id="rId5" Type="http://schemas.openxmlformats.org/officeDocument/2006/relationships/image" Target="media/image1.emf"/><Relationship Id="rId10" Type="http://schemas.openxmlformats.org/officeDocument/2006/relationships/hyperlink" Target="http://www.acsij.org/acsij/article/view/15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66</cp:revision>
  <dcterms:created xsi:type="dcterms:W3CDTF">2023-04-16T16:28:00Z</dcterms:created>
  <dcterms:modified xsi:type="dcterms:W3CDTF">2023-05-05T03:55:00Z</dcterms:modified>
</cp:coreProperties>
</file>