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 w:after="280"/>
        <w:jc w:val="center"/>
      </w:pPr>
      <w:r>
        <w:rPr>
          <w:rFonts w:ascii="Calibri" w:hAnsi="Calibri" w:eastAsia="Noto Sans SC Thin"/>
          <w:b/>
          <w:color w:val="8A6500"/>
          <w:sz w:val="22"/>
        </w:rPr>
        <w:t>SYSTEM DESIGN SPECIFICATION</w:t>
      </w:r>
    </w:p>
    <w:p>
      <w:pPr>
        <w:spacing w:after="160"/>
        <w:jc w:val="center"/>
      </w:pPr>
      <w:r>
        <w:rPr>
          <w:rFonts w:ascii="Calibri" w:hAnsi="Calibri" w:eastAsia="Noto Sans SC Thin"/>
          <w:b/>
          <w:color w:val="1F4D78"/>
          <w:sz w:val="62"/>
        </w:rPr>
        <w:t>MealPilot</w:t>
      </w:r>
    </w:p>
    <w:p>
      <w:pPr>
        <w:spacing w:after="100"/>
        <w:jc w:val="center"/>
      </w:pPr>
      <w:r>
        <w:rPr>
          <w:rFonts w:ascii="Calibri" w:hAnsi="Calibri" w:eastAsia="Noto Sans SC Thin"/>
          <w:b/>
          <w:color w:val="2E74B5"/>
          <w:sz w:val="36"/>
        </w:rPr>
        <w:t>约束感知的个性化膳食规划 Agent</w:t>
      </w:r>
    </w:p>
    <w:p>
      <w:pPr>
        <w:spacing w:after="600"/>
        <w:jc w:val="center"/>
      </w:pPr>
      <w:r>
        <w:rPr>
          <w:rFonts w:ascii="Calibri" w:hAnsi="Calibri" w:eastAsia="Noto Sans SC Thin"/>
          <w:i/>
          <w:color w:val="626B78"/>
          <w:sz w:val="24"/>
        </w:rPr>
        <w:t>RAG × LangGraph × OR-Tools × Human-in-the-loop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8EEF5"/>
            <w:tcBorders>
              <w:top w:val="single" w:sz="10" w:color="2E74B5"/>
              <w:left w:val="single" w:sz="10" w:color="2E74B5"/>
              <w:bottom w:val="single" w:sz="10" w:color="2E74B5"/>
              <w:right w:val="single" w:sz="10" w:color="2E74B5"/>
              <w:insideH w:val="single" w:sz="10" w:color="2E74B5"/>
              <w:insideV w:val="single" w:sz="10" w:color="2E74B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Noto Sans SC Thin"/>
                <w:b/>
                <w:color w:val="2E74B5"/>
                <w:sz w:val="21"/>
              </w:rPr>
              <w:t xml:space="preserve">核心定位  </w:t>
            </w:r>
            <w:r>
              <w:rPr>
                <w:rFonts w:ascii="Calibri" w:hAnsi="Calibri" w:eastAsia="Noto Sans SC Thin"/>
                <w:color w:val="172033"/>
                <w:sz w:val="21"/>
              </w:rPr>
              <w:t>让概率性的 LLM 负责理解、路由与协商，让确定性的求解器负责组合，让规则引擎负责安全和结果验收。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Noto Sans SC Thin"/>
                <w:b/>
                <w:color w:val="1F4D78"/>
                <w:sz w:val="20"/>
              </w:rPr>
              <w:t>文档版本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shd w:fill="FFFFFF"/>
          </w:tcPr>
          <w:p>
            <w:pPr>
              <w:spacing w:after="0"/>
              <w:jc w:val="left"/>
            </w:pPr>
            <w:r>
              <w:rPr>
                <w:rFonts w:ascii="Calibri" w:hAnsi="Calibri" w:eastAsia="Noto Sans SC Thin"/>
                <w:b w:val="0"/>
                <w:color w:val="172033"/>
                <w:sz w:val="20"/>
              </w:rPr>
              <w:t>v1.1（实施约束增强版）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Noto Sans SC Thin"/>
                <w:b/>
                <w:color w:val="1F4D78"/>
                <w:sz w:val="20"/>
              </w:rPr>
              <w:t>设计日期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shd w:fill="FFFFFF"/>
          </w:tcPr>
          <w:p>
            <w:pPr>
              <w:spacing w:after="0"/>
              <w:jc w:val="left"/>
            </w:pPr>
            <w:r>
              <w:rPr>
                <w:rFonts w:ascii="Calibri" w:hAnsi="Calibri" w:eastAsia="Noto Sans SC Thin"/>
                <w:b w:val="0"/>
                <w:color w:val="172033"/>
                <w:sz w:val="20"/>
              </w:rPr>
              <w:t>2026-08-06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Noto Sans SC Thin"/>
                <w:b/>
                <w:color w:val="1F4D78"/>
                <w:sz w:val="20"/>
              </w:rPr>
              <w:t>目标形态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shd w:fill="FFFFFF"/>
          </w:tcPr>
          <w:p>
            <w:pPr>
              <w:spacing w:after="0"/>
              <w:jc w:val="left"/>
            </w:pPr>
            <w:r>
              <w:rPr>
                <w:rFonts w:ascii="Calibri" w:hAnsi="Calibri" w:eastAsia="Noto Sans SC Thin"/>
                <w:b w:val="0"/>
                <w:color w:val="172033"/>
                <w:sz w:val="20"/>
              </w:rPr>
              <w:t>可上线的 Agent 应用与校招简历项目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Noto Sans SC Thin"/>
                <w:b/>
                <w:color w:val="1F4D78"/>
                <w:sz w:val="20"/>
              </w:rPr>
              <w:t>首期范围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shd w:fill="FFFFFF"/>
          </w:tcPr>
          <w:p>
            <w:pPr>
              <w:spacing w:after="0"/>
              <w:jc w:val="left"/>
            </w:pPr>
            <w:r>
              <w:rPr>
                <w:rFonts w:ascii="Calibri" w:hAnsi="Calibri" w:eastAsia="Noto Sans SC Thin"/>
                <w:b w:val="0"/>
                <w:color w:val="172033"/>
                <w:sz w:val="20"/>
              </w:rPr>
              <w:t>健康成年人、一日三餐、非医疗建议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Noto Sans SC Thin"/>
                <w:b/>
                <w:color w:val="1F4D78"/>
                <w:sz w:val="20"/>
              </w:rPr>
              <w:t>建议周期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shd w:fill="FFFFFF"/>
          </w:tcPr>
          <w:p>
            <w:pPr>
              <w:spacing w:after="0"/>
              <w:jc w:val="left"/>
            </w:pPr>
            <w:r>
              <w:rPr>
                <w:rFonts w:ascii="Calibri" w:hAnsi="Calibri" w:eastAsia="Noto Sans SC Thin"/>
                <w:b w:val="0"/>
                <w:color w:val="172033"/>
                <w:sz w:val="20"/>
              </w:rPr>
              <w:t>6–8 周完成可演示工程版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执行摘要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 w:eastAsia="Noto Sans SC Thin"/>
          <w:i w:val="0"/>
          <w:color w:val="172033"/>
          <w:sz w:val="22"/>
        </w:rPr>
        <w:t>MealPilot 不是一个“输入身高体重后让大模型随意推荐菜”的套壳应用，而是一个以膳食规划为验证场景的约束感知 Agent 系统。它把用户自然语言需求转换成分级约束，从有来源、有版本的菜谱库中检索候选，再通过 OR-Tools 生成可行组合，并由确定性规则引擎重新验证。系统在无解、工具超时、用户中途修改和并发操作等情况下，能够受控诊断、暂停、协商与恢复。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FF6D8"/>
            <w:tcBorders>
              <w:top w:val="single" w:sz="10" w:color="8A6500"/>
              <w:left w:val="single" w:sz="10" w:color="8A6500"/>
              <w:bottom w:val="single" w:sz="10" w:color="8A6500"/>
              <w:right w:val="single" w:sz="10" w:color="8A6500"/>
              <w:insideH w:val="single" w:sz="10" w:color="8A6500"/>
              <w:insideV w:val="single" w:sz="10" w:color="8A6500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Noto Sans SC Thin"/>
                <w:b/>
                <w:color w:val="8A6500"/>
                <w:sz w:val="21"/>
              </w:rPr>
              <w:t xml:space="preserve">最终建议  </w:t>
            </w:r>
            <w:r>
              <w:rPr>
                <w:rFonts w:ascii="Calibri" w:hAnsi="Calibri" w:eastAsia="Noto Sans SC Thin"/>
                <w:color w:val="172033"/>
                <w:sz w:val="21"/>
              </w:rPr>
              <w:t>首期只做单 Orchestrator Agent 和确定性工具，不做多 Agent；上线数据只使用许可证明确的来源；简历仅写已经实现并经过评测的能力，演进架构单独标为 Roadmap。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本版对工程提议的关键修正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300"/>
        <w:gridCol w:w="5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提议项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修正结论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最终设计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Redis Pub/Sub</w:t>
            </w:r>
          </w:p>
        </w:tc>
        <w:tc>
          <w:tcPr>
            <w:tcW w:type="dxa" w:w="23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不作为唯一事件源</w:t>
            </w:r>
          </w:p>
        </w:tc>
        <w:tc>
          <w:tcPr>
            <w:tcW w:type="dxa" w:w="52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改用 Redis Streams 或数据库事件表支持断线重放，SSE 使用 Last-Event-ID 恢复。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幂等键</w:t>
            </w:r>
          </w:p>
        </w:tc>
        <w:tc>
          <w:tcPr>
            <w:tcW w:type="dxa" w:w="23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不使用 plan_id + retry_count</w:t>
            </w:r>
          </w:p>
        </w:tc>
        <w:tc>
          <w:tcPr>
            <w:tcW w:type="dxa" w:w="52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retry_count 会变化，建议使用 user_id + operation_type + aggregate_id + plan_version，并在数据库加唯一约束。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PostgresSaver</w:t>
            </w:r>
          </w:p>
        </w:tc>
        <w:tc>
          <w:tcPr>
            <w:tcW w:type="dxa" w:w="23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不等同于完整 OCC</w:t>
            </w:r>
          </w:p>
        </w:tc>
        <w:tc>
          <w:tcPr>
            <w:tcW w:type="dxa" w:w="52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Checkpointer 负责图恢复；业务并发由 run_version、条件更新和 409 Conflict 控制。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语义缓存</w:t>
            </w:r>
          </w:p>
        </w:tc>
        <w:tc>
          <w:tcPr>
            <w:tcW w:type="dxa" w:w="23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不能仅凭相似度复用完整食谱</w:t>
            </w:r>
          </w:p>
        </w:tc>
        <w:tc>
          <w:tcPr>
            <w:tcW w:type="dxa" w:w="52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过敏、预算、档案快照和数据版本必须完全匹配，返回前仍需重新验证。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Structured Output</w:t>
            </w:r>
          </w:p>
        </w:tc>
        <w:tc>
          <w:tcPr>
            <w:tcW w:type="dxa" w:w="23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只能限制格式</w:t>
            </w:r>
          </w:p>
        </w:tc>
        <w:tc>
          <w:tcPr>
            <w:tcW w:type="dxa" w:w="52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不能单独抵御提示词注入，仍需不可信数据隔离、工具权限和确定性校验。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成本下降 40%</w:t>
            </w:r>
          </w:p>
        </w:tc>
        <w:tc>
          <w:tcPr>
            <w:tcW w:type="dxa" w:w="23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不能预先写入简历</w:t>
            </w:r>
          </w:p>
        </w:tc>
        <w:tc>
          <w:tcPr>
            <w:tcW w:type="dxa" w:w="52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只有完成 A/B 压测并保留基线后，才能写成量化成果。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CP-SAT 小数</w:t>
            </w:r>
          </w:p>
        </w:tc>
        <w:tc>
          <w:tcPr>
            <w:tcW w:type="dxa" w:w="23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必须先量化为整数</w:t>
            </w:r>
          </w:p>
        </w:tc>
        <w:tc>
          <w:tcPr>
            <w:tcW w:type="dxa" w:w="52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按字段定义缩放与保守舍入策略，求解后再用原始 Decimal 数据复验。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Pint 单位换算</w:t>
            </w:r>
          </w:p>
        </w:tc>
        <w:tc>
          <w:tcPr>
            <w:tcW w:type="dxa" w:w="23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不能直接把体积变成质量</w:t>
            </w:r>
          </w:p>
        </w:tc>
        <w:tc>
          <w:tcPr>
            <w:tcW w:type="dxa" w:w="52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同量纲由 Pint 转换；cup/ml 到 g 还需食材密度、标准份量和加工状态。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候选数 &lt; 10</w:t>
            </w:r>
          </w:p>
        </w:tc>
        <w:tc>
          <w:tcPr>
            <w:tcW w:type="dxa" w:w="23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不使用固定阈值</w:t>
            </w:r>
          </w:p>
        </w:tc>
        <w:tc>
          <w:tcPr>
            <w:tcW w:type="dxa" w:w="52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根据餐次、类别和备选覆盖度生成 CandidateCoverageReport，再决定求解或断路。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文档导航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1. 项目定位与范围边界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2. 架构原则与职责分工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3. 总体系统架构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4. Agent 状态机与失败恢复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5. 约束建模、求解与验证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6. 菜谱数据管线与 RAG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7. 并发、隔离与状态一致性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8. 长任务交互与事件同步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9. 缓存、模型路由与成本控制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10. 安全、隐私与权限边界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11. 接口与核心数据模型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12. 可观测性与评测体系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13. 部署与容量演进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14. 实施路线与验收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15. 风险清单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16. 演示脚本、简历与面试表达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附录：工具契约、故障矩阵与参考资料</w:t>
      </w:r>
    </w:p>
    <w:p>
      <w:pPr>
        <w:pStyle w:val="Heading1"/>
        <w:keepNext/>
      </w:pPr>
      <w:r>
        <w:t>1. 项目定位与范围边界</w:t>
      </w:r>
    </w:p>
    <w:p>
      <w:pPr>
        <w:pStyle w:val="Heading2"/>
        <w:keepNext/>
      </w:pPr>
      <w:r>
        <w:t>1.1 产品定位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 w:eastAsia="Noto Sans SC Thin"/>
          <w:i w:val="0"/>
          <w:color w:val="172033"/>
          <w:sz w:val="22"/>
        </w:rPr>
        <w:t>面向希望控制热量、预算、时间、口味和库存的健康成年人，生成有依据、可解释、可调整的一日三餐或后续一周食谱。与传统推荐系统不同，MealPilot 把每次规划视为一个带硬约束、软目标、外部数据与用户协商的长任务。</w:t>
      </w:r>
    </w:p>
    <w:p>
      <w:pPr>
        <w:pStyle w:val="Heading2"/>
        <w:keepNext/>
      </w:pPr>
      <w:r>
        <w:t>1.2 用户输入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基础档案：年龄、性别、身高、体重、活动水平和目标；身高体重只是其中一部分。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安全与禁忌：过敏原、明确禁止食物、宗教或文化限制。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本次约束：预算、烹饪时间、厨房设备、库存、人数、餐次和可接受的营养范围。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软偏好：菜系、辣度、食材偏好、多样性、是否优先消耗临期库存。</w:t>
      </w:r>
    </w:p>
    <w:p>
      <w:pPr>
        <w:pStyle w:val="Heading2"/>
        <w:keepNext/>
      </w:pPr>
      <w:r>
        <w:t>1.3 首期非目标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不提供糖尿病、肾病、进食障碍等疾病的诊断或治疗性饮食建议。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不自动抓取并公开再分发来源不明的菜谱内容。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不让 LLM 直接计算营养、放宽过敏约束或执行任意网络与 Shell 操作。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不在首期实现家庭多人联合规划、复杂周计划、多 Agent 协作和大规模爬虫平台。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DECEC"/>
            <w:tcBorders>
              <w:top w:val="single" w:sz="10" w:color="9B1C1C"/>
              <w:left w:val="single" w:sz="10" w:color="9B1C1C"/>
              <w:bottom w:val="single" w:sz="10" w:color="9B1C1C"/>
              <w:right w:val="single" w:sz="10" w:color="9B1C1C"/>
              <w:insideH w:val="single" w:sz="10" w:color="9B1C1C"/>
              <w:insideV w:val="single" w:sz="10" w:color="9B1C1C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Noto Sans SC Thin"/>
                <w:b/>
                <w:color w:val="9B1C1C"/>
                <w:sz w:val="21"/>
              </w:rPr>
              <w:t xml:space="preserve">安全边界  </w:t>
            </w:r>
            <w:r>
              <w:rPr>
                <w:rFonts w:ascii="Calibri" w:hAnsi="Calibri" w:eastAsia="Noto Sans SC Thin"/>
                <w:color w:val="172033"/>
                <w:sz w:val="21"/>
              </w:rPr>
              <w:t>任何涉及过敏原或不可确认食材成分的情况默认 Fail-Closed；系统展示数据来源和不确定性，不将结果描述为医疗处方。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1.4 渐进式用户画像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 w:eastAsia="Noto Sans SC Thin"/>
          <w:i w:val="0"/>
          <w:color w:val="172033"/>
          <w:sz w:val="22"/>
        </w:rPr>
        <w:t>首次使用不要求用户填写冗长问卷，而是按字段对安全性和可行性的影响分级收集。Agent 仅在缺失信息会阻断当前规划时发起 Interrupt；非阻断字段采用透明默认值或在后续交互中逐渐学习。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900"/>
        <w:gridCol w:w="29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策略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字段示例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行为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REQUIRED_BEFORE_RUN</w:t>
            </w:r>
          </w:p>
        </w:tc>
        <w:tc>
          <w:tcPr>
            <w:tcW w:type="dxa" w:w="3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过敏原、明确禁忌、饮食模式、用餐人数、规划范围</w:t>
            </w:r>
          </w:p>
        </w:tc>
        <w:tc>
          <w:tcPr>
            <w:tcW w:type="dxa" w:w="29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首次规划前必须明确确认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ASK_WHEN_BLOCKING</w:t>
            </w:r>
          </w:p>
        </w:tc>
        <w:tc>
          <w:tcPr>
            <w:tcW w:type="dxa" w:w="3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预算、烹饪时间、厨具、营养目标</w:t>
            </w:r>
          </w:p>
        </w:tc>
        <w:tc>
          <w:tcPr>
            <w:tcW w:type="dxa" w:w="29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仅在影响可行性或方案选择时询问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DEFAULT_WITH_NOTICE</w:t>
            </w:r>
          </w:p>
        </w:tc>
        <w:tc>
          <w:tcPr>
            <w:tcW w:type="dxa" w:w="3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辣度、菜系、多样性权重</w:t>
            </w:r>
          </w:p>
        </w:tc>
        <w:tc>
          <w:tcPr>
            <w:tcW w:type="dxa" w:w="29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展示默认值，允许用户随时调整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LEARN_WITH_CONFIRMATION</w:t>
            </w:r>
          </w:p>
        </w:tc>
        <w:tc>
          <w:tcPr>
            <w:tcW w:type="dxa" w:w="3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常用食材、口味、实际烹饪复杂度</w:t>
            </w:r>
          </w:p>
        </w:tc>
        <w:tc>
          <w:tcPr>
            <w:tcW w:type="dxa" w:w="29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由反馈提议更新，经确认后写入新快照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DECEC"/>
            <w:tcBorders>
              <w:top w:val="single" w:sz="10" w:color="9B1C1C"/>
              <w:left w:val="single" w:sz="10" w:color="9B1C1C"/>
              <w:bottom w:val="single" w:sz="10" w:color="9B1C1C"/>
              <w:right w:val="single" w:sz="10" w:color="9B1C1C"/>
              <w:insideH w:val="single" w:sz="10" w:color="9B1C1C"/>
              <w:insideV w:val="single" w:sz="10" w:color="9B1C1C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Noto Sans SC Thin"/>
                <w:b/>
                <w:color w:val="9B1C1C"/>
                <w:sz w:val="21"/>
              </w:rPr>
              <w:t xml:space="preserve">安全画像规则  </w:t>
            </w:r>
            <w:r>
              <w:rPr>
                <w:rFonts w:ascii="Calibri" w:hAnsi="Calibri" w:eastAsia="Noto Sans SC Thin"/>
                <w:color w:val="172033"/>
                <w:sz w:val="21"/>
              </w:rPr>
              <w:t>不得根据用户曾经选择或食用某道菜，反向推断其不存在过敏。过敏和禁忌只能通过用户明确确认更新，并写入带版本的 UserProfileSnapshot。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架构原则与职责分工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原则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落地含义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概率与确定性分离</w:t>
            </w:r>
          </w:p>
        </w:tc>
        <w:tc>
          <w:tcPr>
            <w:tcW w:type="dxa" w:w="68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LLM 负责理解、策略与解释；计算、约束和安全由确定性组件负责。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安全约束不可协商</w:t>
            </w:r>
          </w:p>
        </w:tc>
        <w:tc>
          <w:tcPr>
            <w:tcW w:type="dxa" w:w="68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过敏、禁忌和系统安全策略从不自动放宽。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状态显式化</w:t>
            </w:r>
          </w:p>
        </w:tc>
        <w:tc>
          <w:tcPr>
            <w:tcW w:type="dxa" w:w="68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约束、候选、验证报告、重试预算、待确认事项和证据均进入结构化 State。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副作用幂等</w:t>
            </w:r>
          </w:p>
        </w:tc>
        <w:tc>
          <w:tcPr>
            <w:tcW w:type="dxa" w:w="68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库存扣减、计划发布和通知按至少一次执行模型设计，依赖唯一键与事务防重。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数据版本固定</w:t>
            </w:r>
          </w:p>
        </w:tc>
        <w:tc>
          <w:tcPr>
            <w:tcW w:type="dxa" w:w="68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每个计划绑定用户档案、菜谱、营养库、索引和求解器版本，保证可复现。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渐进式工程化</w:t>
            </w:r>
          </w:p>
        </w:tc>
        <w:tc>
          <w:tcPr>
            <w:tcW w:type="dxa" w:w="68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首期打通垂直闭环；并发扩展、缓存和独立服务按指标触发，而不是为了堆技术。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2.1 模块职责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30"/>
        <w:gridCol w:w="383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负责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明确不负责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LLM 策略 Agent</w:t>
            </w:r>
          </w:p>
        </w:tc>
        <w:tc>
          <w:tcPr>
            <w:tcW w:type="dxa" w:w="383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意图提取、约束分类、检索策略、修复动作、冲突解释</w:t>
            </w:r>
          </w:p>
        </w:tc>
        <w:tc>
          <w:tcPr>
            <w:tcW w:type="dxa" w:w="383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营养精算、安全判定、任意放宽硬约束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Hybrid RAG</w:t>
            </w:r>
          </w:p>
        </w:tc>
        <w:tc>
          <w:tcPr>
            <w:tcW w:type="dxa" w:w="383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召回真实菜谱、步骤、来源和版本</w:t>
            </w:r>
          </w:p>
        </w:tc>
        <w:tc>
          <w:tcPr>
            <w:tcW w:type="dxa" w:w="383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决定最终三餐组合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OR-Tools</w:t>
            </w:r>
          </w:p>
        </w:tc>
        <w:tc>
          <w:tcPr>
            <w:tcW w:type="dxa" w:w="383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在候选集中搜索可行或近优组合</w:t>
            </w:r>
          </w:p>
        </w:tc>
        <w:tc>
          <w:tcPr>
            <w:tcW w:type="dxa" w:w="383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理解模糊自然语言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规则验证器</w:t>
            </w:r>
          </w:p>
        </w:tc>
        <w:tc>
          <w:tcPr>
            <w:tcW w:type="dxa" w:w="383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重新计算营养、过敏、预算、时间和库存</w:t>
            </w:r>
          </w:p>
        </w:tc>
        <w:tc>
          <w:tcPr>
            <w:tcW w:type="dxa" w:w="383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创造新事实或替代用户确认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Memory</w:t>
            </w:r>
          </w:p>
        </w:tc>
        <w:tc>
          <w:tcPr>
            <w:tcW w:type="dxa" w:w="383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保存经确认的档案、偏好和反馈</w:t>
            </w:r>
          </w:p>
        </w:tc>
        <w:tc>
          <w:tcPr>
            <w:tcW w:type="dxa" w:w="383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因一次行为永久修改安全信息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Generative UI</w:t>
            </w:r>
          </w:p>
        </w:tc>
        <w:tc>
          <w:tcPr>
            <w:tcW w:type="dxa" w:w="383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展示约束、进度、冲突和可选方案</w:t>
            </w:r>
          </w:p>
        </w:tc>
        <w:tc>
          <w:tcPr>
            <w:tcW w:type="dxa" w:w="383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绕过后端验证直接发布计划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总体系统架构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 descr="图 1  MealPilot 分层系统架构" title="图 1  MealPilot 分层系统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Calibri" w:hAnsi="Calibri" w:eastAsia="Noto Sans SC Thin"/>
          <w:b/>
          <w:color w:val="626B78"/>
          <w:sz w:val="18"/>
        </w:rPr>
        <w:t>图 1  MealPilot 分层系统架构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 w:eastAsia="Noto Sans SC Thin"/>
          <w:i w:val="0"/>
          <w:color w:val="172033"/>
          <w:sz w:val="22"/>
        </w:rPr>
        <w:t>生产形态采用“轻接入层 + 可持久化 Agent Runtime + 专用工作池”的分层设计。FastAPI 不直接承担长时间求解；请求提交后立即创建 run，Agent Worker 负责 LangGraph 编排，CPU 密集型求解进入独立 Solver Pool，离线采集和索引由 Ingestion Workers 处理。</w:t>
      </w:r>
    </w:p>
    <w:p>
      <w:pPr>
        <w:pStyle w:val="Heading2"/>
        <w:keepNext/>
      </w:pPr>
      <w:r>
        <w:t>3.1 推荐技术栈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技术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前端</w:t>
            </w:r>
          </w:p>
        </w:tc>
        <w:tc>
          <w:tcPr>
            <w:tcW w:type="dxa" w:w="3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React、TypeScript、Vite</w:t>
            </w:r>
          </w:p>
        </w:tc>
        <w:tc>
          <w:tcPr>
            <w:tcW w:type="dxa" w:w="48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约束表单、方案卡片、SSE、冲突协商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API</w:t>
            </w:r>
          </w:p>
        </w:tc>
        <w:tc>
          <w:tcPr>
            <w:tcW w:type="dxa" w:w="3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FastAPI、Pydantic</w:t>
            </w:r>
          </w:p>
        </w:tc>
        <w:tc>
          <w:tcPr>
            <w:tcW w:type="dxa" w:w="48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鉴权、Run API、OCC、幂等与限流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Agent</w:t>
            </w:r>
          </w:p>
        </w:tc>
        <w:tc>
          <w:tcPr>
            <w:tcW w:type="dxa" w:w="3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LangGraph</w:t>
            </w:r>
          </w:p>
        </w:tc>
        <w:tc>
          <w:tcPr>
            <w:tcW w:type="dxa" w:w="48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状态机、Checkpointer、Interrupt/Resume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数据</w:t>
            </w:r>
          </w:p>
        </w:tc>
        <w:tc>
          <w:tcPr>
            <w:tcW w:type="dxa" w:w="3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PostgreSQL + pgvector</w:t>
            </w:r>
          </w:p>
        </w:tc>
        <w:tc>
          <w:tcPr>
            <w:tcW w:type="dxa" w:w="48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业务数据、图状态、版本、向量检索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队列/事件</w:t>
            </w:r>
          </w:p>
        </w:tc>
        <w:tc>
          <w:tcPr>
            <w:tcW w:type="dxa" w:w="3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Redis + Dramatiq + Redis Streams</w:t>
            </w:r>
          </w:p>
        </w:tc>
        <w:tc>
          <w:tcPr>
            <w:tcW w:type="dxa" w:w="48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后台任务、事件重放和背压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求解</w:t>
            </w:r>
          </w:p>
        </w:tc>
        <w:tc>
          <w:tcPr>
            <w:tcW w:type="dxa" w:w="3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OR-Tools CP-SAT</w:t>
            </w:r>
          </w:p>
        </w:tc>
        <w:tc>
          <w:tcPr>
            <w:tcW w:type="dxa" w:w="48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组合优化、超时与可行解状态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检索</w:t>
            </w:r>
          </w:p>
        </w:tc>
        <w:tc>
          <w:tcPr>
            <w:tcW w:type="dxa" w:w="3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Dense + BM25 + RRF + Cross-Encoder</w:t>
            </w:r>
          </w:p>
        </w:tc>
        <w:tc>
          <w:tcPr>
            <w:tcW w:type="dxa" w:w="48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混合召回与精排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追踪</w:t>
            </w:r>
          </w:p>
        </w:tc>
        <w:tc>
          <w:tcPr>
            <w:tcW w:type="dxa" w:w="3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OpenTelemetry + Phoenix 或 LangSmith</w:t>
            </w:r>
          </w:p>
        </w:tc>
        <w:tc>
          <w:tcPr>
            <w:tcW w:type="dxa" w:w="48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节点、LLM、工具、成本和错误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部署</w:t>
            </w:r>
          </w:p>
        </w:tc>
        <w:tc>
          <w:tcPr>
            <w:tcW w:type="dxa" w:w="3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Docker Compose，后续容器平台</w:t>
            </w:r>
          </w:p>
        </w:tc>
        <w:tc>
          <w:tcPr>
            <w:tcW w:type="dxa" w:w="48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开发一致性与按工作池扩缩容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Agent 状态机与失败恢复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06440" cy="4129024"/>
            <wp:docPr id="2" name="Picture 2" descr="图 2  约束感知 Agent Loop 与人机协商" title="图 2  约束感知 Agent Loop 与人机协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2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Calibri" w:hAnsi="Calibri" w:eastAsia="Noto Sans SC Thin"/>
          <w:b/>
          <w:color w:val="626B78"/>
          <w:sz w:val="18"/>
        </w:rPr>
        <w:t>图 2  约束感知 Agent Loop 与人机协商</w:t>
      </w:r>
    </w:p>
    <w:p>
      <w:pPr>
        <w:pStyle w:val="Heading2"/>
        <w:keepNext/>
      </w:pPr>
      <w:r>
        <w:t>4.1 State 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7F8FA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SC Thin"/>
                <w:color w:val="253247"/>
                <w:sz w:val="16"/>
              </w:rPr>
              <w:t>class MealPlanState(TypedDict):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  thread_id: str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  user_profile_snapshot_id: str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  request_intent: dict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  immutable_constraints: dict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  negotiable_constraints: dict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  soft_preferences: dict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  candidate_recipe_ids: list[str]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  candidate_coverage_report: dict | None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  retrieval_status: str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  numeric_policy_version: str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  price_snapshot_id: str | None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  normalization_warnings: list[dict]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  missing_required_fields: list[str]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  current_plan: dict | None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  validation_report: dict | None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  infeasibility_report: dict | None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  attempted_strategies: list[dict]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  retry_count: int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  tool_call_count: int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  pending_negotiation: dict | None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  evidence_refs: list[dict]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  status: str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  run_version: int</w:t>
            </w:r>
          </w:p>
        </w:tc>
      </w:tr>
    </w:tbl>
    <w:p>
      <w:pPr>
        <w:spacing w:after="40"/>
      </w:pPr>
    </w:p>
    <w:p>
      <w:pPr>
        <w:keepLines w:val="0"/>
        <w:spacing w:before="0" w:after="120" w:line="264" w:lineRule="auto"/>
        <w:jc w:val="left"/>
      </w:pPr>
      <w:r>
        <w:rPr>
          <w:rFonts w:ascii="Calibri" w:hAnsi="Calibri" w:eastAsia="Noto Sans SC Thin"/>
          <w:i w:val="0"/>
          <w:color w:val="172033"/>
          <w:sz w:val="22"/>
        </w:rPr>
        <w:t>State 中只保存结构化结果、ID、摘要与证据引用，不长期塞入所有菜谱正文。这样既能控制上下文窗口，也能让固定系统提示词和工具 Schema 更稳定，有利于 Prompt Cache。</w:t>
      </w:r>
    </w:p>
    <w:p>
      <w:pPr>
        <w:pStyle w:val="Heading2"/>
        <w:keepNext/>
      </w:pPr>
      <w:r>
        <w:t>4.2 节点与路由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00"/>
        <w:gridCol w:w="3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节点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职责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关键控制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Analyze</w:t>
            </w:r>
          </w:p>
        </w:tc>
        <w:tc>
          <w:tcPr>
            <w:tcW w:type="dxa" w:w="3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提取意图并划分三级约束</w:t>
            </w:r>
          </w:p>
        </w:tc>
        <w:tc>
          <w:tcPr>
            <w:tcW w:type="dxa" w:w="37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缺少关键安全信息时澄清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Retrieve</w:t>
            </w:r>
          </w:p>
        </w:tc>
        <w:tc>
          <w:tcPr>
            <w:tcW w:type="dxa" w:w="3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硬过滤后混合召回与 Rerank</w:t>
            </w:r>
          </w:p>
        </w:tc>
        <w:tc>
          <w:tcPr>
            <w:tcW w:type="dxa" w:w="37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生成覆盖报告；不足时在 Solver 前断路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Solve</w:t>
            </w:r>
          </w:p>
        </w:tc>
        <w:tc>
          <w:tcPr>
            <w:tcW w:type="dxa" w:w="3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CP-SAT 生成方案或返回状态</w:t>
            </w:r>
          </w:p>
        </w:tc>
        <w:tc>
          <w:tcPr>
            <w:tcW w:type="dxa" w:w="37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设置时间限制与结果状态分支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Validate</w:t>
            </w:r>
          </w:p>
        </w:tc>
        <w:tc>
          <w:tcPr>
            <w:tcW w:type="dxa" w:w="3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确定性复算与安全检查</w:t>
            </w:r>
          </w:p>
        </w:tc>
        <w:tc>
          <w:tcPr>
            <w:tcW w:type="dxa" w:w="37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任何硬约束失败均打回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Diagnose &amp; Repair</w:t>
            </w:r>
          </w:p>
        </w:tc>
        <w:tc>
          <w:tcPr>
            <w:tcW w:type="dxa" w:w="3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选择受控修复动作</w:t>
            </w:r>
          </w:p>
        </w:tc>
        <w:tc>
          <w:tcPr>
            <w:tcW w:type="dxa" w:w="37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同一动作去重并受预算限制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Interrupt</w:t>
            </w:r>
          </w:p>
        </w:tc>
        <w:tc>
          <w:tcPr>
            <w:tcW w:type="dxa" w:w="3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向用户展示可协商方案</w:t>
            </w:r>
          </w:p>
        </w:tc>
        <w:tc>
          <w:tcPr>
            <w:tcW w:type="dxa" w:w="37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持久化后等待用户决定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Finalize</w:t>
            </w:r>
          </w:p>
        </w:tc>
        <w:tc>
          <w:tcPr>
            <w:tcW w:type="dxa" w:w="3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发布计划、证据和购物清单</w:t>
            </w:r>
          </w:p>
        </w:tc>
        <w:tc>
          <w:tcPr>
            <w:tcW w:type="dxa" w:w="37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副作用通过幂等事务执行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正确的暂停与恢复</w:t>
      </w:r>
    </w:p>
    <w:p>
      <w:pPr>
        <w:keepNext/>
        <w:keepLines w:val="0"/>
        <w:spacing w:before="0" w:after="120" w:line="264" w:lineRule="auto"/>
        <w:jc w:val="left"/>
      </w:pPr>
      <w:r>
        <w:rPr>
          <w:rFonts w:ascii="Calibri" w:hAnsi="Calibri" w:eastAsia="Noto Sans SC Thin"/>
          <w:i w:val="0"/>
          <w:color w:val="172033"/>
          <w:sz w:val="22"/>
        </w:rPr>
        <w:t>路由到 END 只表示本次图运行结束，不应被当作完整的人机暂停协议。MealPilot 使用持久化 Checkpointer、稳定 thread_id、interrupt() 和 Command(resume=...)。外部 API 使用 run_version 控制并发，不直接把内部 checkpoint 细节暴露为业务一致性的唯一依据。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7F8FA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SC Thin"/>
                <w:color w:val="253247"/>
                <w:sz w:val="16"/>
              </w:rPr>
              <w:t>def negotiate_node(state):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  decision = interrupt({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      "reason": state["infeasibility_report"],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      "options": state["pending_negotiation"]["options"],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  })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  return apply_approved_decision(state, decision)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>config = {"configurable": {"thread_id": run_id}}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>await graph.ainvoke(initial_state, config=config)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>await graph.ainvoke(Command(resume=user_choice), config=config)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4.4 执行预算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900"/>
        <w:gridCol w:w="48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预算项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首期默认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max_replans</w:t>
            </w:r>
          </w:p>
        </w:tc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3</w:t>
            </w:r>
          </w:p>
        </w:tc>
        <w:tc>
          <w:tcPr>
            <w:tcW w:type="dxa" w:w="48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防止反思循环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max_tool_calls</w:t>
            </w:r>
          </w:p>
        </w:tc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20</w:t>
            </w:r>
          </w:p>
        </w:tc>
        <w:tc>
          <w:tcPr>
            <w:tcW w:type="dxa" w:w="48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限制工具风暴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max_llm_calls</w:t>
            </w:r>
          </w:p>
        </w:tc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6</w:t>
            </w:r>
          </w:p>
        </w:tc>
        <w:tc>
          <w:tcPr>
            <w:tcW w:type="dxa" w:w="48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限制成本与 Rate Limit 压力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max_total_seconds</w:t>
            </w:r>
          </w:p>
        </w:tc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30</w:t>
            </w:r>
          </w:p>
        </w:tc>
        <w:tc>
          <w:tcPr>
            <w:tcW w:type="dxa" w:w="48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超限后返回当前诊断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solver_time_limit</w:t>
            </w:r>
          </w:p>
        </w:tc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3–5 秒</w:t>
            </w:r>
          </w:p>
        </w:tc>
        <w:tc>
          <w:tcPr>
            <w:tcW w:type="dxa" w:w="48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避免单个求解耗尽 CPU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max_same_strategy</w:t>
            </w:r>
          </w:p>
        </w:tc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1</w:t>
            </w:r>
          </w:p>
        </w:tc>
        <w:tc>
          <w:tcPr>
            <w:tcW w:type="dxa" w:w="48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同一修复动作不重复执行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约束建模、求解与验证</w:t>
      </w:r>
    </w:p>
    <w:p>
      <w:pPr>
        <w:pStyle w:val="Heading2"/>
        <w:keepNext/>
      </w:pPr>
      <w:r>
        <w:t>5.1 三级约束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级别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示例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策略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不可放宽</w:t>
            </w:r>
          </w:p>
        </w:tc>
        <w:tc>
          <w:tcPr>
            <w:tcW w:type="dxa" w:w="3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过敏原、禁忌、宗教限制、系统安全规则</w:t>
            </w:r>
          </w:p>
        </w:tc>
        <w:tc>
          <w:tcPr>
            <w:tcW w:type="dxa" w:w="35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永不自动修改；冲突时 Fail-Closed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需确认后放宽</w:t>
            </w:r>
          </w:p>
        </w:tc>
        <w:tc>
          <w:tcPr>
            <w:tcW w:type="dxa" w:w="3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预算、时间、热量范围、蛋白质目标、库存要求</w:t>
            </w:r>
          </w:p>
        </w:tc>
        <w:tc>
          <w:tcPr>
            <w:tcW w:type="dxa" w:w="35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只生成候选妥协方案，用户确认后生效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软目标</w:t>
            </w:r>
          </w:p>
        </w:tc>
        <w:tc>
          <w:tcPr>
            <w:tcW w:type="dxa" w:w="3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菜系、辣度、多样性、少重复、临期优先</w:t>
            </w:r>
          </w:p>
        </w:tc>
        <w:tc>
          <w:tcPr>
            <w:tcW w:type="dxa" w:w="35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进入目标函数，可自动权衡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求解模型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 w:eastAsia="Noto Sans SC Thin"/>
          <w:i w:val="0"/>
          <w:color w:val="172033"/>
          <w:sz w:val="22"/>
        </w:rPr>
        <w:t>以候选菜谱和份数为决策变量，以热量、宏量营养、预算、烹饪时间和库存为约束，以营养偏差、费用、重复度和偏好损失为目标函数。多套方案优先通过改变目标权重、加入多样性约束或排除上一方案后多次求解产生，LLM 只解释方案差异。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FF6D8"/>
            <w:tcBorders>
              <w:top w:val="single" w:sz="10" w:color="8A6500"/>
              <w:left w:val="single" w:sz="10" w:color="8A6500"/>
              <w:bottom w:val="single" w:sz="10" w:color="8A6500"/>
              <w:right w:val="single" w:sz="10" w:color="8A6500"/>
              <w:insideH w:val="single" w:sz="10" w:color="8A6500"/>
              <w:insideV w:val="single" w:sz="10" w:color="8A6500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Noto Sans SC Thin"/>
                <w:b/>
                <w:color w:val="8A6500"/>
                <w:sz w:val="21"/>
              </w:rPr>
              <w:t xml:space="preserve">求解状态处理  </w:t>
            </w:r>
            <w:r>
              <w:rPr>
                <w:rFonts w:ascii="Calibri" w:hAnsi="Calibri" w:eastAsia="Noto Sans SC Thin"/>
                <w:color w:val="172033"/>
                <w:sz w:val="21"/>
              </w:rPr>
              <w:t>OPTIMAL 与 FEASIBLE 可以返回；INFEASIBLE 进入诊断；UNKNOWN 表示在时间或资源限制内无法确认，不得被错误解释为已证明无解。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5.3 CP-SAT 数值契约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 w:eastAsia="Noto Sans SC Thin"/>
          <w:i w:val="0"/>
          <w:color w:val="172033"/>
          <w:sz w:val="22"/>
        </w:rPr>
        <w:t>CP-SAT 原生使用整数约束。进入 Solve 节点前增加 Scaling Layer，以 Decimal 为权威值，按字段量化为整数；禁止直接使用二进制 float 后再 int() 截断，也不采用覆盖所有字段的单一 multiplier。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800"/>
        <w:gridCol w:w="1500"/>
        <w:gridCol w:w="41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整数化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精度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保守舍入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热量</w:t>
            </w:r>
          </w:p>
        </w:tc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kcal × 10</w:t>
            </w:r>
          </w:p>
        </w:tc>
        <w:tc>
          <w:tcPr>
            <w:tcW w:type="dxa" w:w="1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0.1 kcal</w:t>
            </w:r>
          </w:p>
        </w:tc>
        <w:tc>
          <w:tcPr>
            <w:tcW w:type="dxa" w:w="41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下限：贡献向下、目标向上；上限反向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宏量营养</w:t>
            </w:r>
          </w:p>
        </w:tc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g × 100</w:t>
            </w:r>
          </w:p>
        </w:tc>
        <w:tc>
          <w:tcPr>
            <w:tcW w:type="dxa" w:w="1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0.01 g</w:t>
            </w:r>
          </w:p>
        </w:tc>
        <w:tc>
          <w:tcPr>
            <w:tcW w:type="dxa" w:w="41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按约束方向保守舍入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钠等微量营养</w:t>
            </w:r>
          </w:p>
        </w:tc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统一为 mg</w:t>
            </w:r>
          </w:p>
        </w:tc>
        <w:tc>
          <w:tcPr>
            <w:tcW w:type="dxa" w:w="1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1 mg</w:t>
            </w:r>
          </w:p>
        </w:tc>
        <w:tc>
          <w:tcPr>
            <w:tcW w:type="dxa" w:w="41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上限约束对贡献向上取整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金额</w:t>
            </w:r>
          </w:p>
        </w:tc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元 × 100</w:t>
            </w:r>
          </w:p>
        </w:tc>
        <w:tc>
          <w:tcPr>
            <w:tcW w:type="dxa" w:w="1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1 分</w:t>
            </w:r>
          </w:p>
        </w:tc>
        <w:tc>
          <w:tcPr>
            <w:tcW w:type="dxa" w:w="41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金额贡献向上取整，预算上限向下取整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成本指数</w:t>
            </w:r>
          </w:p>
        </w:tc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index × 100</w:t>
            </w:r>
          </w:p>
        </w:tc>
        <w:tc>
          <w:tcPr>
            <w:tcW w:type="dxa" w:w="1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0.01</w:t>
            </w:r>
          </w:p>
        </w:tc>
        <w:tc>
          <w:tcPr>
            <w:tcW w:type="dxa" w:w="41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仅作为价格缺失时的软目标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构建模型前检查系数、变量上界及乘积是否可能超过 int64 范围；超界时降低精度或拆分模型。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Solver 输出只是一组候选决策，Validate 节点使用原始 Decimal、营养版本和价格版本重新计算。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将 scale_by_field、rounding_policy 和版本保存为 SolverNumericPolicy，并写入 Trace 和 MealPlan 证据。</w:t>
      </w:r>
    </w:p>
    <w:p>
      <w:pPr>
        <w:pStyle w:val="Heading2"/>
        <w:keepNext/>
      </w:pPr>
      <w:r>
        <w:t>5.4 无解诊断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保持所有不可放宽约束不变。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按预定义顺序逐组放宽可协商约束并重新试求解。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记录每个调整的最小变化量、可行性和副作用。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向用户返回 2–3 个影响最小且可解释的妥协方案。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用户确认后生成新的 ConstraintSet 版本，再恢复图执行。</w:t>
      </w:r>
    </w:p>
    <w:p>
      <w:pPr>
        <w:pStyle w:val="Heading2"/>
        <w:keepNext/>
      </w:pPr>
      <w:r>
        <w:t>5.5 验证权威顺序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3600"/>
        <w:gridCol w:w="29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顺序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验证层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内容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权威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1</w:t>
            </w:r>
          </w:p>
        </w:tc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安全规则</w:t>
            </w:r>
          </w:p>
        </w:tc>
        <w:tc>
          <w:tcPr>
            <w:tcW w:type="dxa" w:w="3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过敏、禁忌、成分不确定性</w:t>
            </w:r>
          </w:p>
        </w:tc>
        <w:tc>
          <w:tcPr>
            <w:tcW w:type="dxa" w:w="29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最高；不允许 LLM 覆盖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2</w:t>
            </w:r>
          </w:p>
        </w:tc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确定性计算</w:t>
            </w:r>
          </w:p>
        </w:tc>
        <w:tc>
          <w:tcPr>
            <w:tcW w:type="dxa" w:w="3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热量、宏量营养、预算、库存</w:t>
            </w:r>
          </w:p>
        </w:tc>
        <w:tc>
          <w:tcPr>
            <w:tcW w:type="dxa" w:w="29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必须通过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3</w:t>
            </w:r>
          </w:p>
        </w:tc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求解约束</w:t>
            </w:r>
          </w:p>
        </w:tc>
        <w:tc>
          <w:tcPr>
            <w:tcW w:type="dxa" w:w="3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组合、份数和目标偏差</w:t>
            </w:r>
          </w:p>
        </w:tc>
        <w:tc>
          <w:tcPr>
            <w:tcW w:type="dxa" w:w="29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必须保持可行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4</w:t>
            </w:r>
          </w:p>
        </w:tc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LLM 软质量</w:t>
            </w:r>
          </w:p>
        </w:tc>
        <w:tc>
          <w:tcPr>
            <w:tcW w:type="dxa" w:w="3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搭配常识、重复和解释</w:t>
            </w:r>
          </w:p>
        </w:tc>
        <w:tc>
          <w:tcPr>
            <w:tcW w:type="dxa" w:w="29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只影响排序或建议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菜谱数据管线与 RAG</w:t>
      </w:r>
    </w:p>
    <w:p>
      <w:pPr>
        <w:pStyle w:val="Heading2"/>
        <w:keepNext/>
      </w:pPr>
      <w:r>
        <w:t>6.1 在线与离线解耦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500"/>
        <w:gridCol w:w="59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节点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产物/控制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1</w:t>
            </w:r>
          </w:p>
        </w:tc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授权数据源/用户导入</w:t>
            </w:r>
          </w:p>
        </w:tc>
        <w:tc>
          <w:tcPr>
            <w:tcW w:type="dxa" w:w="59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保留许可、来源 URL、抓取时间和内容 Hash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2</w:t>
            </w:r>
          </w:p>
        </w:tc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原始内容隔离</w:t>
            </w:r>
          </w:p>
        </w:tc>
        <w:tc>
          <w:tcPr>
            <w:tcW w:type="dxa" w:w="59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作为不可信数据存储，不进入系统指令区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3</w:t>
            </w:r>
          </w:p>
        </w:tc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结构化解析</w:t>
            </w:r>
          </w:p>
        </w:tc>
        <w:tc>
          <w:tcPr>
            <w:tcW w:type="dxa" w:w="59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标题、食材、步骤、份数、设备、时间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4</w:t>
            </w:r>
          </w:p>
        </w:tc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食材标准化</w:t>
            </w:r>
          </w:p>
        </w:tc>
        <w:tc>
          <w:tcPr>
            <w:tcW w:type="dxa" w:w="59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实体、单位、重量区间、置信度和复核标记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5</w:t>
            </w:r>
          </w:p>
        </w:tc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营养映射</w:t>
            </w:r>
          </w:p>
        </w:tc>
        <w:tc>
          <w:tcPr>
            <w:tcW w:type="dxa" w:w="59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映射 FoodData ID，计算值绑定数据库版本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6</w:t>
            </w:r>
          </w:p>
        </w:tc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质量审核</w:t>
            </w:r>
          </w:p>
        </w:tc>
        <w:tc>
          <w:tcPr>
            <w:tcW w:type="dxa" w:w="59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低置信度、‘适量’、来源异常进入人工队列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7</w:t>
            </w:r>
          </w:p>
        </w:tc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版本化索引</w:t>
            </w:r>
          </w:p>
        </w:tc>
        <w:tc>
          <w:tcPr>
            <w:tcW w:type="dxa" w:w="59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RecipeVersion、向量、关键词和父级上下文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6.2 食材计量标准化与不确定性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7F8FA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SC Thin"/>
                <w:color w:val="253247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"raw_text": "一小把香葱",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"canonical_name": "香葱",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"food_data_id": null,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"amount_min_g": 5,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"amount_max_g": 15,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"raw_unit": "一小把",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"normalized_unit": "g",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"preparation_state": "切碎",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"conversion_source": "portion_range_table:v1",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"confidence": 0.54,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"normalization_method": "llm_extract+rule_convert",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"needs_review": true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keepLines w:val="0"/>
        <w:spacing w:before="0" w:after="120" w:line="264" w:lineRule="auto"/>
        <w:jc w:val="left"/>
      </w:pPr>
      <w:r>
        <w:rPr>
          <w:rFonts w:ascii="Calibri" w:hAnsi="Calibri" w:eastAsia="Noto Sans SC Thin"/>
          <w:i w:val="0"/>
          <w:color w:val="172033"/>
          <w:sz w:val="22"/>
        </w:rPr>
        <w:t>LLM 只负责抽取 (数值、原始单位、食材实体、加工状态)，确定性代码负责换算。Pint 处理 oz→g、tbsp→ml 等同量纲转换；cup/ml→g 必须再查询食材与加工状态对应的密度，‘1 个鸡蛋’等计数单位则查询标准份量重量。无法可靠换算时保留区间、来源和置信度，不得静默猜值。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400"/>
        <w:gridCol w:w="39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示例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权威方式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质量单位</w:t>
            </w:r>
          </w:p>
        </w:tc>
        <w:tc>
          <w:tcPr>
            <w:tcW w:type="dxa" w:w="34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oz / lb / kg → g</w:t>
            </w:r>
          </w:p>
        </w:tc>
        <w:tc>
          <w:tcPr>
            <w:tcW w:type="dxa" w:w="39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Pint 同量纲换算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体积单位</w:t>
            </w:r>
          </w:p>
        </w:tc>
        <w:tc>
          <w:tcPr>
            <w:tcW w:type="dxa" w:w="34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cup / tbsp → ml</w:t>
            </w:r>
          </w:p>
        </w:tc>
        <w:tc>
          <w:tcPr>
            <w:tcW w:type="dxa" w:w="39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Pint 同量纲换算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体积到质量</w:t>
            </w:r>
          </w:p>
        </w:tc>
        <w:tc>
          <w:tcPr>
            <w:tcW w:type="dxa" w:w="34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ml × ingredient_density → g</w:t>
            </w:r>
          </w:p>
        </w:tc>
        <w:tc>
          <w:tcPr>
            <w:tcW w:type="dxa" w:w="39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食材 + 加工状态密度表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计数单位</w:t>
            </w:r>
          </w:p>
        </w:tc>
        <w:tc>
          <w:tcPr>
            <w:tcW w:type="dxa" w:w="34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1 个鸡蛋 → portion_g</w:t>
            </w:r>
          </w:p>
        </w:tc>
        <w:tc>
          <w:tcPr>
            <w:tcW w:type="dxa" w:w="39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权威标准份量表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模糊单位</w:t>
            </w:r>
          </w:p>
        </w:tc>
        <w:tc>
          <w:tcPr>
            <w:tcW w:type="dxa" w:w="34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一把 / 适量 → 区间或未知</w:t>
            </w:r>
          </w:p>
        </w:tc>
        <w:tc>
          <w:tcPr>
            <w:tcW w:type="dxa" w:w="39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区间表、人工复核或 Fail-Closed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6.3 价格与预算模型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 w:eastAsia="Noto Sans SC Thin"/>
          <w:i w:val="0"/>
          <w:color w:val="172033"/>
          <w:sz w:val="22"/>
        </w:rPr>
        <w:t>用户侧继续使用人民币预算，不要求用户理解抽象成本指数。MVP 使用带地区、时间和版本的静态基准价格表估算成本；价格覆盖不足时，成本指数只作为内部软目标或降级提示，不得把不可靠估价包装成精确金额。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38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数据状态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表示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规划策略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可靠价格</w:t>
            </w:r>
          </w:p>
        </w:tc>
        <w:tc>
          <w:tcPr>
            <w:tcW w:type="dxa" w:w="3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ingredient_id + region + 元/100g + 生效区间</w:t>
            </w:r>
          </w:p>
        </w:tc>
        <w:tc>
          <w:tcPr>
            <w:tcW w:type="dxa" w:w="38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进入预算硬约束，计划绑定 price_snapshot_id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价格区间</w:t>
            </w:r>
          </w:p>
        </w:tc>
        <w:tc>
          <w:tcPr>
            <w:tcW w:type="dxa" w:w="3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estimated_min / estimated_max</w:t>
            </w:r>
          </w:p>
        </w:tc>
        <w:tc>
          <w:tcPr>
            <w:tcW w:type="dxa" w:w="38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硬预算使用上界，展示估算范围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低覆盖</w:t>
            </w:r>
          </w:p>
        </w:tc>
        <w:tc>
          <w:tcPr>
            <w:tcW w:type="dxa" w:w="3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cost_tier 1–5</w:t>
            </w:r>
          </w:p>
        </w:tc>
        <w:tc>
          <w:tcPr>
            <w:tcW w:type="dxa" w:w="38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仅作为软目标，并提示无法精确预算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无价格</w:t>
            </w:r>
          </w:p>
        </w:tc>
        <w:tc>
          <w:tcPr>
            <w:tcW w:type="dxa" w:w="3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null + reason + confidence</w:t>
            </w:r>
          </w:p>
        </w:tc>
        <w:tc>
          <w:tcPr>
            <w:tcW w:type="dxa" w:w="38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不让 LLM 猜价；请求确认或关闭硬预算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6.4 候选集覆盖断路器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 w:eastAsia="Noto Sans SC Thin"/>
          <w:i w:val="0"/>
          <w:color w:val="172033"/>
          <w:sz w:val="22"/>
        </w:rPr>
        <w:t>在 Retrieve 与 Solve 之间增加 Candidate Guardrail。系统不使用固定的‘少于 10 道’阈值，而是根据 meal_slots、每餐备选数、餐次类型和食物类别覆盖度判断候选池是否足以规划，并将数据覆盖不足与数学无解分开。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500"/>
        <w:gridCol w:w="33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判定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路由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EMPTY_RETRIEVAL</w:t>
            </w:r>
          </w:p>
        </w:tc>
        <w:tc>
          <w:tcPr>
            <w:tcW w:type="dxa" w:w="3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硬过滤后候选为 0</w:t>
            </w:r>
          </w:p>
        </w:tc>
        <w:tc>
          <w:tcPr>
            <w:tcW w:type="dxa" w:w="3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不调用 Solver；说明数据覆盖不足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INSUFFICIENT_COVERAGE</w:t>
            </w:r>
          </w:p>
        </w:tc>
        <w:tc>
          <w:tcPr>
            <w:tcW w:type="dxa" w:w="3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总数或餐次/类别覆盖不足</w:t>
            </w:r>
          </w:p>
        </w:tc>
        <w:tc>
          <w:tcPr>
            <w:tcW w:type="dxa" w:w="3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可建议放宽时间、菜系或多样性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READY</w:t>
            </w:r>
          </w:p>
        </w:tc>
        <w:tc>
          <w:tcPr>
            <w:tcW w:type="dxa" w:w="3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满足动态覆盖门槛</w:t>
            </w:r>
          </w:p>
        </w:tc>
        <w:tc>
          <w:tcPr>
            <w:tcW w:type="dxa" w:w="3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进入 CP-SAT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SOLVER_INFEASIBLE</w:t>
            </w:r>
          </w:p>
        </w:tc>
        <w:tc>
          <w:tcPr>
            <w:tcW w:type="dxa" w:w="3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候选充分但约束无可行组合</w:t>
            </w:r>
          </w:p>
        </w:tc>
        <w:tc>
          <w:tcPr>
            <w:tcW w:type="dxa" w:w="3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进入受控无解诊断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SOLVER_UNKNOWN</w:t>
            </w:r>
          </w:p>
        </w:tc>
        <w:tc>
          <w:tcPr>
            <w:tcW w:type="dxa" w:w="3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时限内未找到且未证明无解</w:t>
            </w:r>
          </w:p>
        </w:tc>
        <w:tc>
          <w:tcPr>
            <w:tcW w:type="dxa" w:w="3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缩小问题或请求延长时间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DECEC"/>
            <w:tcBorders>
              <w:top w:val="single" w:sz="10" w:color="9B1C1C"/>
              <w:left w:val="single" w:sz="10" w:color="9B1C1C"/>
              <w:bottom w:val="single" w:sz="10" w:color="9B1C1C"/>
              <w:right w:val="single" w:sz="10" w:color="9B1C1C"/>
              <w:insideH w:val="single" w:sz="10" w:color="9B1C1C"/>
              <w:insideV w:val="single" w:sz="10" w:color="9B1C1C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Noto Sans SC Thin"/>
                <w:b/>
                <w:color w:val="9B1C1C"/>
                <w:sz w:val="21"/>
              </w:rPr>
              <w:t xml:space="preserve">断路器边界  </w:t>
            </w:r>
            <w:r>
              <w:rPr>
                <w:rFonts w:ascii="Calibri" w:hAnsi="Calibri" w:eastAsia="Noto Sans SC Thin"/>
                <w:color w:val="172033"/>
                <w:sz w:val="21"/>
              </w:rPr>
              <w:t>覆盖不足时只允许建议放宽时间、菜系、多样性等可协商项；过敏原、宗教禁忌和明确禁止食物永远不能为增加候选数量而放宽。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6.5 检索链路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 w:eastAsia="Noto Sans SC Thin"/>
          <w:i w:val="0"/>
          <w:color w:val="172033"/>
          <w:sz w:val="22"/>
        </w:rPr>
        <w:t>检索顺序为：元数据硬过滤 → Dense 与 BM25 并行召回 → RRF 融合 → Cross-Encoder Rerank → 父级菜谱上下文扩展。过敏和禁忌必须在语义检索前后各检查一次，防止同义词、调味料或配料表隐藏风险。</w:t>
      </w:r>
    </w:p>
    <w:p>
      <w:pPr>
        <w:pStyle w:val="Heading2"/>
        <w:keepNext/>
      </w:pPr>
      <w:r>
        <w:t>6.6 数据许可策略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200"/>
        <w:gridCol w:w="46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来源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用途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最终策略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USDA FoodData Central</w:t>
            </w:r>
          </w:p>
        </w:tc>
        <w:tc>
          <w:tcPr>
            <w:tcW w:type="dxa" w:w="2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营养数据</w:t>
            </w:r>
          </w:p>
        </w:tc>
        <w:tc>
          <w:tcPr>
            <w:tcW w:type="dxa" w:w="46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CC0 / Public Domain，可作为首期营养来源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MediaCrawler / Pro</w:t>
            </w:r>
          </w:p>
        </w:tc>
        <w:tc>
          <w:tcPr>
            <w:tcW w:type="dxa" w:w="2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离线研究采集</w:t>
            </w:r>
          </w:p>
        </w:tc>
        <w:tc>
          <w:tcPr>
            <w:tcW w:type="dxa" w:w="46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仅用于许可允许的学习研究环境，不进入商业上线数据链路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Recipe1M+</w:t>
            </w:r>
          </w:p>
        </w:tc>
        <w:tc>
          <w:tcPr>
            <w:tcW w:type="dxa" w:w="2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研究数据集</w:t>
            </w:r>
          </w:p>
        </w:tc>
        <w:tc>
          <w:tcPr>
            <w:tcW w:type="dxa" w:w="46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官方访问面向研究用途；不能默认商业化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Epicurious Kaggle 数据</w:t>
            </w:r>
          </w:p>
        </w:tc>
        <w:tc>
          <w:tcPr>
            <w:tcW w:type="dxa" w:w="2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研究样本</w:t>
            </w:r>
          </w:p>
        </w:tc>
        <w:tc>
          <w:tcPr>
            <w:tcW w:type="dxa" w:w="46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许可证标注不明确，不作为生产数据源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自建/授权/用户导入</w:t>
            </w:r>
          </w:p>
        </w:tc>
        <w:tc>
          <w:tcPr>
            <w:tcW w:type="dxa" w:w="2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生产候选</w:t>
            </w:r>
          </w:p>
        </w:tc>
        <w:tc>
          <w:tcPr>
            <w:tcW w:type="dxa" w:w="46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保存权利信息、来源与删除机制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6.7 MVP 数据验收门槛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000"/>
        <w:gridCol w:w="2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检查项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通过条件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失败处理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来源与许可</w:t>
            </w:r>
          </w:p>
        </w:tc>
        <w:tc>
          <w:tcPr>
            <w:tcW w:type="dxa" w:w="5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每个 RecipeVersion 有来源、许可状态、抓取/导入时间和内容 Hash</w:t>
            </w:r>
          </w:p>
        </w:tc>
        <w:tc>
          <w:tcPr>
            <w:tcW w:type="dxa" w:w="24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缺失则不得进入生产候选集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计量换算</w:t>
            </w:r>
          </w:p>
        </w:tc>
        <w:tc>
          <w:tcPr>
            <w:tcW w:type="dxa" w:w="5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换算结果含方法、来源、加工状态、置信度和不确定区间</w:t>
            </w:r>
          </w:p>
        </w:tc>
        <w:tc>
          <w:tcPr>
            <w:tcW w:type="dxa" w:w="24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低置信度进入复核或阻断精确规划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营养映射</w:t>
            </w:r>
          </w:p>
        </w:tc>
        <w:tc>
          <w:tcPr>
            <w:tcW w:type="dxa" w:w="5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FoodData ID 与营养数据库版本可追溯</w:t>
            </w:r>
          </w:p>
        </w:tc>
        <w:tc>
          <w:tcPr>
            <w:tcW w:type="dxa" w:w="24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无法映射时不允许 LLM 补值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价格估算</w:t>
            </w:r>
          </w:p>
        </w:tc>
        <w:tc>
          <w:tcPr>
            <w:tcW w:type="dxa" w:w="5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计划绑定地区、时间和 PriceSnapshot 版本</w:t>
            </w:r>
          </w:p>
        </w:tc>
        <w:tc>
          <w:tcPr>
            <w:tcW w:type="dxa" w:w="24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覆盖不足时降级为区间/成本等级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候选覆盖</w:t>
            </w:r>
          </w:p>
        </w:tc>
        <w:tc>
          <w:tcPr>
            <w:tcW w:type="dxa" w:w="5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每次检索生成餐次、类别和备选覆盖报告</w:t>
            </w:r>
          </w:p>
        </w:tc>
        <w:tc>
          <w:tcPr>
            <w:tcW w:type="dxa" w:w="24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READY 才进入 Solver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并发、隔离与状态一致性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06440" cy="3741928"/>
            <wp:docPr id="3" name="Picture 3" descr="图 3  并发、任务隔离与可恢复事件流" title="图 3  并发、任务隔离与可恢复事件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urr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4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Calibri" w:hAnsi="Calibri" w:eastAsia="Noto Sans SC Thin"/>
          <w:b/>
          <w:color w:val="626B78"/>
          <w:sz w:val="18"/>
        </w:rPr>
        <w:t>图 3  并发、任务隔离与可恢复事件流</w:t>
      </w:r>
    </w:p>
    <w:p>
      <w:pPr>
        <w:pStyle w:val="Heading2"/>
        <w:keepNext/>
      </w:pPr>
      <w:r>
        <w:t>7.1 IO 与 CPU 隔离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 w:eastAsia="Noto Sans SC Thin"/>
          <w:i w:val="0"/>
          <w:color w:val="172033"/>
          <w:sz w:val="22"/>
        </w:rPr>
        <w:t>LLM、向量数据库和外部 API 主要等待网络；CP-SAT 属于 CPU 密集型。生产设计不让求解器占用 FastAPI 事件循环，而是进入独立进程工作池。首期可以用单机多进程，后续按队列长度单独扩容 Solver Worker。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DECEC"/>
            <w:tcBorders>
              <w:top w:val="single" w:sz="10" w:color="9B1C1C"/>
              <w:left w:val="single" w:sz="10" w:color="9B1C1C"/>
              <w:bottom w:val="single" w:sz="10" w:color="9B1C1C"/>
              <w:right w:val="single" w:sz="10" w:color="9B1C1C"/>
              <w:insideH w:val="single" w:sz="10" w:color="9B1C1C"/>
              <w:insideV w:val="single" w:sz="10" w:color="9B1C1C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Noto Sans SC Thin"/>
                <w:b/>
                <w:color w:val="9B1C1C"/>
                <w:sz w:val="21"/>
              </w:rPr>
              <w:t xml:space="preserve">超时语义  </w:t>
            </w:r>
            <w:r>
              <w:rPr>
                <w:rFonts w:ascii="Calibri" w:hAnsi="Calibri" w:eastAsia="Noto Sans SC Thin"/>
                <w:color w:val="172033"/>
                <w:sz w:val="21"/>
              </w:rPr>
              <w:t>设置 CP-SAT time limit 后，若已有可行解则可能返回 FEASIBLE；若没有找到解且未证明无解，状态可能是 UNKNOWN。系统不能承诺‘超时一定返回次优解’。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 Run 串行化与租约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同一 thread_id 同一时刻只允许一个 Active Run。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Worker 领取任务时写入 owner_id、lease_expires_at 和 heartbeat。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过期租约可被其他 Worker 回收，但节点和副作用必须可重放、幂等。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取消采用协作式取消：节点边界检查 cancel_requested；求解器依靠时间限制或独立进程终止。</w:t>
      </w:r>
    </w:p>
    <w:p>
      <w:pPr>
        <w:pStyle w:val="Heading2"/>
        <w:keepNext/>
      </w:pPr>
      <w:r>
        <w:t>7.3 乐观并发控制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7F8FA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SC Thin"/>
                <w:color w:val="253247"/>
                <w:sz w:val="16"/>
              </w:rPr>
              <w:t>UPDATE agent_runs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>SET state = :new_state, run_version = run_version + 1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>WHERE run_id = :run_id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 xml:space="preserve">  AND run_version = :expected_version;</w:t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SC Thin"/>
                <w:color w:val="253247"/>
                <w:sz w:val="16"/>
              </w:rPr>
              <w:t>-- affected_rows == 0 -&gt; HTTP 409 Conflict</w:t>
            </w:r>
          </w:p>
        </w:tc>
      </w:tr>
    </w:tbl>
    <w:p>
      <w:pPr>
        <w:spacing w:after="40"/>
      </w:pPr>
    </w:p>
    <w:p>
      <w:pPr>
        <w:keepLines w:val="0"/>
        <w:spacing w:before="0" w:after="120" w:line="264" w:lineRule="auto"/>
        <w:jc w:val="left"/>
      </w:pPr>
      <w:r>
        <w:rPr>
          <w:rFonts w:ascii="Calibri" w:hAnsi="Calibri" w:eastAsia="Noto Sans SC Thin"/>
          <w:i w:val="0"/>
          <w:color w:val="172033"/>
          <w:sz w:val="22"/>
        </w:rPr>
        <w:t>前端的拖拽、约束修改和协商选择都携带 expected_version。Checkpointer 保存 LangGraph 状态以便恢复，run_version 则保护业务操作免受双击、乱序请求和旧页面写入影响。</w:t>
      </w:r>
    </w:p>
    <w:p>
      <w:pPr>
        <w:pStyle w:val="Heading2"/>
        <w:keepNext/>
      </w:pPr>
      <w:r>
        <w:t>7.4 幂等与事务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700"/>
        <w:gridCol w:w="35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副作用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幂等键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实现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计划发布</w:t>
            </w:r>
          </w:p>
        </w:tc>
        <w:tc>
          <w:tcPr>
            <w:tcW w:type="dxa" w:w="37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user_id + publish + plan_id + plan_version</w:t>
            </w:r>
          </w:p>
        </w:tc>
        <w:tc>
          <w:tcPr>
            <w:tcW w:type="dxa" w:w="35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唯一索引，重复请求返回已有结果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库存扣减</w:t>
            </w:r>
          </w:p>
        </w:tc>
        <w:tc>
          <w:tcPr>
            <w:tcW w:type="dxa" w:w="37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household_id + deduct + plan_id + plan_version</w:t>
            </w:r>
          </w:p>
        </w:tc>
        <w:tc>
          <w:tcPr>
            <w:tcW w:type="dxa" w:w="35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事务写库存流水，不直接覆盖余额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购物清单</w:t>
            </w:r>
          </w:p>
        </w:tc>
        <w:tc>
          <w:tcPr>
            <w:tcW w:type="dxa" w:w="37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user_id + shopping_list + plan_id + plan_version</w:t>
            </w:r>
          </w:p>
        </w:tc>
        <w:tc>
          <w:tcPr>
            <w:tcW w:type="dxa" w:w="35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相同版本重复生成不新增记录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用户决策</w:t>
            </w:r>
          </w:p>
        </w:tc>
        <w:tc>
          <w:tcPr>
            <w:tcW w:type="dxa" w:w="37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run_id + decision_id + option_id</w:t>
            </w:r>
          </w:p>
        </w:tc>
        <w:tc>
          <w:tcPr>
            <w:tcW w:type="dxa" w:w="35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重复点击只消费一次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8EEF5"/>
            <w:tcBorders>
              <w:top w:val="single" w:sz="10" w:color="2E74B5"/>
              <w:left w:val="single" w:sz="10" w:color="2E74B5"/>
              <w:bottom w:val="single" w:sz="10" w:color="2E74B5"/>
              <w:right w:val="single" w:sz="10" w:color="2E74B5"/>
              <w:insideH w:val="single" w:sz="10" w:color="2E74B5"/>
              <w:insideV w:val="single" w:sz="10" w:color="2E74B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Noto Sans SC Thin"/>
                <w:b/>
                <w:color w:val="2E74B5"/>
                <w:sz w:val="21"/>
              </w:rPr>
              <w:t xml:space="preserve">一致性模型  </w:t>
            </w:r>
            <w:r>
              <w:rPr>
                <w:rFonts w:ascii="Calibri" w:hAnsi="Calibri" w:eastAsia="Noto Sans SC Thin"/>
                <w:color w:val="172033"/>
                <w:sz w:val="21"/>
              </w:rPr>
              <w:t>消息队列通常提供至少一次投递。MealPilot 不追求虚假的‘端到端恰好一次’，而是通过事务、唯一键、Outbox 和幂等消费者获得可验证的一次业务效果。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长任务交互与事件同步</w:t>
      </w:r>
    </w:p>
    <w:p>
      <w:pPr>
        <w:pStyle w:val="Heading2"/>
        <w:keepNext/>
      </w:pPr>
      <w:r>
        <w:t>8.1 API 模式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POST /v1/meal-plan-runs：校验并创建运行，立即返回 202、run_id 和 run_version。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GET /v1/meal-plan-runs/{run_id}/events：SSE 订阅节点事件，支持 Last-Event-ID。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GET /v1/meal-plan-runs/{run_id}：获取权威状态快照。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POST /v1/meal-plan-runs/{run_id}/decisions：提交协商选择，携带 expected_version 和 idempotency_key。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POST /v1/meal-plan-runs/{run_id}/cancel：请求协作式取消。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PATCH /v1/meal-plans/{plan_id}：拖拽或替换菜品后先做增量验证。</w:t>
      </w:r>
    </w:p>
    <w:p>
      <w:pPr>
        <w:pStyle w:val="Heading2"/>
        <w:keepNext/>
      </w:pPr>
      <w:r>
        <w:t>8.2 事件可靠性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 w:eastAsia="Noto Sans SC Thin"/>
          <w:i w:val="0"/>
          <w:color w:val="172033"/>
          <w:sz w:val="22"/>
        </w:rPr>
        <w:t>Redis Pub/Sub 适合实时广播，但客户端断线时事件无法重放，因此不作为唯一事实源。推荐业务状态和 Outbox 保存在 PostgreSQL，事件投递到 Redis Streams；SSE 重连后根据 Last-Event-ID 继续消费，事件过期时回退到 Run Snapshot。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00"/>
        <w:gridCol w:w="37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内容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event_id</w:t>
            </w:r>
          </w:p>
        </w:tc>
        <w:tc>
          <w:tcPr>
            <w:tcW w:type="dxa" w:w="3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单调递增或 Stream ID</w:t>
            </w:r>
          </w:p>
        </w:tc>
        <w:tc>
          <w:tcPr>
            <w:tcW w:type="dxa" w:w="37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断线续传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run_id</w:t>
            </w:r>
          </w:p>
        </w:tc>
        <w:tc>
          <w:tcPr>
            <w:tcW w:type="dxa" w:w="3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运行标识</w:t>
            </w:r>
          </w:p>
        </w:tc>
        <w:tc>
          <w:tcPr>
            <w:tcW w:type="dxa" w:w="37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隔离不同任务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run_version</w:t>
            </w:r>
          </w:p>
        </w:tc>
        <w:tc>
          <w:tcPr>
            <w:tcW w:type="dxa" w:w="3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产生事件时的状态版本</w:t>
            </w:r>
          </w:p>
        </w:tc>
        <w:tc>
          <w:tcPr>
            <w:tcW w:type="dxa" w:w="37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识别旧事件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event_type</w:t>
            </w:r>
          </w:p>
        </w:tc>
        <w:tc>
          <w:tcPr>
            <w:tcW w:type="dxa" w:w="3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node_started / progress / interrupt / completed / failed</w:t>
            </w:r>
          </w:p>
        </w:tc>
        <w:tc>
          <w:tcPr>
            <w:tcW w:type="dxa" w:w="37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前端路由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safe_payload</w:t>
            </w:r>
          </w:p>
        </w:tc>
        <w:tc>
          <w:tcPr>
            <w:tcW w:type="dxa" w:w="3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状态摘要、进度、选项和错误码</w:t>
            </w:r>
          </w:p>
        </w:tc>
        <w:tc>
          <w:tcPr>
            <w:tcW w:type="dxa" w:w="37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不得包含隐式推理过程或密钥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created_at</w:t>
            </w:r>
          </w:p>
        </w:tc>
        <w:tc>
          <w:tcPr>
            <w:tcW w:type="dxa" w:w="3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服务端时间</w:t>
            </w:r>
          </w:p>
        </w:tc>
        <w:tc>
          <w:tcPr>
            <w:tcW w:type="dxa" w:w="37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追踪与排序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缓存、模型路由与成本控制</w:t>
      </w:r>
    </w:p>
    <w:p>
      <w:pPr>
        <w:pStyle w:val="Heading2"/>
        <w:keepNext/>
      </w:pPr>
      <w:r>
        <w:t>9.1 分层缓存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1100"/>
        <w:gridCol w:w="27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Key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推荐度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安全条件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食材/营养缓存</w:t>
            </w:r>
          </w:p>
        </w:tc>
        <w:tc>
          <w:tcPr>
            <w:tcW w:type="dxa" w:w="3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canonical_food_id + nutrition_version</w:t>
            </w:r>
          </w:p>
        </w:tc>
        <w:tc>
          <w:tcPr>
            <w:tcW w:type="dxa" w:w="1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高</w:t>
            </w:r>
          </w:p>
        </w:tc>
        <w:tc>
          <w:tcPr>
            <w:tcW w:type="dxa" w:w="27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TTL 长，版本变化失效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Embedding 缓存</w:t>
            </w:r>
          </w:p>
        </w:tc>
        <w:tc>
          <w:tcPr>
            <w:tcW w:type="dxa" w:w="3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content_hash + embedding_model_version</w:t>
            </w:r>
          </w:p>
        </w:tc>
        <w:tc>
          <w:tcPr>
            <w:tcW w:type="dxa" w:w="1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高</w:t>
            </w:r>
          </w:p>
        </w:tc>
        <w:tc>
          <w:tcPr>
            <w:tcW w:type="dxa" w:w="27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内容不变可复用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检索候选缓存</w:t>
            </w:r>
          </w:p>
        </w:tc>
        <w:tc>
          <w:tcPr>
            <w:tcW w:type="dxa" w:w="3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normalized_query + hard_filter_hash + index_version</w:t>
            </w:r>
          </w:p>
        </w:tc>
        <w:tc>
          <w:tcPr>
            <w:tcW w:type="dxa" w:w="1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中</w:t>
            </w:r>
          </w:p>
        </w:tc>
        <w:tc>
          <w:tcPr>
            <w:tcW w:type="dxa" w:w="27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返回候选后仍需过滤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意图解析缓存</w:t>
            </w:r>
          </w:p>
        </w:tc>
        <w:tc>
          <w:tcPr>
            <w:tcW w:type="dxa" w:w="3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query_hash + profile_schema_version + prompt_version</w:t>
            </w:r>
          </w:p>
        </w:tc>
        <w:tc>
          <w:tcPr>
            <w:tcW w:type="dxa" w:w="1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中</w:t>
            </w:r>
          </w:p>
        </w:tc>
        <w:tc>
          <w:tcPr>
            <w:tcW w:type="dxa" w:w="27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歧义请求不命中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完整计划缓存</w:t>
            </w:r>
          </w:p>
        </w:tc>
        <w:tc>
          <w:tcPr>
            <w:tcW w:type="dxa" w:w="3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profile_snapshot + constraint_hash + data/solver versions</w:t>
            </w:r>
          </w:p>
        </w:tc>
        <w:tc>
          <w:tcPr>
            <w:tcW w:type="dxa" w:w="1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低</w:t>
            </w:r>
          </w:p>
        </w:tc>
        <w:tc>
          <w:tcPr>
            <w:tcW w:type="dxa" w:w="27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仅精确匹配，返回前重新验证</w:t>
            </w:r>
          </w:p>
        </w:tc>
      </w:tr>
    </w:tbl>
    <w:p>
      <w:pPr>
        <w:spacing w:after="40"/>
      </w:pPr>
    </w:p>
    <w:p>
      <w:pPr>
        <w:keepLines w:val="0"/>
        <w:spacing w:before="0" w:after="120" w:line="264" w:lineRule="auto"/>
        <w:jc w:val="left"/>
      </w:pPr>
      <w:r>
        <w:rPr>
          <w:rFonts w:ascii="Calibri" w:hAnsi="Calibri" w:eastAsia="Noto Sans SC Thin"/>
          <w:i w:val="0"/>
          <w:color w:val="172033"/>
          <w:sz w:val="22"/>
        </w:rPr>
        <w:t>‘相似度 &gt; 0.95’不足以复用完整个性化方案。两条查询可能语义相似，却在花生过敏、预算或人数上完全不同。语义缓存优先用于意图解析和检索候选，最终计划只允许严格指纹命中。</w:t>
      </w:r>
    </w:p>
    <w:p>
      <w:pPr>
        <w:pStyle w:val="Heading2"/>
        <w:keepNext/>
      </w:pPr>
      <w:r>
        <w:t>9.2 Model Routing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800"/>
        <w:gridCol w:w="39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任务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默认路由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升级/限制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结构化意图提取</w:t>
            </w:r>
          </w:p>
        </w:tc>
        <w:tc>
          <w:tcPr>
            <w:tcW w:type="dxa" w:w="2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小/中模型优先</w:t>
            </w:r>
          </w:p>
        </w:tc>
        <w:tc>
          <w:tcPr>
            <w:tcW w:type="dxa" w:w="39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Schema 校验失败或歧义再升级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冲突解释与协商</w:t>
            </w:r>
          </w:p>
        </w:tc>
        <w:tc>
          <w:tcPr>
            <w:tcW w:type="dxa" w:w="2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中/大模型</w:t>
            </w:r>
          </w:p>
        </w:tc>
        <w:tc>
          <w:tcPr>
            <w:tcW w:type="dxa" w:w="39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需要理解多个权衡时使用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软质量检查</w:t>
            </w:r>
          </w:p>
        </w:tc>
        <w:tc>
          <w:tcPr>
            <w:tcW w:type="dxa" w:w="2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小模型或规则</w:t>
            </w:r>
          </w:p>
        </w:tc>
        <w:tc>
          <w:tcPr>
            <w:tcW w:type="dxa" w:w="39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不承担安全权威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营养与约束验证</w:t>
            </w:r>
          </w:p>
        </w:tc>
        <w:tc>
          <w:tcPr>
            <w:tcW w:type="dxa" w:w="2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不使用 LLM</w:t>
            </w:r>
          </w:p>
        </w:tc>
        <w:tc>
          <w:tcPr>
            <w:tcW w:type="dxa" w:w="39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确定性代码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9.3 Rate Limit 与背压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按用户、IP、组织和接口设置令牌桶限流；创建 Run 的入口最严格。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对 LLM Provider 设置全局并发信号量和每模型配额，收到 429 时指数退避并加入随机抖动。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队列长度或预计等待时间超过阈值时返回 429/503 与 Retry-After，不无限堆积。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每个 Run 带 Token、调用次数、时长和费用预算；超限后降级或停止。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Prompt 的稳定系统前缀、工具 Schema 和 Skill 索引尽量固定，动态状态放后部以提高缓存复用。</w:t>
      </w:r>
    </w:p>
    <w:p>
      <w:pPr>
        <w:pStyle w:val="Heading1"/>
        <w:keepNext/>
      </w:pPr>
      <w:r>
        <w:t>10. 安全、隐私与权限边界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800"/>
        <w:gridCol w:w="46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威胁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控制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提示词注入</w:t>
            </w:r>
          </w:p>
        </w:tc>
        <w:tc>
          <w:tcPr>
            <w:tcW w:type="dxa" w:w="2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检索内容含恶意指令</w:t>
            </w:r>
          </w:p>
        </w:tc>
        <w:tc>
          <w:tcPr>
            <w:tcW w:type="dxa" w:w="46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按数据处理；抽取结构化字段；不赋予指令权；工具最小权限；结果再验证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采集器越权</w:t>
            </w:r>
          </w:p>
        </w:tc>
        <w:tc>
          <w:tcPr>
            <w:tcW w:type="dxa" w:w="2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Crawler 获取宿主密钥或任意网络</w:t>
            </w:r>
          </w:p>
        </w:tc>
        <w:tc>
          <w:tcPr>
            <w:tcW w:type="dxa" w:w="46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独立容器、非 root、只读根文件系统、最小环境变量、域名白名单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工具滥用</w:t>
            </w:r>
          </w:p>
        </w:tc>
        <w:tc>
          <w:tcPr>
            <w:tcW w:type="dxa" w:w="2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LLM 调用未授权工具</w:t>
            </w:r>
          </w:p>
        </w:tc>
        <w:tc>
          <w:tcPr>
            <w:tcW w:type="dxa" w:w="46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Registered/Available/Authorized 三层控制；普通会话看不到采集工具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不安全副作用</w:t>
            </w:r>
          </w:p>
        </w:tc>
        <w:tc>
          <w:tcPr>
            <w:tcW w:type="dxa" w:w="2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重试导致重复扣库存</w:t>
            </w:r>
          </w:p>
        </w:tc>
        <w:tc>
          <w:tcPr>
            <w:tcW w:type="dxa" w:w="46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幂等键、事务流水、唯一约束和审批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敏感档案</w:t>
            </w:r>
          </w:p>
        </w:tc>
        <w:tc>
          <w:tcPr>
            <w:tcW w:type="dxa" w:w="2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健康偏好、过敏信息泄漏</w:t>
            </w:r>
          </w:p>
        </w:tc>
        <w:tc>
          <w:tcPr>
            <w:tcW w:type="dxa" w:w="46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最小化采集、传输加密、字段级保护、导出和删除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日志泄漏</w:t>
            </w:r>
          </w:p>
        </w:tc>
        <w:tc>
          <w:tcPr>
            <w:tcW w:type="dxa" w:w="2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Prompt/Tool 输出包含个人信息</w:t>
            </w:r>
          </w:p>
        </w:tc>
        <w:tc>
          <w:tcPr>
            <w:tcW w:type="dxa" w:w="46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脱敏、分级留存、禁止记录密钥和完整隐式推理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DECEC"/>
            <w:tcBorders>
              <w:top w:val="single" w:sz="10" w:color="9B1C1C"/>
              <w:left w:val="single" w:sz="10" w:color="9B1C1C"/>
              <w:bottom w:val="single" w:sz="10" w:color="9B1C1C"/>
              <w:right w:val="single" w:sz="10" w:color="9B1C1C"/>
              <w:insideH w:val="single" w:sz="10" w:color="9B1C1C"/>
              <w:insideV w:val="single" w:sz="10" w:color="9B1C1C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Noto Sans SC Thin"/>
                <w:b/>
                <w:color w:val="9B1C1C"/>
                <w:sz w:val="21"/>
              </w:rPr>
              <w:t xml:space="preserve">Structured Output 的真实作用  </w:t>
            </w:r>
            <w:r>
              <w:rPr>
                <w:rFonts w:ascii="Calibri" w:hAnsi="Calibri" w:eastAsia="Noto Sans SC Thin"/>
                <w:color w:val="172033"/>
                <w:sz w:val="21"/>
              </w:rPr>
              <w:t>JSON Schema 能约束输出形状并减少解析错误，但不能保证内容真实，也不能阻止模型服从数据中的恶意指令。安全依靠输入隔离、权限边界、确定性验证和审批共同实现。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接口与核心数据模型</w:t>
      </w:r>
    </w:p>
    <w:p>
      <w:pPr>
        <w:pStyle w:val="Heading2"/>
        <w:keepNext/>
      </w:pPr>
      <w:r>
        <w:t>11.1 关键实体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600"/>
        <w:gridCol w:w="43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实体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作用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关键字段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UserProfileSnapshot</w:t>
            </w:r>
          </w:p>
        </w:tc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档案不可变快照</w:t>
            </w:r>
          </w:p>
        </w:tc>
        <w:tc>
          <w:tcPr>
            <w:tcW w:type="dxa" w:w="4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profile_snapshot_id, allergies, goals, activity, version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ConstraintSet</w:t>
            </w:r>
          </w:p>
        </w:tc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一次规划的三级约束</w:t>
            </w:r>
          </w:p>
        </w:tc>
        <w:tc>
          <w:tcPr>
            <w:tcW w:type="dxa" w:w="4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immutable, negotiable, soft, provenance, version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RecipeVersion</w:t>
            </w:r>
          </w:p>
        </w:tc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可追溯菜谱版本</w:t>
            </w:r>
          </w:p>
        </w:tc>
        <w:tc>
          <w:tcPr>
            <w:tcW w:type="dxa" w:w="4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source, license, content_hash, ingredients, steps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IngredientNormalization</w:t>
            </w:r>
          </w:p>
        </w:tc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食材对齐结果</w:t>
            </w:r>
          </w:p>
        </w:tc>
        <w:tc>
          <w:tcPr>
            <w:tcW w:type="dxa" w:w="4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canonical_id, amount_range, unit, preparation_state, conversion_source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PriceSnapshot</w:t>
            </w:r>
          </w:p>
        </w:tc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版本化价格基准</w:t>
            </w:r>
          </w:p>
        </w:tc>
        <w:tc>
          <w:tcPr>
            <w:tcW w:type="dxa" w:w="4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region, currency, price_range, effective_at, confidence, version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CandidateCoverageReport</w:t>
            </w:r>
          </w:p>
        </w:tc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求解前覆盖检查</w:t>
            </w:r>
          </w:p>
        </w:tc>
        <w:tc>
          <w:tcPr>
            <w:tcW w:type="dxa" w:w="4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status, per_slot_count, category_coverage, missing_categories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SolverNumericPolicy</w:t>
            </w:r>
          </w:p>
        </w:tc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数值量化契约</w:t>
            </w:r>
          </w:p>
        </w:tc>
        <w:tc>
          <w:tcPr>
            <w:tcW w:type="dxa" w:w="4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scale_by_field, rounding_policy, bounds, version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MealPlan</w:t>
            </w:r>
          </w:p>
        </w:tc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规划结果</w:t>
            </w:r>
          </w:p>
        </w:tc>
        <w:tc>
          <w:tcPr>
            <w:tcW w:type="dxa" w:w="4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recipe_versions, servings, objectives, plan_version, price_snapshot_id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ValidationReport</w:t>
            </w:r>
          </w:p>
        </w:tc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确定性验收</w:t>
            </w:r>
          </w:p>
        </w:tc>
        <w:tc>
          <w:tcPr>
            <w:tcW w:type="dxa" w:w="4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violations, totals, warnings, validator_version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AgentRun</w:t>
            </w:r>
          </w:p>
        </w:tc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长任务状态</w:t>
            </w:r>
          </w:p>
        </w:tc>
        <w:tc>
          <w:tcPr>
            <w:tcW w:type="dxa" w:w="4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thread_id, status, run_version, budgets, lease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RunEvent</w:t>
            </w:r>
          </w:p>
        </w:tc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可恢复状态事件</w:t>
            </w:r>
          </w:p>
        </w:tc>
        <w:tc>
          <w:tcPr>
            <w:tcW w:type="dxa" w:w="4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event_id, run_id, version, safe_payload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ToolExecution</w:t>
            </w:r>
          </w:p>
        </w:tc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工具审计</w:t>
            </w:r>
          </w:p>
        </w:tc>
        <w:tc>
          <w:tcPr>
            <w:tcW w:type="dxa" w:w="4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tool, input_hash, output_hash, latency, outcome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IdempotencyRecord</w:t>
            </w:r>
          </w:p>
        </w:tc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副作用去重</w:t>
            </w:r>
          </w:p>
        </w:tc>
        <w:tc>
          <w:tcPr>
            <w:tcW w:type="dxa" w:w="4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scope, key, response_ref, expires_at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11.2 工具契约要求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输入输出均使用 Pydantic/JSON Schema，禁止自由格式参数。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每个工具声明 timeout、retry_policy、idempotent、side_effect_level 和 authorization_scope。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副作用工具默认不可由模型永久授权；高风险操作需要显式确认。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工具错误返回机器可读 error_code、retryable、safe_message 和 evidence，不把异常堆栈直接发送给模型。</w:t>
      </w:r>
    </w:p>
    <w:p>
      <w:pPr>
        <w:pStyle w:val="Heading1"/>
        <w:keepNext/>
      </w:pPr>
      <w:r>
        <w:t>12. 可观测性与评测体系</w:t>
      </w:r>
    </w:p>
    <w:p>
      <w:pPr>
        <w:pStyle w:val="Heading2"/>
        <w:keepNext/>
      </w:pPr>
      <w:r>
        <w:t>12.1 Trace 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Span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记录内容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Run</w:t>
            </w:r>
          </w:p>
        </w:tc>
        <w:tc>
          <w:tcPr>
            <w:tcW w:type="dxa" w:w="75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用户、版本、状态、总耗时、总成本、最终结果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Node</w:t>
            </w:r>
          </w:p>
        </w:tc>
        <w:tc>
          <w:tcPr>
            <w:tcW w:type="dxa" w:w="75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节点开始/结束、路由原因、重试次数、状态差异摘要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LLM</w:t>
            </w:r>
          </w:p>
        </w:tc>
        <w:tc>
          <w:tcPr>
            <w:tcW w:type="dxa" w:w="75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模型、Prompt 版本、Token、延迟、Rate Limit、结构化解析结果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Tool</w:t>
            </w:r>
          </w:p>
        </w:tc>
        <w:tc>
          <w:tcPr>
            <w:tcW w:type="dxa" w:w="75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工具名、授权结果、输入输出 Hash、延迟、错误码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RAG</w:t>
            </w:r>
          </w:p>
        </w:tc>
        <w:tc>
          <w:tcPr>
            <w:tcW w:type="dxa" w:w="75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过滤条件、召回集、融合/Rerank 分数、来源版本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Solver</w:t>
            </w:r>
          </w:p>
        </w:tc>
        <w:tc>
          <w:tcPr>
            <w:tcW w:type="dxa" w:w="75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变量/约束规模、时间限制、状态、目标值、可行性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HITL</w:t>
            </w:r>
          </w:p>
        </w:tc>
        <w:tc>
          <w:tcPr>
            <w:tcW w:type="dxa" w:w="75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中断原因、展示选项、用户选择、恢复版本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12.2 离线评测集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 w:eastAsia="Noto Sans SC Thin"/>
          <w:i w:val="0"/>
          <w:color w:val="172033"/>
          <w:sz w:val="22"/>
        </w:rPr>
        <w:t>建立不少于 100 个固定场景，覆盖正常规划、约束冲突、隐藏过敏原、单位换算与舍入边界、价格缺失、候选覆盖不足、营养 API 超时、Solver UNKNOWN、用户双击、过期版本、SSE 重连、重试幂等和取消恢复。评测结果绑定代码 Commit、Prompt 版本、模型版本和数据快照。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000"/>
        <w:gridCol w:w="1800"/>
        <w:gridCol w:w="33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类别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指标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建议目标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安全</w:t>
            </w:r>
          </w:p>
        </w:tc>
        <w:tc>
          <w:tcPr>
            <w:tcW w:type="dxa" w:w="3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不可放宽约束满足率</w:t>
            </w:r>
          </w:p>
        </w:tc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100%</w:t>
            </w:r>
          </w:p>
        </w:tc>
        <w:tc>
          <w:tcPr>
            <w:tcW w:type="dxa" w:w="3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验收门槛，不是当前成果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安全</w:t>
            </w:r>
          </w:p>
        </w:tc>
        <w:tc>
          <w:tcPr>
            <w:tcW w:type="dxa" w:w="3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测试集过敏违规</w:t>
            </w:r>
          </w:p>
        </w:tc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0</w:t>
            </w:r>
          </w:p>
        </w:tc>
        <w:tc>
          <w:tcPr>
            <w:tcW w:type="dxa" w:w="3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任何一例阻断发布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任务</w:t>
            </w:r>
          </w:p>
        </w:tc>
        <w:tc>
          <w:tcPr>
            <w:tcW w:type="dxa" w:w="3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可行场景规划成功率</w:t>
            </w:r>
          </w:p>
        </w:tc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≥95%</w:t>
            </w:r>
          </w:p>
        </w:tc>
        <w:tc>
          <w:tcPr>
            <w:tcW w:type="dxa" w:w="3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按固定场景统计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任务</w:t>
            </w:r>
          </w:p>
        </w:tc>
        <w:tc>
          <w:tcPr>
            <w:tcW w:type="dxa" w:w="3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无解/未知状态区分准确率</w:t>
            </w:r>
          </w:p>
        </w:tc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≥95%</w:t>
            </w:r>
          </w:p>
        </w:tc>
        <w:tc>
          <w:tcPr>
            <w:tcW w:type="dxa" w:w="3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避免把 UNKNOWN 当 INFEASIBLE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数值</w:t>
            </w:r>
          </w:p>
        </w:tc>
        <w:tc>
          <w:tcPr>
            <w:tcW w:type="dxa" w:w="3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量化后假可行方案数</w:t>
            </w:r>
          </w:p>
        </w:tc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0</w:t>
            </w:r>
          </w:p>
        </w:tc>
        <w:tc>
          <w:tcPr>
            <w:tcW w:type="dxa" w:w="3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边界值采用保守舍入并由 Decimal 复验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数据</w:t>
            </w:r>
          </w:p>
        </w:tc>
        <w:tc>
          <w:tcPr>
            <w:tcW w:type="dxa" w:w="3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单位换算金标通过率</w:t>
            </w:r>
          </w:p>
        </w:tc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≥95%</w:t>
            </w:r>
          </w:p>
        </w:tc>
        <w:tc>
          <w:tcPr>
            <w:tcW w:type="dxa" w:w="3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覆盖质量、体积、计数与模糊单位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检索</w:t>
            </w:r>
          </w:p>
        </w:tc>
        <w:tc>
          <w:tcPr>
            <w:tcW w:type="dxa" w:w="3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覆盖不足路由准确率</w:t>
            </w:r>
          </w:p>
        </w:tc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≥95%</w:t>
            </w:r>
          </w:p>
        </w:tc>
        <w:tc>
          <w:tcPr>
            <w:tcW w:type="dxa" w:w="3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不把数据不足误判为数学无解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恢复</w:t>
            </w:r>
          </w:p>
        </w:tc>
        <w:tc>
          <w:tcPr>
            <w:tcW w:type="dxa" w:w="3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可恢复故障成功率</w:t>
            </w:r>
          </w:p>
        </w:tc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≥80%</w:t>
            </w:r>
          </w:p>
        </w:tc>
        <w:tc>
          <w:tcPr>
            <w:tcW w:type="dxa" w:w="3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超时、空检索、429 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Agent</w:t>
            </w:r>
          </w:p>
        </w:tc>
        <w:tc>
          <w:tcPr>
            <w:tcW w:type="dxa" w:w="3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重复修复策略率</w:t>
            </w:r>
          </w:p>
        </w:tc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&lt;5%</w:t>
            </w:r>
          </w:p>
        </w:tc>
        <w:tc>
          <w:tcPr>
            <w:tcW w:type="dxa" w:w="3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检查循环控制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RAG</w:t>
            </w:r>
          </w:p>
        </w:tc>
        <w:tc>
          <w:tcPr>
            <w:tcW w:type="dxa" w:w="3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Recall@20</w:t>
            </w:r>
          </w:p>
        </w:tc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≥85%</w:t>
            </w:r>
          </w:p>
        </w:tc>
        <w:tc>
          <w:tcPr>
            <w:tcW w:type="dxa" w:w="3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人工相关性标注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并发</w:t>
            </w:r>
          </w:p>
        </w:tc>
        <w:tc>
          <w:tcPr>
            <w:tcW w:type="dxa" w:w="3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Run 接纳 API P95</w:t>
            </w:r>
          </w:p>
        </w:tc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&lt;300 ms</w:t>
            </w:r>
          </w:p>
        </w:tc>
        <w:tc>
          <w:tcPr>
            <w:tcW w:type="dxa" w:w="3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不含端到端规划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系统</w:t>
            </w:r>
          </w:p>
        </w:tc>
        <w:tc>
          <w:tcPr>
            <w:tcW w:type="dxa" w:w="30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端到端 P95/Token/费用</w:t>
            </w:r>
          </w:p>
        </w:tc>
        <w:tc>
          <w:tcPr>
            <w:tcW w:type="dxa" w:w="18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实测后设基线</w:t>
            </w:r>
          </w:p>
        </w:tc>
        <w:tc>
          <w:tcPr>
            <w:tcW w:type="dxa" w:w="3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不预写节省比例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部署与容量演进</w:t>
      </w:r>
    </w:p>
    <w:p>
      <w:pPr>
        <w:pStyle w:val="Heading2"/>
        <w:keepNext/>
      </w:pPr>
      <w:r>
        <w:t>13.1 MVP 部署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Docker Compose：web、api、agent-worker、solver-worker、ingestion-worker、postgres、redis。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PostgreSQL 同时承载业务数据、pgvector、Outbox 和开发期 Checkpointer，减少运维复杂度。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Redis 同时承载任务队列、限流计数和 Streams；对不同用途设置 Key 前缀与内存策略。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对象存储保存原始菜谱快照和大文件，数据库保存引用、Hash 和元数据。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外部 LLM 与营养 API 使用 Secret 管理，不注入采集容器。</w:t>
      </w:r>
    </w:p>
    <w:p>
      <w:pPr>
        <w:pStyle w:val="Heading2"/>
        <w:keepNext/>
      </w:pPr>
      <w:r>
        <w:t>13.2 扩容触发条件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100"/>
        <w:gridCol w:w="26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信号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动作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监控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Solver 队列持续积压</w:t>
            </w:r>
          </w:p>
        </w:tc>
        <w:tc>
          <w:tcPr>
            <w:tcW w:type="dxa" w:w="4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增加 Solver 进程/节点；限制每任务线程数</w:t>
            </w:r>
          </w:p>
        </w:tc>
        <w:tc>
          <w:tcPr>
            <w:tcW w:type="dxa" w:w="26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CPU 使用率、队列等待时间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LLM 429 增多</w:t>
            </w:r>
          </w:p>
        </w:tc>
        <w:tc>
          <w:tcPr>
            <w:tcW w:type="dxa" w:w="4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降低并发、路由备用模型、扩展供应商配额</w:t>
            </w:r>
          </w:p>
        </w:tc>
        <w:tc>
          <w:tcPr>
            <w:tcW w:type="dxa" w:w="26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429 率、重试延迟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SSE 连接增长</w:t>
            </w:r>
          </w:p>
        </w:tc>
        <w:tc>
          <w:tcPr>
            <w:tcW w:type="dxa" w:w="4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独立 Event Gateway；Streams 分片</w:t>
            </w:r>
          </w:p>
        </w:tc>
        <w:tc>
          <w:tcPr>
            <w:tcW w:type="dxa" w:w="26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连接数、发送延迟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向量检索成为瓶颈</w:t>
            </w:r>
          </w:p>
        </w:tc>
        <w:tc>
          <w:tcPr>
            <w:tcW w:type="dxa" w:w="4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拆分专用向量库或读副本</w:t>
            </w:r>
          </w:p>
        </w:tc>
        <w:tc>
          <w:tcPr>
            <w:tcW w:type="dxa" w:w="26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检索 P95、索引规模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数据库写冲突增加</w:t>
            </w:r>
          </w:p>
        </w:tc>
        <w:tc>
          <w:tcPr>
            <w:tcW w:type="dxa" w:w="4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缩短事务、拆分热表、优化版本粒度</w:t>
            </w:r>
          </w:p>
        </w:tc>
        <w:tc>
          <w:tcPr>
            <w:tcW w:type="dxa" w:w="26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409 率、锁等待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14. 实施路线与验收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00"/>
        <w:gridCol w:w="3900"/>
        <w:gridCol w:w="2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里程碑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周期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交付物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验收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M0 数据与边界</w:t>
            </w:r>
          </w:p>
        </w:tc>
        <w:tc>
          <w:tcPr>
            <w:tcW w:type="dxa" w:w="1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第 1 周</w:t>
            </w:r>
          </w:p>
        </w:tc>
        <w:tc>
          <w:tcPr>
            <w:tcW w:type="dxa" w:w="3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领域 Schema、许可清单、300–500 道菜谱、单位/密度/份量表、价格快照</w:t>
            </w:r>
          </w:p>
        </w:tc>
        <w:tc>
          <w:tcPr>
            <w:tcW w:type="dxa" w:w="25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来源可追溯；低置信度可识别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M1 确定性核心</w:t>
            </w:r>
          </w:p>
        </w:tc>
        <w:tc>
          <w:tcPr>
            <w:tcW w:type="dxa" w:w="1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第 2–3 周</w:t>
            </w:r>
          </w:p>
        </w:tc>
        <w:tc>
          <w:tcPr>
            <w:tcW w:type="dxa" w:w="3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Hybrid RAG、Coverage Guard、Decimal 计算、CP-SAT Scaling、Validator</w:t>
            </w:r>
          </w:p>
        </w:tc>
        <w:tc>
          <w:tcPr>
            <w:tcW w:type="dxa" w:w="25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无 LLM 也能完成固定输入规划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M2 Agent 闭环</w:t>
            </w:r>
          </w:p>
        </w:tc>
        <w:tc>
          <w:tcPr>
            <w:tcW w:type="dxa" w:w="1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第 4–5 周</w:t>
            </w:r>
          </w:p>
        </w:tc>
        <w:tc>
          <w:tcPr>
            <w:tcW w:type="dxa" w:w="3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Analyze、Repair、Interrupt/Resume、ExecutionBudget</w:t>
            </w:r>
          </w:p>
        </w:tc>
        <w:tc>
          <w:tcPr>
            <w:tcW w:type="dxa" w:w="25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冲突案例可暂停、确认、恢复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M3 工程加固</w:t>
            </w:r>
          </w:p>
        </w:tc>
        <w:tc>
          <w:tcPr>
            <w:tcW w:type="dxa" w:w="1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第 6 周</w:t>
            </w:r>
          </w:p>
        </w:tc>
        <w:tc>
          <w:tcPr>
            <w:tcW w:type="dxa" w:w="3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Worker 隔离、OCC、幂等、SSE/Streams、Tracing</w:t>
            </w:r>
          </w:p>
        </w:tc>
        <w:tc>
          <w:tcPr>
            <w:tcW w:type="dxa" w:w="25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双击/重试/断线测试通过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M4 上线与评测</w:t>
            </w:r>
          </w:p>
        </w:tc>
        <w:tc>
          <w:tcPr>
            <w:tcW w:type="dxa" w:w="1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第 7–8 周</w:t>
            </w:r>
          </w:p>
        </w:tc>
        <w:tc>
          <w:tcPr>
            <w:tcW w:type="dxa" w:w="3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Web UI、Docker、100 场景评测、Demo</w:t>
            </w:r>
          </w:p>
        </w:tc>
        <w:tc>
          <w:tcPr>
            <w:tcW w:type="dxa" w:w="25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形成可复现指标和演示录像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14.1 首期必须实现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一日三餐的完整垂直闭环。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三级约束与安全 Fail-Closed。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食材单位、密度、份量和价格的版本化数据契约。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OR-Tools 整数量化、保守舍入及可行/无解/未知状态处理。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候选覆盖断路器，区分数据不足与数学无解。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至少一个真实 Human-in-the-loop 冲突协商案例。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Run 持久化、重试预算、OCC、幂等与基础 Tracing。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固定评测集和可复现实测结果。</w:t>
      </w:r>
    </w:p>
    <w:p>
      <w:pPr>
        <w:pStyle w:val="Heading2"/>
        <w:keepNext/>
      </w:pPr>
      <w:r>
        <w:t>14.2 可延后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一周拖拽看板、多人家庭规划和临期库存预测。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独立 gRPC Solver Service、Kubernetes 和自动扩缩容。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大规模语义缓存、复杂 Pareto 前沿和多供应商 LLM 路由。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MediaCrawlerPro 管理 Skill 的完整自动化。</w:t>
      </w:r>
    </w:p>
    <w:p>
      <w:pPr>
        <w:pStyle w:val="Heading1"/>
        <w:keepNext/>
      </w:pPr>
      <w:r>
        <w:t>15. 风险清单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600"/>
        <w:gridCol w:w="2500"/>
        <w:gridCol w:w="33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等级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风险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影响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缓解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高</w:t>
            </w:r>
          </w:p>
        </w:tc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菜谱许可不清</w:t>
            </w:r>
          </w:p>
        </w:tc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无法公开上线或展示数据</w:t>
            </w:r>
          </w:p>
        </w:tc>
        <w:tc>
          <w:tcPr>
            <w:tcW w:type="dxa" w:w="3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只用授权/自建/用户导入；保存许可元数据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高</w:t>
            </w:r>
          </w:p>
        </w:tc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模糊用量与营养误差</w:t>
            </w:r>
          </w:p>
        </w:tc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约束计算不可信</w:t>
            </w:r>
          </w:p>
        </w:tc>
        <w:tc>
          <w:tcPr>
            <w:tcW w:type="dxa" w:w="3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区间、置信度、人工复核、保守验证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高</w:t>
            </w:r>
          </w:p>
        </w:tc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价格数据失真或过期</w:t>
            </w:r>
          </w:p>
        </w:tc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预算方案误导用户</w:t>
            </w:r>
          </w:p>
        </w:tc>
        <w:tc>
          <w:tcPr>
            <w:tcW w:type="dxa" w:w="3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价格快照、区间上界、地区/时间版本、低覆盖降级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高</w:t>
            </w:r>
          </w:p>
        </w:tc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过敏原漏检</w:t>
            </w:r>
          </w:p>
        </w:tc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用户安全风险</w:t>
            </w:r>
          </w:p>
        </w:tc>
        <w:tc>
          <w:tcPr>
            <w:tcW w:type="dxa" w:w="3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同义词库、配料展开、双重检查、Fail-Closed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中</w:t>
            </w:r>
          </w:p>
        </w:tc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Solver 组合爆炸</w:t>
            </w:r>
          </w:p>
        </w:tc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CPU 队列积压</w:t>
            </w:r>
          </w:p>
        </w:tc>
        <w:tc>
          <w:tcPr>
            <w:tcW w:type="dxa" w:w="3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候选裁剪、时间限制、进程隔离、目标简化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中</w:t>
            </w:r>
          </w:p>
        </w:tc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Agent 循环</w:t>
            </w:r>
          </w:p>
        </w:tc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成本和延迟失控</w:t>
            </w:r>
          </w:p>
        </w:tc>
        <w:tc>
          <w:tcPr>
            <w:tcW w:type="dxa" w:w="3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预算、动作去重、状态机硬路由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中</w:t>
            </w:r>
          </w:p>
        </w:tc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并发写入</w:t>
            </w:r>
          </w:p>
        </w:tc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状态污染和重复副作用</w:t>
            </w:r>
          </w:p>
        </w:tc>
        <w:tc>
          <w:tcPr>
            <w:tcW w:type="dxa" w:w="3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OCC、租约、幂等、Outbox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中</w:t>
            </w:r>
          </w:p>
        </w:tc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外部 API 限流</w:t>
            </w:r>
          </w:p>
        </w:tc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请求失败</w:t>
            </w:r>
          </w:p>
        </w:tc>
        <w:tc>
          <w:tcPr>
            <w:tcW w:type="dxa" w:w="3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缓存、背压、重试抖动、Model Routing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低</w:t>
            </w:r>
          </w:p>
        </w:tc>
        <w:tc>
          <w:tcPr>
            <w:tcW w:type="dxa" w:w="26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UI 过度设计</w:t>
            </w:r>
          </w:p>
        </w:tc>
        <w:tc>
          <w:tcPr>
            <w:tcW w:type="dxa" w:w="25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拖慢核心交付</w:t>
            </w:r>
          </w:p>
        </w:tc>
        <w:tc>
          <w:tcPr>
            <w:tcW w:type="dxa" w:w="33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首期仅做约束卡片、协商和计划卡片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16. 演示脚本、简历与面试表达</w:t>
      </w:r>
    </w:p>
    <w:p>
      <w:pPr>
        <w:pStyle w:val="Heading2"/>
        <w:keepNext/>
      </w:pPr>
      <w:r>
        <w:t>16.1 最有说服力的 Demo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用户提出：预算 10 元、20 分钟完成、50g 蛋白质、不含海鲜，并优先使用现有鸡蛋。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Agent 提取三级约束，RAG 召回真实菜谱，Solver 判定当前候选无可行解。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诊断节点保持过敏约束，分别尝试提高预算、延长时间和降低蛋白目标。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前端展示两个可验证方案及影响，用户选择“预算提高到 18 元”。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LangGraph 使用同一 thread_id 恢复，重新检索、求解和验证。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输出三餐、营养汇总、购物清单、来源证据、Trace 和实测耗时。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用户连续点击确认或拖拽菜品，系统通过幂等与 OCC 拒绝重复/过期写入。</w:t>
      </w:r>
    </w:p>
    <w:p>
      <w:pPr>
        <w:pStyle w:val="Heading2"/>
        <w:keepNext/>
      </w:pPr>
      <w:r>
        <w:t>16.2 项目简介（完成后可使用）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8EEF5"/>
            <w:tcBorders>
              <w:top w:val="single" w:sz="10" w:color="2E74B5"/>
              <w:left w:val="single" w:sz="10" w:color="2E74B5"/>
              <w:bottom w:val="single" w:sz="10" w:color="2E74B5"/>
              <w:right w:val="single" w:sz="10" w:color="2E74B5"/>
              <w:insideH w:val="single" w:sz="10" w:color="2E74B5"/>
              <w:insideV w:val="single" w:sz="10" w:color="2E74B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Noto Sans SC Thin"/>
                <w:b/>
                <w:color w:val="2E74B5"/>
                <w:sz w:val="21"/>
              </w:rPr>
              <w:t xml:space="preserve">项目简介  </w:t>
            </w:r>
            <w:r>
              <w:rPr>
                <w:rFonts w:ascii="Calibri" w:hAnsi="Calibri" w:eastAsia="Noto Sans SC Thin"/>
                <w:color w:val="172033"/>
                <w:sz w:val="21"/>
              </w:rPr>
              <w:t>面向健康成年人构建的约束感知膳食规划 Agent，将自然语言饮食需求转换为分级约束，通过版本化菜谱 RAG、OR-Tools 组合求解、确定性验证和人机协商，生成可解释、可调整、可追溯的一日三餐方案。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16.3 简历技术亮点模板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基于 LangGraph 构建可持久化 Agent 状态机，将用户需求解析为不可放宽、可协商和软目标三类约束，支持执行预算、失败恢复及 interrupt/resume 人机协商。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设计“LLM 策略路由 + Hybrid RAG + OR-Tools CP-SAT + 确定性 Validator”架构，避免由大模型直接计算营养或决定安全约束。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为 CP-SAT 建立字段级整数缩放与保守舍入契约，并以 Decimal 复验结果；构建单位/密度/标准份量转换管线及候选覆盖断路器，区分数据不足、真正无解与求解超时。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将异步 LLM/RAG 与 CPU 密集型求解器进行进程级隔离，基于 run_version 实现 OCC，并通过事务唯一键保障库存、购物清单等副作用幂等。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Noto Sans SC Thin"/>
          <w:color w:val="172033"/>
          <w:sz w:val="22"/>
        </w:rPr>
        <w:t>采用 202 + SSE 长任务交互模式，基于可重放事件流同步节点进度；记录 LLM、工具、RAG、Solver 和 HITL Trace，并构建固定场景评测集。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FF6D8"/>
            <w:tcBorders>
              <w:top w:val="single" w:sz="10" w:color="8A6500"/>
              <w:left w:val="single" w:sz="10" w:color="8A6500"/>
              <w:bottom w:val="single" w:sz="10" w:color="8A6500"/>
              <w:right w:val="single" w:sz="10" w:color="8A6500"/>
              <w:insideH w:val="single" w:sz="10" w:color="8A6500"/>
              <w:insideV w:val="single" w:sz="10" w:color="8A6500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Noto Sans SC Thin"/>
                <w:b/>
                <w:color w:val="8A6500"/>
                <w:sz w:val="21"/>
              </w:rPr>
              <w:t xml:space="preserve">简历真实性  </w:t>
            </w:r>
            <w:r>
              <w:rPr>
                <w:rFonts w:ascii="Calibri" w:hAnsi="Calibri" w:eastAsia="Noto Sans SC Thin"/>
                <w:color w:val="172033"/>
                <w:sz w:val="21"/>
              </w:rPr>
              <w:t>只有真正完成并通过测试的条目才能写成已实现成果。未来架构可在面试中作为演进方案说明，但不能伪装成已经落地；任何‘降低 40% 成本’必须附带基线、样本和实验方法。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16.4 与现有项目组合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 w:eastAsia="Noto Sans SC Thin"/>
          <w:i w:val="0"/>
          <w:color w:val="172033"/>
          <w:sz w:val="22"/>
        </w:rPr>
        <w:t>对于 TRAE / Coding Agent 岗位，建议在简历中把 ReproPilot 放在第一位，展示安全执行、证据链和 Agent Runtime；MealPilot 放在第二位，展示约束规划、Human-in-the-loop、RAG、并发状态与产品化；Research Copilot 可以缩短为第三项目或根据版面替换。三个项目分别覆盖执行、决策和知识三个方向，避免重复。</w:t>
      </w:r>
    </w:p>
    <w:p>
      <w:pPr>
        <w:pStyle w:val="Heading1"/>
        <w:keepNext/>
      </w:pPr>
      <w:r>
        <w:t>附录 A：在线工具清单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300"/>
        <w:gridCol w:w="3200"/>
        <w:gridCol w:w="21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工具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职责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授权范围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load_user_profile</w:t>
            </w:r>
          </w:p>
        </w:tc>
        <w:tc>
          <w:tcPr>
            <w:tcW w:type="dxa" w:w="13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只读</w:t>
            </w:r>
          </w:p>
        </w:tc>
        <w:tc>
          <w:tcPr>
            <w:tcW w:type="dxa" w:w="3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读取已确认档案快照</w:t>
            </w:r>
          </w:p>
        </w:tc>
        <w:tc>
          <w:tcPr>
            <w:tcW w:type="dxa" w:w="21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profile:read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search_recipes</w:t>
            </w:r>
          </w:p>
        </w:tc>
        <w:tc>
          <w:tcPr>
            <w:tcW w:type="dxa" w:w="13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只读</w:t>
            </w:r>
          </w:p>
        </w:tc>
        <w:tc>
          <w:tcPr>
            <w:tcW w:type="dxa" w:w="3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混合检索候选菜谱</w:t>
            </w:r>
          </w:p>
        </w:tc>
        <w:tc>
          <w:tcPr>
            <w:tcW w:type="dxa" w:w="21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recipe:search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get_recipe_detail</w:t>
            </w:r>
          </w:p>
        </w:tc>
        <w:tc>
          <w:tcPr>
            <w:tcW w:type="dxa" w:w="13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只读</w:t>
            </w:r>
          </w:p>
        </w:tc>
        <w:tc>
          <w:tcPr>
            <w:tcW w:type="dxa" w:w="3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读取指定版本详情</w:t>
            </w:r>
          </w:p>
        </w:tc>
        <w:tc>
          <w:tcPr>
            <w:tcW w:type="dxa" w:w="21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recipe:read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normalize_ingredient_quantity</w:t>
            </w:r>
          </w:p>
        </w:tc>
        <w:tc>
          <w:tcPr>
            <w:tcW w:type="dxa" w:w="13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只读</w:t>
            </w:r>
          </w:p>
        </w:tc>
        <w:tc>
          <w:tcPr>
            <w:tcW w:type="dxa" w:w="3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单位、密度和份量确定性换算</w:t>
            </w:r>
          </w:p>
        </w:tc>
        <w:tc>
          <w:tcPr>
            <w:tcW w:type="dxa" w:w="21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nutrition:normalize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estimate_plan_cost</w:t>
            </w:r>
          </w:p>
        </w:tc>
        <w:tc>
          <w:tcPr>
            <w:tcW w:type="dxa" w:w="13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只读</w:t>
            </w:r>
          </w:p>
        </w:tc>
        <w:tc>
          <w:tcPr>
            <w:tcW w:type="dxa" w:w="3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按价格快照估算区间</w:t>
            </w:r>
          </w:p>
        </w:tc>
        <w:tc>
          <w:tcPr>
            <w:tcW w:type="dxa" w:w="21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pricing:estimate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check_candidate_coverage</w:t>
            </w:r>
          </w:p>
        </w:tc>
        <w:tc>
          <w:tcPr>
            <w:tcW w:type="dxa" w:w="13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只读</w:t>
            </w:r>
          </w:p>
        </w:tc>
        <w:tc>
          <w:tcPr>
            <w:tcW w:type="dxa" w:w="3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生成候选覆盖报告</w:t>
            </w:r>
          </w:p>
        </w:tc>
        <w:tc>
          <w:tcPr>
            <w:tcW w:type="dxa" w:w="21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recipe:validate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calculate_recipe_nutrition</w:t>
            </w:r>
          </w:p>
        </w:tc>
        <w:tc>
          <w:tcPr>
            <w:tcW w:type="dxa" w:w="13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只读</w:t>
            </w:r>
          </w:p>
        </w:tc>
        <w:tc>
          <w:tcPr>
            <w:tcW w:type="dxa" w:w="3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确定性营养计算</w:t>
            </w:r>
          </w:p>
        </w:tc>
        <w:tc>
          <w:tcPr>
            <w:tcW w:type="dxa" w:w="21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nutrition:calculate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solve_meal_plan</w:t>
            </w:r>
          </w:p>
        </w:tc>
        <w:tc>
          <w:tcPr>
            <w:tcW w:type="dxa" w:w="13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计算</w:t>
            </w:r>
          </w:p>
        </w:tc>
        <w:tc>
          <w:tcPr>
            <w:tcW w:type="dxa" w:w="3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提交 Solver 任务</w:t>
            </w:r>
          </w:p>
        </w:tc>
        <w:tc>
          <w:tcPr>
            <w:tcW w:type="dxa" w:w="21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solver:execute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validate_meal_plan</w:t>
            </w:r>
          </w:p>
        </w:tc>
        <w:tc>
          <w:tcPr>
            <w:tcW w:type="dxa" w:w="13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只读</w:t>
            </w:r>
          </w:p>
        </w:tc>
        <w:tc>
          <w:tcPr>
            <w:tcW w:type="dxa" w:w="3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规则验证</w:t>
            </w:r>
          </w:p>
        </w:tc>
        <w:tc>
          <w:tcPr>
            <w:tcW w:type="dxa" w:w="21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plan:validate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diagnose_infeasibility</w:t>
            </w:r>
          </w:p>
        </w:tc>
        <w:tc>
          <w:tcPr>
            <w:tcW w:type="dxa" w:w="13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计算</w:t>
            </w:r>
          </w:p>
        </w:tc>
        <w:tc>
          <w:tcPr>
            <w:tcW w:type="dxa" w:w="3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受控约束诊断</w:t>
            </w:r>
          </w:p>
        </w:tc>
        <w:tc>
          <w:tcPr>
            <w:tcW w:type="dxa" w:w="21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solver:diagnose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find_recipe_substitutes</w:t>
            </w:r>
          </w:p>
        </w:tc>
        <w:tc>
          <w:tcPr>
            <w:tcW w:type="dxa" w:w="13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只读</w:t>
            </w:r>
          </w:p>
        </w:tc>
        <w:tc>
          <w:tcPr>
            <w:tcW w:type="dxa" w:w="3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寻找替代菜谱</w:t>
            </w:r>
          </w:p>
        </w:tc>
        <w:tc>
          <w:tcPr>
            <w:tcW w:type="dxa" w:w="21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recipe:search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generate_shopping_list</w:t>
            </w:r>
          </w:p>
        </w:tc>
        <w:tc>
          <w:tcPr>
            <w:tcW w:type="dxa" w:w="13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幂等写</w:t>
            </w:r>
          </w:p>
        </w:tc>
        <w:tc>
          <w:tcPr>
            <w:tcW w:type="dxa" w:w="3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生成购物清单版本</w:t>
            </w:r>
          </w:p>
        </w:tc>
        <w:tc>
          <w:tcPr>
            <w:tcW w:type="dxa" w:w="21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shopping:write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save_user_feedback</w:t>
            </w:r>
          </w:p>
        </w:tc>
        <w:tc>
          <w:tcPr>
            <w:tcW w:type="dxa" w:w="13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幂等写</w:t>
            </w:r>
          </w:p>
        </w:tc>
        <w:tc>
          <w:tcPr>
            <w:tcW w:type="dxa" w:w="32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保存明确反馈</w:t>
            </w:r>
          </w:p>
        </w:tc>
        <w:tc>
          <w:tcPr>
            <w:tcW w:type="dxa" w:w="21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feedback:write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B：故障与降级矩阵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100"/>
        <w:gridCol w:w="2100"/>
        <w:gridCol w:w="20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故障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首选处理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终止条件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用户结果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LLM 429</w:t>
            </w:r>
          </w:p>
        </w:tc>
        <w:tc>
          <w:tcPr>
            <w:tcW w:type="dxa" w:w="3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指数退避 + 抖动；备用模型</w:t>
            </w:r>
          </w:p>
        </w:tc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超过 Run 预算</w:t>
            </w:r>
          </w:p>
        </w:tc>
        <w:tc>
          <w:tcPr>
            <w:tcW w:type="dxa" w:w="20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返回可重试状态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EMPTY_RETRIEVAL</w:t>
            </w:r>
          </w:p>
        </w:tc>
        <w:tc>
          <w:tcPr>
            <w:tcW w:type="dxa" w:w="3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改写一次；仅放宽软过滤</w:t>
            </w:r>
          </w:p>
        </w:tc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仍为空</w:t>
            </w:r>
          </w:p>
        </w:tc>
        <w:tc>
          <w:tcPr>
            <w:tcW w:type="dxa" w:w="20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解释数据不足，不调用 Solver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INSUFFICIENT_COVERAGE</w:t>
            </w:r>
          </w:p>
        </w:tc>
        <w:tc>
          <w:tcPr>
            <w:tcW w:type="dxa" w:w="3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检查餐次/类别缺口</w:t>
            </w:r>
          </w:p>
        </w:tc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安全过滤不可放宽</w:t>
            </w:r>
          </w:p>
        </w:tc>
        <w:tc>
          <w:tcPr>
            <w:tcW w:type="dxa" w:w="20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建议放宽时间、菜系或多样性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单位无法换算</w:t>
            </w:r>
          </w:p>
        </w:tc>
        <w:tc>
          <w:tcPr>
            <w:tcW w:type="dxa" w:w="3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查密度/份量表或有限复核</w:t>
            </w:r>
          </w:p>
        </w:tc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仍无权威值</w:t>
            </w:r>
          </w:p>
        </w:tc>
        <w:tc>
          <w:tcPr>
            <w:tcW w:type="dxa" w:w="20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保留区间或阻断精确规划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价格覆盖不足</w:t>
            </w:r>
          </w:p>
        </w:tc>
        <w:tc>
          <w:tcPr>
            <w:tcW w:type="dxa" w:w="3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使用区间或成本等级</w:t>
            </w:r>
          </w:p>
        </w:tc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无法可靠估价</w:t>
            </w:r>
          </w:p>
        </w:tc>
        <w:tc>
          <w:tcPr>
            <w:tcW w:type="dxa" w:w="20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关闭硬预算并明确提示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营养 API 超时</w:t>
            </w:r>
          </w:p>
        </w:tc>
        <w:tc>
          <w:tcPr>
            <w:tcW w:type="dxa" w:w="3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缓存或有限重试</w:t>
            </w:r>
          </w:p>
        </w:tc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无权威数据</w:t>
            </w:r>
          </w:p>
        </w:tc>
        <w:tc>
          <w:tcPr>
            <w:tcW w:type="dxa" w:w="20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不让 LLM 猜值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Solver FEASIBLE</w:t>
            </w:r>
          </w:p>
        </w:tc>
        <w:tc>
          <w:tcPr>
            <w:tcW w:type="dxa" w:w="3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返回可行非最优方案</w:t>
            </w:r>
          </w:p>
        </w:tc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—</w:t>
            </w:r>
          </w:p>
        </w:tc>
        <w:tc>
          <w:tcPr>
            <w:tcW w:type="dxa" w:w="20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标注非最优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Solver UNKNOWN</w:t>
            </w:r>
          </w:p>
        </w:tc>
        <w:tc>
          <w:tcPr>
            <w:tcW w:type="dxa" w:w="3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缩小候选/延长时间需确认</w:t>
            </w:r>
          </w:p>
        </w:tc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仍未知</w:t>
            </w:r>
          </w:p>
        </w:tc>
        <w:tc>
          <w:tcPr>
            <w:tcW w:type="dxa" w:w="20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不得宣称无解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Solver INFEASIBLE</w:t>
            </w:r>
          </w:p>
        </w:tc>
        <w:tc>
          <w:tcPr>
            <w:tcW w:type="dxa" w:w="3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进入受控诊断</w:t>
            </w:r>
          </w:p>
        </w:tc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安全约束冲突</w:t>
            </w:r>
          </w:p>
        </w:tc>
        <w:tc>
          <w:tcPr>
            <w:tcW w:type="dxa" w:w="20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Fail-Closed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SSE 断开</w:t>
            </w:r>
          </w:p>
        </w:tc>
        <w:tc>
          <w:tcPr>
            <w:tcW w:type="dxa" w:w="3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Last-Event-ID 重连</w:t>
            </w:r>
          </w:p>
        </w:tc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事件过期</w:t>
            </w:r>
          </w:p>
        </w:tc>
        <w:tc>
          <w:tcPr>
            <w:tcW w:type="dxa" w:w="20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读取 Run Snapshot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过期 run_version</w:t>
            </w:r>
          </w:p>
        </w:tc>
        <w:tc>
          <w:tcPr>
            <w:tcW w:type="dxa" w:w="3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拒绝写入</w:t>
            </w:r>
          </w:p>
        </w:tc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—</w:t>
            </w:r>
          </w:p>
        </w:tc>
        <w:tc>
          <w:tcPr>
            <w:tcW w:type="dxa" w:w="20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Noto Sans SC Thin"/>
                <w:color w:val="172033"/>
                <w:sz w:val="18"/>
              </w:rPr>
              <w:t>HTTP 409 + 最新版本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重复副作用</w:t>
            </w:r>
          </w:p>
        </w:tc>
        <w:tc>
          <w:tcPr>
            <w:tcW w:type="dxa" w:w="3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命中幂等记录</w:t>
            </w:r>
          </w:p>
        </w:tc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—</w:t>
            </w:r>
          </w:p>
        </w:tc>
        <w:tc>
          <w:tcPr>
            <w:tcW w:type="dxa" w:w="20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返回原结果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Worker 崩溃</w:t>
            </w:r>
          </w:p>
        </w:tc>
        <w:tc>
          <w:tcPr>
            <w:tcW w:type="dxa" w:w="3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租约到期后重新领取</w:t>
            </w:r>
          </w:p>
        </w:tc>
        <w:tc>
          <w:tcPr>
            <w:tcW w:type="dxa" w:w="210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重复执行</w:t>
            </w:r>
          </w:p>
        </w:tc>
        <w:tc>
          <w:tcPr>
            <w:tcW w:type="dxa" w:w="206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Noto Sans SC Thin"/>
                <w:color w:val="172033"/>
                <w:sz w:val="18"/>
              </w:rPr>
              <w:t>幂等节点/Outbox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C：参考资料</w:t>
      </w:r>
    </w:p>
    <w:p>
      <w:pPr>
        <w:spacing w:after="120" w:line="264" w:lineRule="auto"/>
      </w:pPr>
      <w:hyperlink r:id="rId14">
        <w:r>
          <w:rPr>
            <w:rFonts w:ascii="Calibri" w:hAnsi="Calibri" w:eastAsia="Noto Sans SC Thin"/>
            <w:color w:val="2E74B5"/>
            <w:u w:val="single"/>
          </w:rPr>
          <w:t>[1] LangGraph Interrupts</w:t>
        </w:r>
      </w:hyperlink>
      <w:r>
        <w:rPr>
          <w:rFonts w:ascii="Calibri" w:hAnsi="Calibri" w:eastAsia="Noto Sans SC Thin"/>
          <w:color w:val="626B78"/>
          <w:sz w:val="19"/>
        </w:rPr>
        <w:t xml:space="preserve">  https://docs.langchain.com/oss/python/langgraph/interrupts</w:t>
      </w:r>
    </w:p>
    <w:p>
      <w:pPr>
        <w:spacing w:after="120" w:line="264" w:lineRule="auto"/>
      </w:pPr>
      <w:hyperlink r:id="rId15">
        <w:r>
          <w:rPr>
            <w:rFonts w:ascii="Calibri" w:hAnsi="Calibri" w:eastAsia="Noto Sans SC Thin"/>
            <w:color w:val="2E74B5"/>
            <w:u w:val="single"/>
          </w:rPr>
          <w:t>[2] LangGraph Persistence</w:t>
        </w:r>
      </w:hyperlink>
      <w:r>
        <w:rPr>
          <w:rFonts w:ascii="Calibri" w:hAnsi="Calibri" w:eastAsia="Noto Sans SC Thin"/>
          <w:color w:val="626B78"/>
          <w:sz w:val="19"/>
        </w:rPr>
        <w:t xml:space="preserve">  https://docs.langchain.com/oss/python/langgraph/persistence</w:t>
      </w:r>
    </w:p>
    <w:p>
      <w:pPr>
        <w:spacing w:after="120" w:line="264" w:lineRule="auto"/>
      </w:pPr>
      <w:hyperlink r:id="rId16">
        <w:r>
          <w:rPr>
            <w:rFonts w:ascii="Calibri" w:hAnsi="Calibri" w:eastAsia="Noto Sans SC Thin"/>
            <w:color w:val="2E74B5"/>
            <w:u w:val="single"/>
          </w:rPr>
          <w:t>[3] Google OR-Tools CP-SAT Solver</w:t>
        </w:r>
      </w:hyperlink>
      <w:r>
        <w:rPr>
          <w:rFonts w:ascii="Calibri" w:hAnsi="Calibri" w:eastAsia="Noto Sans SC Thin"/>
          <w:color w:val="626B78"/>
          <w:sz w:val="19"/>
        </w:rPr>
        <w:t xml:space="preserve">  https://developers.google.com/optimization/cp/cp_solver</w:t>
      </w:r>
    </w:p>
    <w:p>
      <w:pPr>
        <w:spacing w:after="120" w:line="264" w:lineRule="auto"/>
      </w:pPr>
      <w:hyperlink r:id="rId17">
        <w:r>
          <w:rPr>
            <w:rFonts w:ascii="Calibri" w:hAnsi="Calibri" w:eastAsia="Noto Sans SC Thin"/>
            <w:color w:val="2E74B5"/>
            <w:u w:val="single"/>
          </w:rPr>
          <w:t>[4] USDA FoodData Central API Guide</w:t>
        </w:r>
      </w:hyperlink>
      <w:r>
        <w:rPr>
          <w:rFonts w:ascii="Calibri" w:hAnsi="Calibri" w:eastAsia="Noto Sans SC Thin"/>
          <w:color w:val="626B78"/>
          <w:sz w:val="19"/>
        </w:rPr>
        <w:t xml:space="preserve">  https://fdc.nal.usda.gov/api-guide</w:t>
      </w:r>
    </w:p>
    <w:p>
      <w:pPr>
        <w:spacing w:after="120" w:line="264" w:lineRule="auto"/>
      </w:pPr>
      <w:hyperlink r:id="rId18">
        <w:r>
          <w:rPr>
            <w:rFonts w:ascii="Calibri" w:hAnsi="Calibri" w:eastAsia="Noto Sans SC Thin"/>
            <w:color w:val="2E74B5"/>
            <w:u w:val="single"/>
          </w:rPr>
          <w:t>[5] MediaCrawler README and usage restrictions</w:t>
        </w:r>
      </w:hyperlink>
      <w:r>
        <w:rPr>
          <w:rFonts w:ascii="Calibri" w:hAnsi="Calibri" w:eastAsia="Noto Sans SC Thin"/>
          <w:color w:val="626B78"/>
          <w:sz w:val="19"/>
        </w:rPr>
        <w:t xml:space="preserve">  https://github.com/NanmiCoder/MediaCrawler/blob/main/README_en.md</w:t>
      </w:r>
    </w:p>
    <w:p>
      <w:pPr>
        <w:spacing w:after="120" w:line="264" w:lineRule="auto"/>
      </w:pPr>
      <w:hyperlink r:id="rId19">
        <w:r>
          <w:rPr>
            <w:rFonts w:ascii="Calibri" w:hAnsi="Calibri" w:eastAsia="Noto Sans SC Thin"/>
            <w:color w:val="2E74B5"/>
            <w:u w:val="single"/>
          </w:rPr>
          <w:t>[6] Recipe1M+ official implementation and research access note</w:t>
        </w:r>
      </w:hyperlink>
      <w:r>
        <w:rPr>
          <w:rFonts w:ascii="Calibri" w:hAnsi="Calibri" w:eastAsia="Noto Sans SC Thin"/>
          <w:color w:val="626B78"/>
          <w:sz w:val="19"/>
        </w:rPr>
        <w:t xml:space="preserve">  https://github.com/torralba-lab/im2recipe-Pytorch</w:t>
      </w:r>
    </w:p>
    <w:p>
      <w:pPr>
        <w:spacing w:after="120" w:line="264" w:lineRule="auto"/>
      </w:pPr>
      <w:hyperlink r:id="rId20">
        <w:r>
          <w:rPr>
            <w:rFonts w:ascii="Calibri" w:hAnsi="Calibri" w:eastAsia="Noto Sans SC Thin"/>
            <w:color w:val="2E74B5"/>
            <w:u w:val="single"/>
          </w:rPr>
          <w:t>[7] Epicurious Kaggle dataset listing</w:t>
        </w:r>
      </w:hyperlink>
      <w:r>
        <w:rPr>
          <w:rFonts w:ascii="Calibri" w:hAnsi="Calibri" w:eastAsia="Noto Sans SC Thin"/>
          <w:color w:val="626B78"/>
          <w:sz w:val="19"/>
        </w:rPr>
        <w:t xml:space="preserve">  https://www.kaggle.com/datasets/hugodarwood/epirecipes</w:t>
      </w:r>
    </w:p>
    <w:p>
      <w:pPr>
        <w:spacing w:after="120" w:line="264" w:lineRule="auto"/>
      </w:pPr>
      <w:hyperlink r:id="rId21">
        <w:r>
          <w:rPr>
            <w:rFonts w:ascii="Calibri" w:hAnsi="Calibri" w:eastAsia="Noto Sans SC Thin"/>
            <w:color w:val="2E74B5"/>
            <w:u w:val="single"/>
          </w:rPr>
          <w:t>[8] Pint Tutorial</w:t>
        </w:r>
      </w:hyperlink>
      <w:r>
        <w:rPr>
          <w:rFonts w:ascii="Calibri" w:hAnsi="Calibri" w:eastAsia="Noto Sans SC Thin"/>
          <w:color w:val="626B78"/>
          <w:sz w:val="19"/>
        </w:rPr>
        <w:t xml:space="preserve">  https://pint.readthedocs.io/en/stable/getting/tutorial.html</w:t>
      </w:r>
    </w:p>
    <w:p>
      <w:pPr>
        <w:spacing w:after="120" w:line="264" w:lineRule="auto"/>
      </w:pPr>
      <w:hyperlink r:id="rId22">
        <w:r>
          <w:rPr>
            <w:rFonts w:ascii="Calibri" w:hAnsi="Calibri" w:eastAsia="Noto Sans SC Thin"/>
            <w:color w:val="2E74B5"/>
            <w:u w:val="single"/>
          </w:rPr>
          <w:t>[9] Pint Contexts and cross-dimension conversions</w:t>
        </w:r>
      </w:hyperlink>
      <w:r>
        <w:rPr>
          <w:rFonts w:ascii="Calibri" w:hAnsi="Calibri" w:eastAsia="Noto Sans SC Thin"/>
          <w:color w:val="626B78"/>
          <w:sz w:val="19"/>
        </w:rPr>
        <w:t xml:space="preserve">  https://pint.readthedocs.io/en/stable/advanced/defining.html</w:t>
      </w:r>
    </w:p>
    <w:p>
      <w:pPr>
        <w:keepLines w:val="0"/>
        <w:spacing w:before="160" w:after="0" w:line="264" w:lineRule="auto"/>
        <w:jc w:val="left"/>
      </w:pPr>
      <w:r>
        <w:rPr>
          <w:rFonts w:ascii="Calibri" w:hAnsi="Calibri" w:eastAsia="Noto Sans SC Thin"/>
          <w:i/>
          <w:color w:val="626B78"/>
          <w:sz w:val="19"/>
        </w:rPr>
        <w:t>说明：许可证和第三方服务条款可能变化，上线前应重新核对正式条款。本文档中的性能指标均为建议验收目标，不代表当前已取得的实测成果。</w:t>
      </w:r>
    </w:p>
    <w:p>
      <w:pPr>
        <w:pStyle w:val="Heading1"/>
      </w:pPr>
      <w:r>
        <w:t>17. 用户确认的三角色 Agent 编排</w:t>
      </w:r>
    </w:p>
    <w:p>
      <w:r>
        <w:t>本项目采用受限的三角色编排：规划 Agent、确定性验证器和说明 Agent。该编排不替代 OR-Tools 与 Decimal 验证，而是将自然语言理解、候选检索和用户沟通与权威计算分离。</w:t>
      </w:r>
    </w:p>
    <w:p>
      <w:pPr>
        <w:pStyle w:val="Heading2"/>
      </w:pPr>
      <w:r>
        <w:t>规划 Agent</w:t>
      </w:r>
    </w:p>
    <w:p>
      <w:r>
        <w:t>负责解析用户的显式需求、区分硬约束与软偏好并生成检索策略；只能调用受注册的检索与 Solver 工具。它不得推断健康目标、修改过敏原/忌口，不得直接选择最终菜谱或份量。</w:t>
      </w:r>
    </w:p>
    <w:p>
      <w:pPr>
        <w:pStyle w:val="Heading2"/>
      </w:pPr>
      <w:r>
        <w:t>确定性验证器</w:t>
      </w:r>
    </w:p>
    <w:p>
      <w:r>
        <w:t>不是 LLM Agent。它以版本化菜谱、价格和营养数据为依据，使用 Decimal 复算过敏原、禁忌、设备、营养、成本和时间，只输出通过/不通过及机器可读原因。其结论高于任何模型输出。</w:t>
      </w:r>
    </w:p>
    <w:p>
      <w:pPr>
        <w:pStyle w:val="Heading2"/>
      </w:pPr>
      <w:r>
        <w:t>说明 Agent</w:t>
      </w:r>
    </w:p>
    <w:p>
      <w:r>
        <w:t>仅在方案通过确定性验证后运行，只接收已验证的餐次、份量和汇总数据，用于生成用户可读说明、替代建议和协商文案。它不能增加菜谱、修改约束、重算数值或改变已验证方案。</w:t>
      </w:r>
    </w:p>
    <w:p>
      <w:pPr>
        <w:pStyle w:val="Heading2"/>
      </w:pPr>
      <w:r>
        <w:t>故障与降级</w:t>
      </w:r>
    </w:p>
    <w:p>
      <w:r>
        <w:t>规划 Agent 的模型不可用、超时或输出不合规时，系统回退到白名单规则解析；说明 Agent 不可用时省略自然语言说明。无论何种降级，检索硬过滤、Solver 与确定性验证都必须继续独立工作。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Noto Sans SC Thin"/>
        <w:color w:val="626B78"/>
        <w:sz w:val="17"/>
      </w:rPr>
      <w:t xml:space="preserve">MealPilot v1.1  ·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Noto Sans SC Thin"/>
        <w:b/>
        <w:color w:val="626B78"/>
        <w:sz w:val="17"/>
      </w:rPr>
      <w:t>MEALPILOT  |  SYSTEM DESIGN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num w:numId="1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Noto Sans SC Thin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Noto Sans SC Thi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Noto Sans SC Thi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Noto Sans SC Thi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docs.langchain.com/oss/python/langgraph/interrupts" TargetMode="External"/><Relationship Id="rId15" Type="http://schemas.openxmlformats.org/officeDocument/2006/relationships/hyperlink" Target="https://docs.langchain.com/oss/python/langgraph/persistence" TargetMode="External"/><Relationship Id="rId16" Type="http://schemas.openxmlformats.org/officeDocument/2006/relationships/hyperlink" Target="https://developers.google.com/optimization/cp/cp_solver" TargetMode="External"/><Relationship Id="rId17" Type="http://schemas.openxmlformats.org/officeDocument/2006/relationships/hyperlink" Target="https://fdc.nal.usda.gov/api-guide" TargetMode="External"/><Relationship Id="rId18" Type="http://schemas.openxmlformats.org/officeDocument/2006/relationships/hyperlink" Target="https://github.com/NanmiCoder/MediaCrawler/blob/main/README_en.md" TargetMode="External"/><Relationship Id="rId19" Type="http://schemas.openxmlformats.org/officeDocument/2006/relationships/hyperlink" Target="https://github.com/torralba-lab/im2recipe-Pytorch" TargetMode="External"/><Relationship Id="rId20" Type="http://schemas.openxmlformats.org/officeDocument/2006/relationships/hyperlink" Target="https://www.kaggle.com/datasets/hugodarwood/epirecipes" TargetMode="External"/><Relationship Id="rId21" Type="http://schemas.openxmlformats.org/officeDocument/2006/relationships/hyperlink" Target="https://pint.readthedocs.io/en/stable/getting/tutorial.html" TargetMode="External"/><Relationship Id="rId22" Type="http://schemas.openxmlformats.org/officeDocument/2006/relationships/hyperlink" Target="https://pint.readthedocs.io/en/stable/advanced/defin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MealPilot 约束感知个性化膳食规划 Agent：最终设计方案</dc:title>
  <dc:subject>Agent 应用、RAG、约束求解、并发与安全架构</dc:subject>
  <dc:creator>MealPilot Project</dc:creator>
  <cp:keywords>Agent, LangGraph, RAG, OR-Tools, Meal Planning, Human-in-the-loop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