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EDEA">
      <w:pPr>
        <w:rPr>
          <w:rFonts w:hint="eastAsia"/>
        </w:rPr>
      </w:pPr>
      <w:r>
        <w:rPr>
          <w:rFonts w:hint="eastAsia"/>
        </w:rPr>
        <w:t>Reflection Report — ACC102 Mini Assignment Track 2</w:t>
      </w:r>
    </w:p>
    <w:p w14:paraId="5C919478">
      <w:pPr>
        <w:rPr>
          <w:rFonts w:hint="eastAsia"/>
        </w:rPr>
      </w:pPr>
    </w:p>
    <w:p w14:paraId="66EFDB38">
      <w:pPr>
        <w:rPr>
          <w:rFonts w:hint="eastAsia"/>
        </w:rPr>
      </w:pPr>
      <w:r>
        <w:rPr>
          <w:rFonts w:hint="eastAsia"/>
        </w:rPr>
        <w:t xml:space="preserve">Product: Tariff Shock Tracker | Student: </w:t>
      </w:r>
      <w:r>
        <w:rPr>
          <w:rFonts w:hint="eastAsia"/>
          <w:lang w:val="en-US" w:eastAsia="zh-CN"/>
        </w:rPr>
        <w:t>xinyan</w:t>
      </w:r>
      <w:r>
        <w:rPr>
          <w:rFonts w:hint="default"/>
          <w:lang w:val="en-US" w:eastAsia="zh-CN"/>
        </w:rPr>
        <w:t>.Wang2403</w:t>
      </w:r>
      <w:r>
        <w:rPr>
          <w:rFonts w:hint="eastAsia"/>
        </w:rPr>
        <w:t xml:space="preserve"> | Date</w:t>
      </w:r>
      <w:bookmarkStart w:id="0" w:name="_GoBack"/>
      <w:bookmarkEnd w:id="0"/>
      <w:r>
        <w:rPr>
          <w:rFonts w:hint="eastAsia"/>
        </w:rPr>
        <w:t>: April 2026</w:t>
      </w:r>
    </w:p>
    <w:p w14:paraId="12739403">
      <w:pPr>
        <w:rPr>
          <w:rFonts w:hint="eastAsia"/>
        </w:rPr>
      </w:pPr>
    </w:p>
    <w:p w14:paraId="3BB852B3">
      <w:pPr>
        <w:rPr>
          <w:rFonts w:hint="eastAsia"/>
        </w:rPr>
      </w:pPr>
    </w:p>
    <w:p w14:paraId="2602AB59">
      <w:pPr>
        <w:rPr>
          <w:rFonts w:hint="eastAsia"/>
        </w:rPr>
      </w:pPr>
      <w:r>
        <w:rPr>
          <w:rFonts w:hint="eastAsia"/>
        </w:rPr>
        <w:t>1. Analytical Problem and Target Audience</w:t>
      </w:r>
    </w:p>
    <w:p w14:paraId="6038DF77">
      <w:pPr>
        <w:rPr>
          <w:rFonts w:hint="eastAsia"/>
        </w:rPr>
      </w:pPr>
    </w:p>
    <w:p w14:paraId="26A488FA">
      <w:pPr>
        <w:rPr>
          <w:rFonts w:hint="eastAsia"/>
        </w:rPr>
      </w:pPr>
      <w:r>
        <w:rPr>
          <w:rFonts w:hint="eastAsia"/>
        </w:rPr>
        <w:t>This project examines whether the Biden administration’s May 14, 2024 tariff announcement — imposing 100% duties on Chinese electric vehicles, 50% on solar panels, and 25% on lithium batteries — generated measurable abnormal returns in US and Chinese stocks in affected sectors.</w:t>
      </w:r>
    </w:p>
    <w:p w14:paraId="11D99524">
      <w:pPr>
        <w:rPr>
          <w:rFonts w:hint="eastAsia"/>
        </w:rPr>
      </w:pPr>
    </w:p>
    <w:p w14:paraId="5FF2B2F2">
      <w:pPr>
        <w:rPr>
          <w:rFonts w:hint="eastAsia"/>
        </w:rPr>
      </w:pPr>
      <w:r>
        <w:rPr>
          <w:rFonts w:hint="eastAsia"/>
        </w:rPr>
        <w:t>The intended audience is retail investors and finance students who want quantitative evidence of how trade policy affects equity markets, rather than relying on qualitative news commentary. The product is designed as an interactive dashboard so users can explore findings without reading raw code.</w:t>
      </w:r>
    </w:p>
    <w:p w14:paraId="65755B1E">
      <w:pPr>
        <w:rPr>
          <w:rFonts w:hint="eastAsia"/>
        </w:rPr>
      </w:pPr>
    </w:p>
    <w:p w14:paraId="5F07875A">
      <w:pPr>
        <w:rPr>
          <w:rFonts w:hint="eastAsia"/>
        </w:rPr>
      </w:pPr>
      <w:r>
        <w:rPr>
          <w:rFonts w:hint="eastAsia"/>
        </w:rPr>
        <w:t>2. Dataset and Selection Rationale</w:t>
      </w:r>
    </w:p>
    <w:p w14:paraId="6342AB18">
      <w:pPr>
        <w:rPr>
          <w:rFonts w:hint="eastAsia"/>
        </w:rPr>
      </w:pPr>
    </w:p>
    <w:p w14:paraId="64AE2F6F">
      <w:pPr>
        <w:rPr>
          <w:rFonts w:hint="eastAsia"/>
        </w:rPr>
      </w:pPr>
      <w:r>
        <w:rPr>
          <w:rFonts w:hint="eastAsia"/>
        </w:rPr>
        <w:t>All data were accessed via WRDS in April 2026, covering October 2023 to August 2024. US stock prices and returns for AAPL, NVDA, TSLA, GM, and WMT came from CRSP (`crsp.dsf`), with the S&amp;P 500 from `crsp.dsi` as the US benchmark. Chinese data for CATL (300750), BYD (002594), Midea (000333), Luxshare (002475), and Moutai (600519) came from CSMAR (`csmar.trd_dalyr`), with the CSI 300 from `csmar.trd_index`.</w:t>
      </w:r>
    </w:p>
    <w:p w14:paraId="1BFBBD3F">
      <w:pPr>
        <w:rPr>
          <w:rFonts w:hint="eastAsia"/>
        </w:rPr>
      </w:pPr>
    </w:p>
    <w:p w14:paraId="7E9DEE89">
      <w:pPr>
        <w:rPr>
          <w:rFonts w:hint="eastAsia"/>
        </w:rPr>
      </w:pPr>
      <w:r>
        <w:rPr>
          <w:rFonts w:hint="eastAsia"/>
        </w:rPr>
        <w:t>I chose WRDS over free alternatives such as Yahoo Finance because CRSP provides survivor-bias-free, dividend-adjusted data required for event studies, and CSMAR is the authoritative source for Chinese equity data in academic research.</w:t>
      </w:r>
    </w:p>
    <w:p w14:paraId="42B4A5A8">
      <w:pPr>
        <w:rPr>
          <w:rFonts w:hint="eastAsia"/>
        </w:rPr>
      </w:pPr>
    </w:p>
    <w:p w14:paraId="431E6199">
      <w:pPr>
        <w:rPr>
          <w:rFonts w:hint="eastAsia"/>
        </w:rPr>
      </w:pPr>
      <w:r>
        <w:rPr>
          <w:rFonts w:hint="eastAsia"/>
        </w:rPr>
        <w:t>The stock selection was deliberate. US stocks span sectors with different expected responses: NVIDIA and Apple face semiconductor and supply chain exposure, Tesla could benefit from reduced Chinese EV competition, and GM has significant China revenue at risk. Kweichow Moutai was included as a methodological control — as a domestically-focused company with no export exposure, it should show no abnormal returns, providing a validity check on the methodology.</w:t>
      </w:r>
    </w:p>
    <w:p w14:paraId="1D7F47CB">
      <w:pPr>
        <w:rPr>
          <w:rFonts w:hint="eastAsia"/>
        </w:rPr>
      </w:pPr>
    </w:p>
    <w:p w14:paraId="135472AF">
      <w:pPr>
        <w:rPr>
          <w:rFonts w:hint="eastAsia"/>
        </w:rPr>
      </w:pPr>
      <w:r>
        <w:rPr>
          <w:rFonts w:hint="eastAsia"/>
        </w:rPr>
        <w:t>3. Python Methods</w:t>
      </w:r>
    </w:p>
    <w:p w14:paraId="101A4E5B">
      <w:pPr>
        <w:rPr>
          <w:rFonts w:hint="eastAsia"/>
        </w:rPr>
      </w:pPr>
    </w:p>
    <w:p w14:paraId="0CA47CF1">
      <w:pPr>
        <w:rPr>
          <w:rFonts w:hint="eastAsia"/>
        </w:rPr>
      </w:pPr>
      <w:r>
        <w:rPr>
          <w:rFonts w:hint="eastAsia"/>
        </w:rPr>
        <w:t>Data acquisition used the `wrds` library to query CRSP and CSMAR via SQL, resolving issues including negative CRSP prices and stock code formatting inconsistencies in CSMAR.</w:t>
      </w:r>
    </w:p>
    <w:p w14:paraId="7391E4D9">
      <w:pPr>
        <w:rPr>
          <w:rFonts w:hint="eastAsia"/>
        </w:rPr>
      </w:pPr>
    </w:p>
    <w:p w14:paraId="4B141291">
      <w:pPr>
        <w:rPr>
          <w:rFonts w:hint="eastAsia"/>
        </w:rPr>
      </w:pPr>
      <w:r>
        <w:rPr>
          <w:rFonts w:hint="eastAsia"/>
        </w:rPr>
        <w:t>Event study followed MacKinlay (1997). I implemented the market model from scratch using NumPy and SciPy, estimating alpha and beta via OLS over a 90-day estimation window, then computing Abnormal Returns over a [-5, +10] event window. Cumulative Abnormal Returns (CAR) were tested with a t-test. The estimation window was shortened to 90 days for Chinese stocks to accommodate the shorter Chinese trading calendar.</w:t>
      </w:r>
    </w:p>
    <w:p w14:paraId="786BFDED">
      <w:pPr>
        <w:rPr>
          <w:rFonts w:hint="eastAsia"/>
        </w:rPr>
      </w:pPr>
    </w:p>
    <w:p w14:paraId="7BC7B5E4">
      <w:pPr>
        <w:rPr>
          <w:rFonts w:hint="eastAsia"/>
        </w:rPr>
      </w:pPr>
      <w:r>
        <w:rPr>
          <w:rFonts w:hint="eastAsia"/>
        </w:rPr>
        <w:t>Risk metrics included CAPM beta, annualised Sharpe ratio, and pre/post-event volatility using pandas and NumPy.</w:t>
      </w:r>
    </w:p>
    <w:p w14:paraId="597C66BC">
      <w:pPr>
        <w:rPr>
          <w:rFonts w:hint="eastAsia"/>
        </w:rPr>
      </w:pPr>
    </w:p>
    <w:p w14:paraId="018A4813">
      <w:pPr>
        <w:rPr>
          <w:rFonts w:hint="eastAsia"/>
        </w:rPr>
      </w:pPr>
      <w:r>
        <w:rPr>
          <w:rFonts w:hint="eastAsia"/>
        </w:rPr>
        <w:t>Dashboard was built as a three-tab Streamlit app. I used cumulative returns rather than raw prices to handle NVIDIA’s 10:1 stock split on June 10, 2024, which would otherwise create a misleading chart.</w:t>
      </w:r>
    </w:p>
    <w:p w14:paraId="157E3584">
      <w:pPr>
        <w:rPr>
          <w:rFonts w:hint="eastAsia"/>
        </w:rPr>
      </w:pPr>
    </w:p>
    <w:p w14:paraId="61873BCB">
      <w:pPr>
        <w:rPr>
          <w:rFonts w:hint="eastAsia"/>
        </w:rPr>
      </w:pPr>
      <w:r>
        <w:rPr>
          <w:rFonts w:hint="eastAsia"/>
        </w:rPr>
        <w:t>4. Main Insights</w:t>
      </w:r>
    </w:p>
    <w:p w14:paraId="26C406B2">
      <w:pPr>
        <w:rPr>
          <w:rFonts w:hint="eastAsia"/>
        </w:rPr>
      </w:pPr>
    </w:p>
    <w:p w14:paraId="25A9EEA0">
      <w:pPr>
        <w:rPr>
          <w:rFonts w:hint="eastAsia"/>
        </w:rPr>
      </w:pPr>
      <w:r>
        <w:rPr>
          <w:rFonts w:hint="eastAsia"/>
        </w:rPr>
        <w:t>US stocks showed positive CARs — NVDA (+14.33%), WMT (+7.05%), AAPL (+5.53%) — while Chinese stocks declined — Midea (-5.46%), BYD (-4.60%), CATL (-4.04%). GM was the only negative US stock (-8.57%), consistent with its China revenue exposure. No stock reached p&lt;0.05 significance, likely reflecting partial market anticipation or contamination from concurrent events. Moutai’s -4.21% CAR despite no tariff exposure suggests broad negative sentiment toward Chinese equities.</w:t>
      </w:r>
    </w:p>
    <w:p w14:paraId="31528CDE">
      <w:pPr>
        <w:rPr>
          <w:rFonts w:hint="eastAsia"/>
        </w:rPr>
      </w:pPr>
    </w:p>
    <w:p w14:paraId="3F4FC1F1">
      <w:pPr>
        <w:rPr>
          <w:rFonts w:hint="eastAsia"/>
        </w:rPr>
      </w:pPr>
      <w:r>
        <w:rPr>
          <w:rFonts w:hint="eastAsia"/>
        </w:rPr>
        <w:t>5. Limitations and Improvements</w:t>
      </w:r>
    </w:p>
    <w:p w14:paraId="5939F867">
      <w:pPr>
        <w:rPr>
          <w:rFonts w:hint="eastAsia"/>
        </w:rPr>
      </w:pPr>
    </w:p>
    <w:p w14:paraId="0B4D7273">
      <w:pPr>
        <w:rPr>
          <w:rFonts w:hint="eastAsia"/>
        </w:rPr>
      </w:pPr>
      <w:r>
        <w:rPr>
          <w:rFonts w:hint="eastAsia"/>
        </w:rPr>
        <w:t>Statistical insignificance means CARs cannot be conclusively attributed to the tariff. CRSP coverage ends December 2024, excluding April 2025 tariff events. Future work could apply a confounding event filter and extend to industry-level portfolios.</w:t>
      </w:r>
    </w:p>
    <w:p w14:paraId="67C5E855">
      <w:pPr>
        <w:rPr>
          <w:rFonts w:hint="eastAsia"/>
        </w:rPr>
      </w:pPr>
    </w:p>
    <w:p w14:paraId="43C545E0">
      <w:pPr>
        <w:rPr>
          <w:rFonts w:hint="eastAsia"/>
        </w:rPr>
      </w:pPr>
      <w:r>
        <w:rPr>
          <w:rFonts w:hint="eastAsia"/>
        </w:rPr>
        <w:t>6. Personal Contribution and Learning</w:t>
      </w:r>
    </w:p>
    <w:p w14:paraId="3B0933AB">
      <w:pPr>
        <w:rPr>
          <w:rFonts w:hint="eastAsia"/>
        </w:rPr>
      </w:pPr>
    </w:p>
    <w:p w14:paraId="29D536AE">
      <w:pPr>
        <w:rPr>
          <w:rFonts w:hint="eastAsia"/>
        </w:rPr>
      </w:pPr>
      <w:r>
        <w:rPr>
          <w:rFonts w:hint="eastAsia"/>
        </w:rPr>
        <w:t>I made all key analytical decisions: event date selection, stock universe design, and including Moutai as a control. I independently resolved several bugs — wrong CRSP permno for NVDA and GM, CSI 300 stored as integer not string causing zero results, and the NVDA stock split anomaly. Each required understanding both the data structure and the financial context to fix.</w:t>
      </w:r>
    </w:p>
    <w:p w14:paraId="016AFAB5">
      <w:pPr>
        <w:rPr>
          <w:rFonts w:hint="eastAsia"/>
        </w:rPr>
      </w:pPr>
      <w:r>
        <w:rPr>
          <w:rFonts w:hint="eastAsia"/>
        </w:rPr>
        <w:t>This project gave me practical experience in academic database querying, event study implementation, and building data products in Python. The most important lesson was that data quality problems are routine in financial research — identifying and resolving them is itself a core analytical skill.</w:t>
      </w:r>
    </w:p>
    <w:p w14:paraId="7D973735">
      <w:pPr>
        <w:rPr>
          <w:rFonts w:hint="eastAsia"/>
        </w:rPr>
      </w:pPr>
    </w:p>
    <w:p w14:paraId="565E1757">
      <w:pPr>
        <w:rPr>
          <w:rFonts w:hint="eastAsia"/>
        </w:rPr>
      </w:pPr>
      <w:r>
        <w:rPr>
          <w:rFonts w:hint="eastAsia"/>
        </w:rPr>
        <w:t>AI Use Disclosure</w:t>
      </w:r>
    </w:p>
    <w:p w14:paraId="230EAD59">
      <w:pPr>
        <w:rPr>
          <w:rFonts w:hint="eastAsia"/>
        </w:rPr>
      </w:pPr>
    </w:p>
    <w:p w14:paraId="2059F777">
      <w:pPr>
        <w:rPr>
          <w:rFonts w:hint="eastAsia"/>
        </w:rPr>
      </w:pPr>
      <w:r>
        <w:rPr>
          <w:rFonts w:hint="eastAsia"/>
        </w:rPr>
        <w:t>Tool: Claude (Anthropic), Claude Sonnet 4.6 | **Dates**: April 20–27, 2026</w:t>
      </w:r>
    </w:p>
    <w:p w14:paraId="5327AA43">
      <w:pPr>
        <w:rPr>
          <w:rFonts w:hint="eastAsia"/>
        </w:rPr>
      </w:pPr>
    </w:p>
    <w:p w14:paraId="4C3B44A0">
      <w:r>
        <w:rPr>
          <w:rFonts w:hint="eastAsia"/>
        </w:rPr>
        <w:t>Used for: project scaffolding, boilerplate code, README template, debugging assistance, and a draft Streamlit dashboard which I modified and tested independently. All analytical decisions, result interpretation, and bug identification were my own.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5MTFlMjgzMGU1NGEwMmZmNmZkZGFmZjc2NDYyYTEifQ=="/>
  </w:docVars>
  <w:rsids>
    <w:rsidRoot w:val="62DE45AD"/>
    <w:rsid w:val="3F7E25E9"/>
    <w:rsid w:val="62DE45AD"/>
    <w:rsid w:val="7D7AAE8C"/>
    <w:rsid w:val="BBF98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2026-04-26T23:32:00Z</dcterms:created>
  <dc:creator>WPS_1706377143</dc:creator>
  <cp:lastModifiedBy>WPS_1706377143</cp:lastModifiedBy>
  <dcterms:modified xsi:type="dcterms:W3CDTF">2026-04-27T14:04:07Z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E07ACBE8DEBD2967E5C1ED6919AC05D1_43</vt:lpwstr>
  </property>
</Properties>
</file>