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911BE">
      <w:pPr>
        <w:rPr>
          <w:rFonts w:hint="eastAsia"/>
        </w:rPr>
      </w:pPr>
      <w:r>
        <w:rPr>
          <w:rFonts w:hint="eastAsia"/>
        </w:rPr>
        <w:t>Reflection Report — ACC102 Mini Assignment Track 2</w:t>
      </w:r>
    </w:p>
    <w:p w14:paraId="7D8D493D">
      <w:pPr>
        <w:rPr>
          <w:rFonts w:hint="eastAsia"/>
        </w:rPr>
      </w:pPr>
    </w:p>
    <w:p w14:paraId="355FD507">
      <w:pPr>
        <w:rPr>
          <w:rFonts w:hint="eastAsia"/>
        </w:rPr>
      </w:pPr>
      <w:r>
        <w:rPr>
          <w:rFonts w:hint="eastAsia"/>
        </w:rPr>
        <w:t xml:space="preserve">Product: Tariff Shock Tracker | Student: </w:t>
      </w:r>
      <w:r>
        <w:rPr>
          <w:rFonts w:hint="default"/>
          <w:lang w:val="en-US"/>
        </w:rPr>
        <w:t>Xinyan.</w:t>
      </w:r>
      <w:r>
        <w:rPr>
          <w:rFonts w:hint="eastAsia"/>
        </w:rPr>
        <w:t xml:space="preserve"> Wang | Date: April 2026</w:t>
      </w:r>
    </w:p>
    <w:p w14:paraId="6B5E75A4">
      <w:pPr>
        <w:rPr>
          <w:rFonts w:hint="eastAsia"/>
        </w:rPr>
      </w:pPr>
      <w:bookmarkStart w:id="0" w:name="_GoBack"/>
      <w:bookmarkEnd w:id="0"/>
    </w:p>
    <w:p w14:paraId="5085775A">
      <w:pPr>
        <w:rPr>
          <w:rFonts w:hint="eastAsia"/>
        </w:rPr>
      </w:pPr>
      <w:r>
        <w:rPr>
          <w:rFonts w:hint="eastAsia"/>
        </w:rPr>
        <w:t>1. Analytical Problem and Target Audience</w:t>
      </w:r>
    </w:p>
    <w:p w14:paraId="0AF43D66">
      <w:pPr>
        <w:rPr>
          <w:rFonts w:hint="eastAsia"/>
        </w:rPr>
      </w:pPr>
    </w:p>
    <w:p w14:paraId="5D06F897">
      <w:pPr>
        <w:rPr>
          <w:rFonts w:hint="eastAsia"/>
        </w:rPr>
      </w:pPr>
      <w:r>
        <w:rPr>
          <w:rFonts w:hint="eastAsia"/>
        </w:rPr>
        <w:t>This project examines whether Biden’s May 14, 2024 tariff announcement — 100% on Chinese EVs, 50% on solar panels, 25% on lithium batteries — generated measurable abnormal returns in US and Chinese stocks. The audience is retail investors and finance students who want quantitative evidence of how trade policy affects equity markets.</w:t>
      </w:r>
    </w:p>
    <w:p w14:paraId="523D391B">
      <w:pPr>
        <w:rPr>
          <w:rFonts w:hint="eastAsia"/>
        </w:rPr>
      </w:pPr>
    </w:p>
    <w:p w14:paraId="6D1CC7E7">
      <w:pPr>
        <w:rPr>
          <w:rFonts w:hint="eastAsia"/>
        </w:rPr>
      </w:pPr>
      <w:r>
        <w:rPr>
          <w:rFonts w:hint="eastAsia"/>
        </w:rPr>
        <w:t xml:space="preserve"> 2. Dataset and Selection Rationale</w:t>
      </w:r>
    </w:p>
    <w:p w14:paraId="54702646">
      <w:pPr>
        <w:rPr>
          <w:rFonts w:hint="eastAsia"/>
        </w:rPr>
      </w:pPr>
    </w:p>
    <w:p w14:paraId="6554C25D">
      <w:pPr>
        <w:rPr>
          <w:rFonts w:hint="eastAsia"/>
        </w:rPr>
      </w:pPr>
      <w:r>
        <w:rPr>
          <w:rFonts w:hint="eastAsia"/>
        </w:rPr>
        <w:t>Data accessed via WRDS, April 2026, covering October 2023 to August 2024. US stocks (AAPL, NVDA, TSLA, GM, WMT) and S&amp;P 500 benchmark from CRSP (`crsp.dsf`, `crsp.dsi`). Chinese stocks (CATL, BYD, Midea, Luxshare, Moutai) and CSI 300 benchmark from CSMAR (`csmar.trd_dalyr`, `csmar.trd_index`).</w:t>
      </w:r>
    </w:p>
    <w:p w14:paraId="44893701">
      <w:pPr>
        <w:rPr>
          <w:rFonts w:hint="eastAsia"/>
        </w:rPr>
      </w:pPr>
    </w:p>
    <w:p w14:paraId="475AA70B">
      <w:pPr>
        <w:rPr>
          <w:rFonts w:hint="eastAsia"/>
        </w:rPr>
      </w:pPr>
      <w:r>
        <w:rPr>
          <w:rFonts w:hint="eastAsia"/>
        </w:rPr>
        <w:t>I chose WRDS over Yahoo Finance because CRSP provides survivor-bias-free, dividend-adjusted data required for event studies, and CSMAR is the authoritative source for Chinese equity data. Kweichow Moutai was included as a control stock — domestically focused with no export exposure — to validate the methodology.</w:t>
      </w:r>
    </w:p>
    <w:p w14:paraId="04879EA1">
      <w:pPr>
        <w:rPr>
          <w:rFonts w:hint="eastAsia"/>
        </w:rPr>
      </w:pPr>
    </w:p>
    <w:p w14:paraId="1245E3F1">
      <w:pPr>
        <w:rPr>
          <w:rFonts w:hint="eastAsia"/>
        </w:rPr>
      </w:pPr>
      <w:r>
        <w:rPr>
          <w:rFonts w:hint="eastAsia"/>
        </w:rPr>
        <w:t>3. Python Methods</w:t>
      </w:r>
    </w:p>
    <w:p w14:paraId="42F9C49F">
      <w:pPr>
        <w:rPr>
          <w:rFonts w:hint="eastAsia"/>
        </w:rPr>
      </w:pPr>
    </w:p>
    <w:p w14:paraId="42D59643">
      <w:pPr>
        <w:rPr>
          <w:rFonts w:hint="eastAsia"/>
        </w:rPr>
      </w:pPr>
      <w:r>
        <w:rPr>
          <w:rFonts w:hint="eastAsia"/>
        </w:rPr>
        <w:t>**Data acquisition**: Used the `wrds` library to query CRSP and CSMAR via SQL. Resolved issues including negative CRSP prices and CSMAR stock code formatting.</w:t>
      </w:r>
    </w:p>
    <w:p w14:paraId="0E5A8B9B">
      <w:pPr>
        <w:rPr>
          <w:rFonts w:hint="eastAsia"/>
        </w:rPr>
      </w:pPr>
    </w:p>
    <w:p w14:paraId="63350366">
      <w:pPr>
        <w:rPr>
          <w:rFonts w:hint="eastAsia"/>
        </w:rPr>
      </w:pPr>
      <w:r>
        <w:rPr>
          <w:rFonts w:hint="eastAsia"/>
        </w:rPr>
        <w:t>**Event study**: Implemented MacKinlay (1997) market model using NumPy and SciPy. Estimated alpha and beta via OLS over a 90-day estimation window, computed Abnormal Returns (AR) over [-5, +10] trading days, and tested Cumulative Abnormal Returns (CAR) with a t-test. Chinese estimation window was shortened to 90 days due to fewer trading days caused by national holidays.</w:t>
      </w:r>
    </w:p>
    <w:p w14:paraId="7C0CFB63">
      <w:pPr>
        <w:rPr>
          <w:rFonts w:hint="eastAsia"/>
        </w:rPr>
      </w:pPr>
    </w:p>
    <w:p w14:paraId="4E7313D1">
      <w:pPr>
        <w:rPr>
          <w:rFonts w:hint="eastAsia"/>
        </w:rPr>
      </w:pPr>
      <w:r>
        <w:rPr>
          <w:rFonts w:hint="eastAsia"/>
        </w:rPr>
        <w:t>**Risk metrics**: Computed CAPM beta, annualised Sharpe ratio, and pre/post-event volatility using pandas.</w:t>
      </w:r>
    </w:p>
    <w:p w14:paraId="270FABBE">
      <w:pPr>
        <w:rPr>
          <w:rFonts w:hint="eastAsia"/>
        </w:rPr>
      </w:pPr>
    </w:p>
    <w:p w14:paraId="39A2F6A9">
      <w:pPr>
        <w:rPr>
          <w:rFonts w:hint="eastAsia"/>
        </w:rPr>
      </w:pPr>
      <w:r>
        <w:rPr>
          <w:rFonts w:hint="eastAsia"/>
        </w:rPr>
        <w:t>**Dashboard**: Built a three-tab Streamlit app. Used cumulative returns instead of raw prices to handle NVIDIA’s 10:1 stock split on June 10, 2024.</w:t>
      </w:r>
    </w:p>
    <w:p w14:paraId="343BECE4">
      <w:pPr>
        <w:rPr>
          <w:rFonts w:hint="eastAsia"/>
        </w:rPr>
      </w:pPr>
    </w:p>
    <w:p w14:paraId="16F324F0">
      <w:pPr>
        <w:rPr>
          <w:rFonts w:hint="eastAsia"/>
        </w:rPr>
      </w:pPr>
      <w:r>
        <w:rPr>
          <w:rFonts w:hint="eastAsia"/>
        </w:rPr>
        <w:t xml:space="preserve"> 4. Main Insights</w:t>
      </w:r>
    </w:p>
    <w:p w14:paraId="17AACEC8">
      <w:pPr>
        <w:rPr>
          <w:rFonts w:hint="eastAsia"/>
        </w:rPr>
      </w:pPr>
    </w:p>
    <w:p w14:paraId="70045A9B">
      <w:pPr>
        <w:rPr>
          <w:rFonts w:hint="eastAsia"/>
        </w:rPr>
      </w:pPr>
      <w:r>
        <w:rPr>
          <w:rFonts w:hint="eastAsia"/>
        </w:rPr>
        <w:t>US stocks showed positive CARs — NVDA (+14.33%), WMT (+7.05%), AAPL (+5.53%) — while Chinese stocks declined — Midea (-5.46%), BYD (-4.60%), CATL (-4.04%). GM was the only negative US stock (-8.57%), consistent with its China revenue exposure. No stock reached p&lt;0.05 significance, suggesting the tariff was partially anticipated or the event window was contaminated by concurrent events. Moutai’s CAR of -4.21% despite no tariff exposure suggests broad negative sentiment toward Chinese equities.</w:t>
      </w:r>
    </w:p>
    <w:p w14:paraId="11322C18">
      <w:pPr>
        <w:rPr>
          <w:rFonts w:hint="eastAsia"/>
        </w:rPr>
      </w:pPr>
    </w:p>
    <w:p w14:paraId="60C850BB">
      <w:pPr>
        <w:rPr>
          <w:rFonts w:hint="eastAsia"/>
        </w:rPr>
      </w:pPr>
      <w:r>
        <w:rPr>
          <w:rFonts w:hint="eastAsia"/>
        </w:rPr>
        <w:t xml:space="preserve"> 5. Limitations and Improvements</w:t>
      </w:r>
    </w:p>
    <w:p w14:paraId="6D1D1686">
      <w:pPr>
        <w:rPr>
          <w:rFonts w:hint="eastAsia"/>
        </w:rPr>
      </w:pPr>
    </w:p>
    <w:p w14:paraId="6AEB92F2">
      <w:pPr>
        <w:rPr>
          <w:rFonts w:hint="eastAsia"/>
        </w:rPr>
      </w:pPr>
      <w:r>
        <w:rPr>
          <w:rFonts w:hint="eastAsia"/>
        </w:rPr>
        <w:t>Statistical insignificance means CARs cannot be conclusively attributed to the tariff. CRSP coverage ends December 2024, excluding the April 2025 tariff events. Future work could apply a confounding event filter and extend to industry-level portfolios.</w:t>
      </w:r>
    </w:p>
    <w:p w14:paraId="5D50E8B0">
      <w:pPr>
        <w:rPr>
          <w:rFonts w:hint="eastAsia"/>
        </w:rPr>
      </w:pPr>
    </w:p>
    <w:p w14:paraId="02A0E979">
      <w:pPr>
        <w:rPr>
          <w:rFonts w:hint="eastAsia"/>
        </w:rPr>
      </w:pPr>
      <w:r>
        <w:rPr>
          <w:rFonts w:hint="eastAsia"/>
        </w:rPr>
        <w:t>6. Personal Contribution and Learning</w:t>
      </w:r>
    </w:p>
    <w:p w14:paraId="2EC9FE68">
      <w:pPr>
        <w:rPr>
          <w:rFonts w:hint="eastAsia"/>
        </w:rPr>
      </w:pPr>
    </w:p>
    <w:p w14:paraId="3B898107">
      <w:pPr>
        <w:rPr>
          <w:rFonts w:hint="eastAsia"/>
        </w:rPr>
      </w:pPr>
      <w:r>
        <w:rPr>
          <w:rFonts w:hint="eastAsia"/>
        </w:rPr>
        <w:t>I made all analytical decisions: event date selection, stock universe design, and including Moutai as a control. I independently resolved several bugs — wrong CRSP permno for NVDA and GM, CSI 300 stored as integer not string, and the NVDA stock split anomaly. Each required understanding both the data and the financial context. This project gave me practical experience in academic databases, event study methodology, and Python data product development.</w:t>
      </w:r>
    </w:p>
    <w:p w14:paraId="6C54B4E3">
      <w:pPr>
        <w:rPr>
          <w:rFonts w:hint="eastAsia"/>
        </w:rPr>
      </w:pPr>
    </w:p>
    <w:p w14:paraId="2DAE6249">
      <w:pPr>
        <w:rPr>
          <w:rFonts w:hint="eastAsia"/>
        </w:rPr>
      </w:pPr>
    </w:p>
    <w:p w14:paraId="56763C4A">
      <w:pPr>
        <w:rPr>
          <w:rFonts w:hint="eastAsia"/>
        </w:rPr>
      </w:pPr>
      <w:r>
        <w:rPr>
          <w:rFonts w:hint="eastAsia"/>
        </w:rPr>
        <w:t>AI Use Disclosure</w:t>
      </w:r>
    </w:p>
    <w:p w14:paraId="6A9F2231">
      <w:pPr>
        <w:rPr>
          <w:rFonts w:hint="eastAsia"/>
        </w:rPr>
      </w:pPr>
    </w:p>
    <w:p w14:paraId="18AD3429">
      <w:pPr>
        <w:rPr>
          <w:rFonts w:hint="eastAsia"/>
        </w:rPr>
      </w:pPr>
      <w:r>
        <w:rPr>
          <w:rFonts w:hint="eastAsia"/>
        </w:rPr>
        <w:t>Tool: Claude (Anthropic), Claude Sonnet 4.6 | **Dates**: April 20–27, 2026</w:t>
      </w:r>
    </w:p>
    <w:p w14:paraId="20D2FEE9">
      <w:pPr>
        <w:rPr>
          <w:rFonts w:hint="eastAsia"/>
        </w:rPr>
      </w:pPr>
    </w:p>
    <w:p w14:paraId="4C3B44A0">
      <w:r>
        <w:rPr>
          <w:rFonts w:hint="eastAsia"/>
        </w:rPr>
        <w:t>Used for: project scaffolding, boilerplate code, README template, debugging assistance, and a draft Streamlit dashboard which I modified independently. All analytical decisions and result interpretation were my own.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5MTFlMjgzMGU1NGEwMmZmNmZkZGFmZjc2NDYyYTEifQ=="/>
  </w:docVars>
  <w:rsids>
    <w:rsidRoot w:val="62DE45AD"/>
    <w:rsid w:val="62DE45AD"/>
    <w:rsid w:val="7D7AAE8C"/>
    <w:rsid w:val="BBF98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2026-04-26T23:32:00Z</dcterms:created>
  <dc:creator>WPS_1706377143</dc:creator>
  <cp:lastModifiedBy>WPS_1706377143</cp:lastModifiedBy>
  <dcterms:modified xsi:type="dcterms:W3CDTF">2026-04-26T15:42:29Z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E07ACBE8DEBD2967E5C1ED6919AC05D1_43</vt:lpwstr>
  </property>
</Properties>
</file>