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5907" w:rsidRDefault="00C95907">
      <w:r>
        <w:rPr>
          <w:noProof/>
        </w:rPr>
        <w:drawing>
          <wp:inline distT="0" distB="0" distL="0" distR="0" wp14:anchorId="10C915CE" wp14:editId="66D86B21">
            <wp:extent cx="5274310" cy="2692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69240"/>
                    </a:xfrm>
                    <a:prstGeom prst="rect">
                      <a:avLst/>
                    </a:prstGeom>
                  </pic:spPr>
                </pic:pic>
              </a:graphicData>
            </a:graphic>
          </wp:inline>
        </w:drawing>
      </w:r>
    </w:p>
    <w:p w:rsidR="00C95907" w:rsidRDefault="00C95907">
      <w:r w:rsidRPr="00C95907">
        <w:rPr>
          <w:rFonts w:hint="eastAsia"/>
        </w:rPr>
        <w:t>金融经济学硕士是一个两年的</w:t>
      </w:r>
      <w:r w:rsidRPr="00C95907">
        <w:t>STEM硕士学位项目，由哥伦比亚商学院的金融系提供。MSFE为学业卓越、以产业为导向的学生提供为期两年的强化金融和经济培训机会。学生们要学习哥伦比亚商学院精心设计的博士和MBA课程。这个项目与我们的博士项目有很大的重叠，但是</w:t>
      </w:r>
      <w:proofErr w:type="gramStart"/>
      <w:r w:rsidRPr="00C95907">
        <w:t>是</w:t>
      </w:r>
      <w:proofErr w:type="gramEnd"/>
      <w:r w:rsidRPr="00C95907">
        <w:t>针对那些比学校的博士项目更喜欢短时间和更多行业导向经验的学生。该课程的目标是为学生提供定量和理论的工具，以帮助他们在金融领域取得成功，为潜在的雇主，如投资和商业银行、经济和金融资产管理公司、咨询公司和政策性组织提供帮助。申请人应具备与博士研究生相当的学术准备，</w:t>
      </w:r>
      <w:r w:rsidRPr="00C95907">
        <w:rPr>
          <w:rFonts w:hint="eastAsia"/>
        </w:rPr>
        <w:t>并为博士课程的学习和完成实质性的研究项目做好充分准备。我们鼓励正在考虑攻读</w:t>
      </w:r>
      <w:r w:rsidRPr="00C95907">
        <w:t>MBA或PhD课程的申请人仔细审视这两种课程之间的学术差异，以便更好地了解如何为毕业后的机会做好准备。工作经验是不需要的，但已经发现有价值的过去。</w:t>
      </w:r>
      <w:r w:rsidRPr="00C95907">
        <w:rPr>
          <w:highlight w:val="yellow"/>
        </w:rPr>
        <w:t>金融经济学硕士的申请截止日期是:美国东部时间2020年1月7日晚11:59</w:t>
      </w:r>
    </w:p>
    <w:p w:rsidR="00C95907" w:rsidRDefault="00C95907"/>
    <w:p w:rsidR="00927A2E" w:rsidRDefault="00927A2E"/>
    <w:p w:rsidR="00927A2E" w:rsidRDefault="00927A2E" w:rsidP="00927A2E">
      <w:r>
        <w:rPr>
          <w:rFonts w:hint="eastAsia"/>
        </w:rPr>
        <w:t>金融经济学硕士学位需要在哥伦比亚商学院</w:t>
      </w:r>
      <w:r>
        <w:t>(Columbia Business School)进行四个学期的全日制学习(秋季和春季)。</w:t>
      </w:r>
    </w:p>
    <w:p w:rsidR="00927A2E" w:rsidRDefault="00927A2E" w:rsidP="00927A2E">
      <w:r>
        <w:rPr>
          <w:rFonts w:hint="eastAsia"/>
        </w:rPr>
        <w:t>学生要完成至少</w:t>
      </w:r>
      <w:r>
        <w:t>16门完整的研究生水平课程，包括一个研究研讨会，在这个研讨会上，他们要进行一个以行业为中心的研究问题的项目。学生还必须完成至少六周的暑期实习，包括在公司实习或为老师做研究协助工作。实习期最好与学生的研究研讨会项目紧密相连。</w:t>
      </w:r>
    </w:p>
    <w:p w:rsidR="00927A2E" w:rsidRDefault="00927A2E" w:rsidP="00927A2E">
      <w:r>
        <w:rPr>
          <w:rFonts w:hint="eastAsia"/>
        </w:rPr>
        <w:t>每个学期，学生将学习一系列严格的博士水平的课程，辅以</w:t>
      </w:r>
      <w:r>
        <w:t>MBA和其他研究生水平的课程。在学生的第二、第三和第四学期，他们将至少有一个或两个选修课程，要么是博士学位，要么是MBA学位。MSFE学生必须修习10门博士学位或与博士学位相当的课程，并可修习不超过6门MBA学位课程。</w:t>
      </w:r>
    </w:p>
    <w:p w:rsidR="00927A2E" w:rsidRDefault="00927A2E" w:rsidP="00927A2E">
      <w:r>
        <w:rPr>
          <w:rFonts w:hint="eastAsia"/>
        </w:rPr>
        <w:t>除非获得</w:t>
      </w:r>
      <w:r>
        <w:t>MSFE项目财务和经济主任的许可，否则必须修读以下两个博士学位课程之一:</w:t>
      </w:r>
    </w:p>
    <w:p w:rsidR="00927A2E" w:rsidRDefault="00927A2E" w:rsidP="00927A2E">
      <w:r w:rsidRPr="00927A2E">
        <w:rPr>
          <w:rFonts w:hint="eastAsia"/>
          <w:highlight w:val="yellow"/>
        </w:rPr>
        <w:t>第一学年</w:t>
      </w:r>
      <w:r w:rsidRPr="00927A2E">
        <w:rPr>
          <w:highlight w:val="yellow"/>
        </w:rPr>
        <w:t>:</w:t>
      </w:r>
      <w:r>
        <w:t>学生将在课程A(以学术为导向的课程)和课程B(以行业为重点的应用课程)中进行选择。</w:t>
      </w:r>
    </w:p>
    <w:p w:rsidR="00927A2E" w:rsidRDefault="00927A2E" w:rsidP="00927A2E">
      <w:r>
        <w:rPr>
          <w:rFonts w:hint="eastAsia"/>
        </w:rPr>
        <w:t>跟踪A</w:t>
      </w:r>
      <w:r>
        <w:t>:</w:t>
      </w:r>
    </w:p>
    <w:p w:rsidR="00927A2E" w:rsidRDefault="00927A2E" w:rsidP="00927A2E">
      <w:r>
        <w:rPr>
          <w:rFonts w:hint="eastAsia"/>
        </w:rPr>
        <w:t>微观经济学序列</w:t>
      </w:r>
      <w:r>
        <w:t>(秋季第一年)</w:t>
      </w:r>
    </w:p>
    <w:p w:rsidR="00927A2E" w:rsidRDefault="00927A2E" w:rsidP="00927A2E">
      <w:r>
        <w:t>B9208微观经济分析II(1/2课程)</w:t>
      </w:r>
    </w:p>
    <w:p w:rsidR="00927A2E" w:rsidRDefault="00927A2E" w:rsidP="00927A2E">
      <w:r>
        <w:t>B9206微观经济分析I(1/2课程)</w:t>
      </w:r>
    </w:p>
    <w:p w:rsidR="00927A2E" w:rsidRDefault="00927A2E" w:rsidP="00927A2E">
      <w:r>
        <w:t>B9323计量经济学和统计推断导论</w:t>
      </w:r>
    </w:p>
    <w:p w:rsidR="00927A2E" w:rsidRDefault="00927A2E" w:rsidP="00927A2E">
      <w:r>
        <w:t>B9122计算商业研究(不是必需的，但强烈推荐)</w:t>
      </w:r>
    </w:p>
    <w:p w:rsidR="00927A2E" w:rsidRDefault="00927A2E" w:rsidP="00927A2E">
      <w:r>
        <w:t>B9302金融理论</w:t>
      </w:r>
      <w:bookmarkStart w:id="0" w:name="_GoBack"/>
      <w:bookmarkEnd w:id="0"/>
    </w:p>
    <w:p w:rsidR="00927A2E" w:rsidRDefault="00927A2E" w:rsidP="00927A2E">
      <w:r>
        <w:rPr>
          <w:rFonts w:hint="eastAsia"/>
        </w:rPr>
        <w:t>跟踪</w:t>
      </w:r>
      <w:r>
        <w:t>B:</w:t>
      </w:r>
    </w:p>
    <w:p w:rsidR="00927A2E" w:rsidRDefault="00927A2E" w:rsidP="00927A2E">
      <w:r>
        <w:rPr>
          <w:rFonts w:hint="eastAsia"/>
        </w:rPr>
        <w:t>连续时间序列</w:t>
      </w:r>
      <w:r>
        <w:t>(秋季第一年)</w:t>
      </w:r>
    </w:p>
    <w:p w:rsidR="00927A2E" w:rsidRDefault="00927A2E" w:rsidP="00927A2E">
      <w:r>
        <w:t>B9336连续时间金融导论(1/2课程)</w:t>
      </w:r>
    </w:p>
    <w:p w:rsidR="00927A2E" w:rsidRDefault="00927A2E" w:rsidP="00927A2E">
      <w:r>
        <w:t>B9337高级衍生物(1/2课程)</w:t>
      </w:r>
    </w:p>
    <w:p w:rsidR="00927A2E" w:rsidRDefault="00927A2E" w:rsidP="00927A2E">
      <w:r>
        <w:t>B9323计量经济学和统计推断导论</w:t>
      </w:r>
    </w:p>
    <w:p w:rsidR="00927A2E" w:rsidRDefault="00927A2E" w:rsidP="00927A2E">
      <w:r>
        <w:t>B9122计算商业研究(不是必需的，但强烈推荐)</w:t>
      </w:r>
    </w:p>
    <w:p w:rsidR="00927A2E" w:rsidRDefault="00927A2E" w:rsidP="00927A2E">
      <w:r>
        <w:t>B9302金融理论</w:t>
      </w:r>
    </w:p>
    <w:p w:rsidR="00927A2E" w:rsidRDefault="00927A2E" w:rsidP="00927A2E">
      <w:r w:rsidRPr="00927A2E">
        <w:rPr>
          <w:rFonts w:hint="eastAsia"/>
          <w:highlight w:val="yellow"/>
        </w:rPr>
        <w:t>春天的第一年</w:t>
      </w:r>
      <w:r w:rsidRPr="00927A2E">
        <w:rPr>
          <w:highlight w:val="yellow"/>
        </w:rPr>
        <w:t>:</w:t>
      </w:r>
    </w:p>
    <w:p w:rsidR="00927A2E" w:rsidRDefault="00927A2E" w:rsidP="00927A2E">
      <w:r>
        <w:rPr>
          <w:rFonts w:hint="eastAsia"/>
        </w:rPr>
        <w:t>跟踪</w:t>
      </w:r>
      <w:r>
        <w:t>:A</w:t>
      </w:r>
    </w:p>
    <w:p w:rsidR="00927A2E" w:rsidRDefault="00927A2E" w:rsidP="00927A2E">
      <w:r>
        <w:rPr>
          <w:rFonts w:hint="eastAsia"/>
        </w:rPr>
        <w:t>微观经济学</w:t>
      </w:r>
      <w:r>
        <w:t>(第一年秋季)</w:t>
      </w:r>
    </w:p>
    <w:p w:rsidR="00927A2E" w:rsidRDefault="00927A2E" w:rsidP="00927A2E">
      <w:r>
        <w:t>B9209微观经济分析III(1/2课程)</w:t>
      </w:r>
    </w:p>
    <w:p w:rsidR="00927A2E" w:rsidRDefault="00927A2E" w:rsidP="00927A2E">
      <w:r>
        <w:lastRenderedPageBreak/>
        <w:t>B9211微观经济分析IV(1/2课程)</w:t>
      </w:r>
    </w:p>
    <w:p w:rsidR="00927A2E" w:rsidRDefault="00927A2E" w:rsidP="00927A2E">
      <w:r>
        <w:rPr>
          <w:rFonts w:hint="eastAsia"/>
        </w:rPr>
        <w:t>金融计量经济学</w:t>
      </w:r>
    </w:p>
    <w:p w:rsidR="00927A2E" w:rsidRDefault="00927A2E" w:rsidP="00927A2E">
      <w:r>
        <w:t>B9325金融计量经济学:时间序列(1/2课程</w:t>
      </w:r>
    </w:p>
    <w:p w:rsidR="00927A2E" w:rsidRDefault="00927A2E" w:rsidP="00927A2E">
      <w:r>
        <w:t>B9326:金融计量经济学:面板数据(1/2课程)</w:t>
      </w:r>
    </w:p>
    <w:p w:rsidR="00927A2E" w:rsidRDefault="00927A2E" w:rsidP="00927A2E">
      <w:r>
        <w:rPr>
          <w:rFonts w:hint="eastAsia"/>
        </w:rPr>
        <w:t>金融理论二</w:t>
      </w:r>
      <w:proofErr w:type="gramStart"/>
      <w:r>
        <w:rPr>
          <w:rFonts w:hint="eastAsia"/>
        </w:rPr>
        <w:t>世</w:t>
      </w:r>
      <w:proofErr w:type="gramEnd"/>
    </w:p>
    <w:p w:rsidR="00927A2E" w:rsidRDefault="00927A2E" w:rsidP="00927A2E">
      <w:r>
        <w:t>B9330微观结构理论(1/2课程)</w:t>
      </w:r>
    </w:p>
    <w:p w:rsidR="00927A2E" w:rsidRDefault="00927A2E" w:rsidP="00927A2E">
      <w:r>
        <w:rPr>
          <w:rFonts w:hint="eastAsia"/>
        </w:rPr>
        <w:t>大数据</w:t>
      </w:r>
    </w:p>
    <w:p w:rsidR="00927A2E" w:rsidRDefault="00927A2E" w:rsidP="00927A2E">
      <w:r>
        <w:t>B9334金融大数据</w:t>
      </w:r>
    </w:p>
    <w:p w:rsidR="00927A2E" w:rsidRDefault="00927A2E" w:rsidP="00927A2E">
      <w:r>
        <w:rPr>
          <w:rFonts w:hint="eastAsia"/>
        </w:rPr>
        <w:t>选修课程</w:t>
      </w:r>
      <w:r>
        <w:t>(1/2)</w:t>
      </w:r>
    </w:p>
    <w:p w:rsidR="00927A2E" w:rsidRDefault="00927A2E" w:rsidP="00927A2E">
      <w:r>
        <w:rPr>
          <w:rFonts w:hint="eastAsia"/>
        </w:rPr>
        <w:t>跟踪</w:t>
      </w:r>
      <w:r>
        <w:t>B:</w:t>
      </w:r>
    </w:p>
    <w:p w:rsidR="00927A2E" w:rsidRDefault="00927A2E" w:rsidP="00927A2E">
      <w:r>
        <w:rPr>
          <w:rFonts w:hint="eastAsia"/>
        </w:rPr>
        <w:t>金融计量经济学</w:t>
      </w:r>
    </w:p>
    <w:p w:rsidR="00927A2E" w:rsidRDefault="00927A2E" w:rsidP="00927A2E">
      <w:r>
        <w:t>B9325金融计量经济学:时间序列(1/2课程)</w:t>
      </w:r>
    </w:p>
    <w:p w:rsidR="00927A2E" w:rsidRDefault="00927A2E" w:rsidP="00927A2E">
      <w:r>
        <w:t>B9326:金融计量经济学:面板数据(1/2课程)</w:t>
      </w:r>
    </w:p>
    <w:p w:rsidR="00927A2E" w:rsidRDefault="00927A2E" w:rsidP="00927A2E">
      <w:r>
        <w:rPr>
          <w:rFonts w:hint="eastAsia"/>
        </w:rPr>
        <w:t>金融理论二</w:t>
      </w:r>
      <w:proofErr w:type="gramStart"/>
      <w:r>
        <w:rPr>
          <w:rFonts w:hint="eastAsia"/>
        </w:rPr>
        <w:t>世</w:t>
      </w:r>
      <w:proofErr w:type="gramEnd"/>
    </w:p>
    <w:p w:rsidR="00927A2E" w:rsidRDefault="00927A2E" w:rsidP="00927A2E">
      <w:r>
        <w:t>B9330微观结构理论(1/2课程)</w:t>
      </w:r>
    </w:p>
    <w:p w:rsidR="00927A2E" w:rsidRDefault="00927A2E" w:rsidP="00927A2E">
      <w:r>
        <w:rPr>
          <w:rFonts w:hint="eastAsia"/>
        </w:rPr>
        <w:t>大数据</w:t>
      </w:r>
    </w:p>
    <w:p w:rsidR="00927A2E" w:rsidRDefault="00927A2E" w:rsidP="00927A2E">
      <w:r>
        <w:t>B9334金融大数据</w:t>
      </w:r>
    </w:p>
    <w:p w:rsidR="00927A2E" w:rsidRDefault="00927A2E" w:rsidP="00927A2E">
      <w:r>
        <w:rPr>
          <w:rFonts w:hint="eastAsia"/>
        </w:rPr>
        <w:t>选修科目</w:t>
      </w:r>
      <w:r>
        <w:t>(1 /2门)</w:t>
      </w:r>
    </w:p>
    <w:p w:rsidR="00927A2E" w:rsidRDefault="00927A2E" w:rsidP="00927A2E">
      <w:r>
        <w:rPr>
          <w:rFonts w:hint="eastAsia"/>
        </w:rPr>
        <w:t>常见选修课有</w:t>
      </w:r>
      <w:r>
        <w:t>B8331房地产金融、B8308债务市场、B8323资产管理、B9010估值与财务报表分析、B9029投资与基础分析研究</w:t>
      </w:r>
    </w:p>
    <w:p w:rsidR="00927A2E" w:rsidRDefault="00927A2E" w:rsidP="00927A2E">
      <w:r w:rsidRPr="00927A2E">
        <w:rPr>
          <w:rFonts w:hint="eastAsia"/>
          <w:highlight w:val="yellow"/>
        </w:rPr>
        <w:t>第二年</w:t>
      </w:r>
      <w:r w:rsidRPr="00927A2E">
        <w:rPr>
          <w:highlight w:val="yellow"/>
        </w:rPr>
        <w:t>:无必修课程，</w:t>
      </w:r>
      <w:r>
        <w:t>学生必须修满博士或博士同等水平的10门课程。常见的博士学位选修课</w:t>
      </w:r>
    </w:p>
    <w:p w:rsidR="00927A2E" w:rsidRDefault="00927A2E" w:rsidP="00927A2E">
      <w:r>
        <w:t>B9311实证资产定价II</w:t>
      </w:r>
    </w:p>
    <w:p w:rsidR="00927A2E" w:rsidRDefault="00927A2E" w:rsidP="00927A2E">
      <w:r>
        <w:rPr>
          <w:rFonts w:hint="eastAsia"/>
        </w:rPr>
        <w:t>资产定价一</w:t>
      </w:r>
    </w:p>
    <w:p w:rsidR="00927A2E" w:rsidRDefault="00927A2E" w:rsidP="00927A2E">
      <w:r>
        <w:t>B9310行为金融学</w:t>
      </w:r>
    </w:p>
    <w:p w:rsidR="00927A2E" w:rsidRDefault="00927A2E" w:rsidP="00927A2E">
      <w:r>
        <w:t>B9317公司财务理论</w:t>
      </w:r>
    </w:p>
    <w:p w:rsidR="00927A2E" w:rsidRDefault="00927A2E" w:rsidP="00927A2E">
      <w:r>
        <w:t>B9333金融中介(1/2课程)</w:t>
      </w:r>
    </w:p>
    <w:p w:rsidR="00927A2E" w:rsidRDefault="00927A2E" w:rsidP="00927A2E">
      <w:r>
        <w:t>B9335金融市场信息(1/2课程)</w:t>
      </w:r>
    </w:p>
    <w:p w:rsidR="00927A2E" w:rsidRDefault="00927A2E" w:rsidP="00927A2E">
      <w:r>
        <w:t>B9312论文研讨会及MS论文(第二年春季)</w:t>
      </w:r>
    </w:p>
    <w:p w:rsidR="00C95907" w:rsidRDefault="00927A2E" w:rsidP="00927A2E">
      <w:pPr>
        <w:rPr>
          <w:rFonts w:ascii="MS Gothic" w:hAnsi="MS Gothic" w:cs="MS Gothic"/>
        </w:rPr>
      </w:pPr>
      <w:r>
        <w:rPr>
          <w:rFonts w:hint="eastAsia"/>
        </w:rPr>
        <w:t>在第二年，由于课程设置和兴趣的不同，学生的时间表会有很大的变化。学生需要完成博士课程水平的要求，但这些课程不必是金融系的课程，学生通常会在商学院的其他学部</w:t>
      </w:r>
      <w:r>
        <w:t>(e。g，运筹学或会计学)，或在大学周围的其他系/学院(例如，计算机科学，统计学，法学院等)。大多数学生还参加MBA高级课程。</w:t>
      </w:r>
      <w:r>
        <w:rPr>
          <w:rFonts w:ascii="MS Gothic" w:eastAsia="MS Gothic" w:hAnsi="MS Gothic" w:cs="MS Gothic" w:hint="eastAsia"/>
        </w:rPr>
        <w:t>​​​​​​​</w:t>
      </w:r>
    </w:p>
    <w:p w:rsidR="00E42697" w:rsidRDefault="00E42697" w:rsidP="00927A2E">
      <w:pPr>
        <w:rPr>
          <w:rFonts w:ascii="MS Gothic" w:hAnsi="MS Gothic" w:cs="MS Gothic"/>
        </w:rPr>
      </w:pPr>
    </w:p>
    <w:p w:rsidR="001F2A86" w:rsidRDefault="001F2A86" w:rsidP="00927A2E">
      <w:pPr>
        <w:rPr>
          <w:rFonts w:ascii="MS Gothic" w:hAnsi="MS Gothic" w:cs="MS Gothic"/>
        </w:rPr>
      </w:pPr>
      <w:r>
        <w:rPr>
          <w:noProof/>
        </w:rPr>
        <w:drawing>
          <wp:inline distT="0" distB="0" distL="0" distR="0" wp14:anchorId="3CFBE6D4" wp14:editId="76F7F710">
            <wp:extent cx="5274310" cy="2806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80670"/>
                    </a:xfrm>
                    <a:prstGeom prst="rect">
                      <a:avLst/>
                    </a:prstGeom>
                  </pic:spPr>
                </pic:pic>
              </a:graphicData>
            </a:graphic>
          </wp:inline>
        </w:drawing>
      </w:r>
    </w:p>
    <w:p w:rsidR="00E42697" w:rsidRDefault="00E42697" w:rsidP="00927A2E">
      <w:pPr>
        <w:rPr>
          <w:rFonts w:ascii="MS Gothic" w:hAnsi="MS Gothic" w:cs="MS Gothic"/>
        </w:rPr>
      </w:pPr>
      <w:r w:rsidRPr="00E42697">
        <w:rPr>
          <w:rFonts w:ascii="MS Gothic" w:hAnsi="MS Gothic" w:cs="MS Gothic" w:hint="eastAsia"/>
        </w:rPr>
        <w:t>你是一个寻求在金融领域有回报的成功人士吗</w:t>
      </w:r>
      <w:r w:rsidRPr="00E42697">
        <w:rPr>
          <w:rFonts w:ascii="MS Gothic" w:hAnsi="MS Gothic" w:cs="MS Gothic"/>
        </w:rPr>
        <w:t>?</w:t>
      </w:r>
      <w:r w:rsidRPr="00E42697">
        <w:rPr>
          <w:rFonts w:ascii="MS Gothic" w:hAnsi="MS Gothic" w:cs="MS Gothic"/>
        </w:rPr>
        <w:t>麻省理工学院的金融硕士课程以</w:t>
      </w:r>
      <w:r w:rsidRPr="00E42697">
        <w:rPr>
          <w:rFonts w:ascii="MS Gothic" w:hAnsi="MS Gothic" w:cs="MS Gothic"/>
        </w:rPr>
        <w:t>12- 18</w:t>
      </w:r>
      <w:r w:rsidRPr="00E42697">
        <w:rPr>
          <w:rFonts w:ascii="MS Gothic" w:hAnsi="MS Gothic" w:cs="MS Gothic"/>
        </w:rPr>
        <w:t>个月严格的</w:t>
      </w:r>
      <w:r w:rsidRPr="00E42697">
        <w:rPr>
          <w:rFonts w:ascii="MS Gothic" w:hAnsi="MS Gothic" w:cs="MS Gothic"/>
        </w:rPr>
        <w:t>STEM</w:t>
      </w:r>
      <w:r w:rsidRPr="00E42697">
        <w:rPr>
          <w:rFonts w:ascii="MS Gothic" w:hAnsi="MS Gothic" w:cs="MS Gothic"/>
        </w:rPr>
        <w:t>课程为特色，强调以最先进的金融理论、定量模型和行业实践为基础，研究市场如何运作和运作。</w:t>
      </w:r>
      <w:proofErr w:type="spellStart"/>
      <w:r w:rsidRPr="00E42697">
        <w:rPr>
          <w:rFonts w:ascii="MS Gothic" w:hAnsi="MS Gothic" w:cs="MS Gothic"/>
        </w:rPr>
        <w:t>MFin</w:t>
      </w:r>
      <w:proofErr w:type="spellEnd"/>
      <w:r w:rsidRPr="00E42697">
        <w:rPr>
          <w:rFonts w:ascii="MS Gothic" w:hAnsi="MS Gothic" w:cs="MS Gothic"/>
        </w:rPr>
        <w:t>拥有传奇的声誉，世界知名的师资，以及一流的早期金融学位的创新实践学习经验。本课程可适应您在金融机构、企业、咨询公司、公共部门和金融科技领域的各种首要职业机会的具体要求。</w:t>
      </w:r>
    </w:p>
    <w:p w:rsidR="001F2A86" w:rsidRDefault="001F2A86" w:rsidP="00927A2E">
      <w:pPr>
        <w:rPr>
          <w:rFonts w:ascii="MS Gothic" w:hAnsi="MS Gothic" w:cs="MS Gothic"/>
        </w:rPr>
      </w:pPr>
      <w:r w:rsidRPr="001F2A86">
        <w:rPr>
          <w:rFonts w:ascii="MS Gothic" w:hAnsi="MS Gothic" w:cs="MS Gothic" w:hint="eastAsia"/>
          <w:highlight w:val="yellow"/>
        </w:rPr>
        <w:t>(</w:t>
      </w:r>
      <w:r w:rsidRPr="001F2A86">
        <w:rPr>
          <w:rFonts w:ascii="MS Gothic" w:hAnsi="MS Gothic" w:cs="MS Gothic" w:hint="eastAsia"/>
          <w:highlight w:val="yellow"/>
        </w:rPr>
        <w:t>课程设置：视频</w:t>
      </w:r>
      <w:r w:rsidRPr="001F2A86">
        <w:rPr>
          <w:rFonts w:ascii="MS Gothic" w:hAnsi="MS Gothic" w:cs="MS Gothic"/>
          <w:highlight w:val="yellow"/>
        </w:rPr>
        <w:t>)</w:t>
      </w:r>
    </w:p>
    <w:p w:rsidR="00E42697" w:rsidRDefault="001F2A86" w:rsidP="00927A2E">
      <w:r>
        <w:rPr>
          <w:noProof/>
        </w:rPr>
        <w:lastRenderedPageBreak/>
        <w:drawing>
          <wp:inline distT="0" distB="0" distL="0" distR="0" wp14:anchorId="449EFC4C" wp14:editId="5FF19BEF">
            <wp:extent cx="5274310" cy="38811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881120"/>
                    </a:xfrm>
                    <a:prstGeom prst="rect">
                      <a:avLst/>
                    </a:prstGeom>
                  </pic:spPr>
                </pic:pic>
              </a:graphicData>
            </a:graphic>
          </wp:inline>
        </w:drawing>
      </w:r>
    </w:p>
    <w:p w:rsidR="001F2A86" w:rsidRDefault="00922195" w:rsidP="00927A2E">
      <w:r>
        <w:rPr>
          <w:noProof/>
        </w:rPr>
        <w:drawing>
          <wp:inline distT="0" distB="0" distL="0" distR="0" wp14:anchorId="054FE124" wp14:editId="3D99B945">
            <wp:extent cx="2295525" cy="38292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1285" cy="3855575"/>
                    </a:xfrm>
                    <a:prstGeom prst="rect">
                      <a:avLst/>
                    </a:prstGeom>
                  </pic:spPr>
                </pic:pic>
              </a:graphicData>
            </a:graphic>
          </wp:inline>
        </w:drawing>
      </w:r>
    </w:p>
    <w:p w:rsidR="00922195" w:rsidRDefault="00922195" w:rsidP="00927A2E">
      <w:pPr>
        <w:rPr>
          <w:rFonts w:hint="eastAsia"/>
        </w:rPr>
      </w:pPr>
    </w:p>
    <w:p w:rsidR="001F2A86" w:rsidRDefault="001F2A86" w:rsidP="00927A2E">
      <w:r>
        <w:rPr>
          <w:noProof/>
        </w:rPr>
        <w:drawing>
          <wp:inline distT="0" distB="0" distL="0" distR="0" wp14:anchorId="7914DC87" wp14:editId="1014DF5E">
            <wp:extent cx="5274310" cy="3251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5120"/>
                    </a:xfrm>
                    <a:prstGeom prst="rect">
                      <a:avLst/>
                    </a:prstGeom>
                  </pic:spPr>
                </pic:pic>
              </a:graphicData>
            </a:graphic>
          </wp:inline>
        </w:drawing>
      </w:r>
    </w:p>
    <w:p w:rsidR="00606D59" w:rsidRDefault="00606D59" w:rsidP="00606D59">
      <w:r>
        <w:rPr>
          <w:rFonts w:hint="eastAsia"/>
        </w:rPr>
        <w:t>课程特点：</w:t>
      </w:r>
    </w:p>
    <w:p w:rsidR="00606D59" w:rsidRDefault="00606D59" w:rsidP="00606D59">
      <w:r>
        <w:rPr>
          <w:rFonts w:hint="eastAsia"/>
        </w:rPr>
        <w:lastRenderedPageBreak/>
        <w:t>先进的财务规划</w:t>
      </w:r>
    </w:p>
    <w:p w:rsidR="00606D59" w:rsidRDefault="00606D59" w:rsidP="00606D59">
      <w:r>
        <w:rPr>
          <w:rFonts w:hint="eastAsia"/>
        </w:rPr>
        <w:t>强调计算、统计和计量经济技术及其在财务决策中的作用</w:t>
      </w:r>
    </w:p>
    <w:p w:rsidR="00606D59" w:rsidRDefault="00606D59" w:rsidP="00606D59">
      <w:r>
        <w:rPr>
          <w:rFonts w:hint="eastAsia"/>
        </w:rPr>
        <w:t>理论与实践相结合</w:t>
      </w:r>
    </w:p>
    <w:p w:rsidR="00606D59" w:rsidRDefault="00606D59" w:rsidP="00606D59">
      <w:r>
        <w:rPr>
          <w:rFonts w:hint="eastAsia"/>
        </w:rPr>
        <w:t>在分析复杂的金融工具、投资组合配置、风险管理、公司金融、公司估值和公司治理等方面提供强大的理论和实践基础</w:t>
      </w:r>
    </w:p>
    <w:p w:rsidR="00606D59" w:rsidRDefault="00606D59" w:rsidP="00606D59">
      <w:r>
        <w:rPr>
          <w:rFonts w:hint="eastAsia"/>
        </w:rPr>
        <w:t>准备</w:t>
      </w:r>
      <w:r>
        <w:t>CFA考试</w:t>
      </w:r>
    </w:p>
    <w:p w:rsidR="00606D59" w:rsidRDefault="00606D59" w:rsidP="00606D59">
      <w:r>
        <w:rPr>
          <w:rFonts w:hint="eastAsia"/>
        </w:rPr>
        <w:t>致力于课程的重要部分</w:t>
      </w:r>
      <w:r>
        <w:t>CFA协会的候选人的知识体系，准备学生参加CFA考试</w:t>
      </w:r>
    </w:p>
    <w:p w:rsidR="00606D59" w:rsidRDefault="00606D59" w:rsidP="00606D59">
      <w:r>
        <w:rPr>
          <w:rFonts w:hint="eastAsia"/>
        </w:rPr>
        <w:t>STEM指定</w:t>
      </w:r>
    </w:p>
    <w:p w:rsidR="001F2A86" w:rsidRDefault="00606D59" w:rsidP="00606D59">
      <w:r>
        <w:rPr>
          <w:rFonts w:hint="eastAsia"/>
        </w:rPr>
        <w:t>包括一个由</w:t>
      </w:r>
      <w:r>
        <w:t>STEM指定的金融计量经济学集中，提供一个可选的STEM延伸效益的实践培训</w:t>
      </w:r>
    </w:p>
    <w:p w:rsidR="00606D59" w:rsidRDefault="00606D59" w:rsidP="00606D59"/>
    <w:p w:rsidR="00606D59" w:rsidRDefault="00606D59" w:rsidP="00606D59"/>
    <w:p w:rsidR="00606D59" w:rsidRDefault="00ED296D" w:rsidP="00606D59">
      <w:r w:rsidRPr="00ED296D">
        <w:rPr>
          <w:rFonts w:hint="eastAsia"/>
          <w:sz w:val="28"/>
        </w:rPr>
        <w:t>5</w:t>
      </w:r>
      <w:r>
        <w:t xml:space="preserve"> </w:t>
      </w:r>
      <w:r w:rsidR="009F1B2E">
        <w:rPr>
          <w:noProof/>
        </w:rPr>
        <w:drawing>
          <wp:inline distT="0" distB="0" distL="0" distR="0" wp14:anchorId="612182B4" wp14:editId="2B5459D9">
            <wp:extent cx="4857750" cy="283651"/>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9344" cy="287831"/>
                    </a:xfrm>
                    <a:prstGeom prst="rect">
                      <a:avLst/>
                    </a:prstGeom>
                  </pic:spPr>
                </pic:pic>
              </a:graphicData>
            </a:graphic>
          </wp:inline>
        </w:drawing>
      </w:r>
    </w:p>
    <w:p w:rsidR="009F1B2E" w:rsidRDefault="009F1B2E" w:rsidP="00606D59">
      <w:r w:rsidRPr="009F1B2E">
        <w:rPr>
          <w:noProof/>
        </w:rPr>
        <w:drawing>
          <wp:inline distT="0" distB="0" distL="0" distR="0">
            <wp:extent cx="2538768" cy="2981325"/>
            <wp:effectExtent l="0" t="0" r="0" b="0"/>
            <wp:docPr id="10" name="图片 10" descr="C:\Users\zj123\AppData\Local\Temp\WeChat Files\662394297948102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j123\AppData\Local\Temp\WeChat Files\66239429794810265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3910" cy="2987363"/>
                    </a:xfrm>
                    <a:prstGeom prst="rect">
                      <a:avLst/>
                    </a:prstGeom>
                    <a:noFill/>
                    <a:ln>
                      <a:noFill/>
                    </a:ln>
                  </pic:spPr>
                </pic:pic>
              </a:graphicData>
            </a:graphic>
          </wp:inline>
        </w:drawing>
      </w:r>
    </w:p>
    <w:p w:rsidR="009F1B2E" w:rsidRDefault="009F1B2E" w:rsidP="00606D59"/>
    <w:p w:rsidR="009F1B2E" w:rsidRDefault="009F1B2E" w:rsidP="00606D59">
      <w:r w:rsidRPr="009F1B2E">
        <w:rPr>
          <w:rFonts w:hint="eastAsia"/>
        </w:rPr>
        <w:t>范德</w:t>
      </w:r>
      <w:r>
        <w:rPr>
          <w:rFonts w:hint="eastAsia"/>
        </w:rPr>
        <w:t>堡</w:t>
      </w:r>
      <w:r w:rsidRPr="009F1B2E">
        <w:rPr>
          <w:rFonts w:hint="eastAsia"/>
        </w:rPr>
        <w:t>大学</w:t>
      </w:r>
      <w:r w:rsidRPr="009F1B2E">
        <w:t>(Vanderbilt)金融科学硕士(MSF)是一个为期10个月的在校学位，提供了一条通往各种职业机会的快速通道。你可能想知道，“一个金融硕士值得花费时间和金钱吗?”MS Finance学位将教给你在企业金融、投资银行、销售和交易、资产管理、房地产、咨询、投资研究等领域取得成功所需的技能。在范德比尔特大学，这个学位的学习方法是从小而降的，并且有灵活的</w:t>
      </w:r>
      <w:proofErr w:type="spellStart"/>
      <w:r w:rsidRPr="009F1B2E">
        <w:t>mba</w:t>
      </w:r>
      <w:proofErr w:type="spellEnd"/>
      <w:r w:rsidRPr="009F1B2E">
        <w:t>级别的金融课程，可以让你根据自己的兴趣和职业目标来调整你的学习。你还可以得到一对一的职业指导和领导力发展。你将从鲍勃•惠利、克雷格•刘易斯和</w:t>
      </w:r>
      <w:r w:rsidRPr="009F1B2E">
        <w:rPr>
          <w:rFonts w:hint="eastAsia"/>
        </w:rPr>
        <w:t>比尔•克里斯蒂等教授那里学习金融，他们都对金融世界产生了显著影响。和我们的许多学生一样，你可能有资格获得基于成绩的奖学金，以帮助支付这一著名学位的费用。我们的学生毕业后</w:t>
      </w:r>
      <w:r w:rsidRPr="009F1B2E">
        <w:t>90天内平均有98%的就业机会，四年来我们的学生成功地进入了像德意志银行、德勤、高盛和英特尔这样的顶级公司。在范德比尔特优势阅读更多关于这个竞争项目。</w:t>
      </w:r>
    </w:p>
    <w:p w:rsidR="009F1B2E" w:rsidRDefault="009F1B2E" w:rsidP="00606D59"/>
    <w:p w:rsidR="00606D59" w:rsidRDefault="00ED296D" w:rsidP="00606D59">
      <w:r>
        <w:rPr>
          <w:noProof/>
        </w:rPr>
        <w:drawing>
          <wp:inline distT="0" distB="0" distL="0" distR="0" wp14:anchorId="3A9A088E" wp14:editId="162EABDB">
            <wp:extent cx="5274310" cy="3282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8295"/>
                    </a:xfrm>
                    <a:prstGeom prst="rect">
                      <a:avLst/>
                    </a:prstGeom>
                  </pic:spPr>
                </pic:pic>
              </a:graphicData>
            </a:graphic>
          </wp:inline>
        </w:drawing>
      </w:r>
    </w:p>
    <w:p w:rsidR="00ED296D" w:rsidRDefault="009F6695" w:rsidP="00606D59">
      <w:r>
        <w:rPr>
          <w:noProof/>
        </w:rPr>
        <w:lastRenderedPageBreak/>
        <w:drawing>
          <wp:inline distT="0" distB="0" distL="0" distR="0" wp14:anchorId="12EDFBE4" wp14:editId="37980262">
            <wp:extent cx="5274310" cy="60998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099810"/>
                    </a:xfrm>
                    <a:prstGeom prst="rect">
                      <a:avLst/>
                    </a:prstGeom>
                  </pic:spPr>
                </pic:pic>
              </a:graphicData>
            </a:graphic>
          </wp:inline>
        </w:drawing>
      </w:r>
    </w:p>
    <w:p w:rsidR="009F6695" w:rsidRDefault="009F6695" w:rsidP="00606D59"/>
    <w:p w:rsidR="009F6695" w:rsidRDefault="009F6695" w:rsidP="00606D59">
      <w:r>
        <w:rPr>
          <w:noProof/>
        </w:rPr>
        <w:drawing>
          <wp:inline distT="0" distB="0" distL="0" distR="0" wp14:anchorId="0FBDE9C0" wp14:editId="0A5FBF11">
            <wp:extent cx="5274310" cy="2178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7805"/>
                    </a:xfrm>
                    <a:prstGeom prst="rect">
                      <a:avLst/>
                    </a:prstGeom>
                  </pic:spPr>
                </pic:pic>
              </a:graphicData>
            </a:graphic>
          </wp:inline>
        </w:drawing>
      </w:r>
    </w:p>
    <w:p w:rsidR="009F6695" w:rsidRDefault="009F6695" w:rsidP="00606D59">
      <w:r>
        <w:rPr>
          <w:noProof/>
        </w:rPr>
        <w:lastRenderedPageBreak/>
        <w:drawing>
          <wp:inline distT="0" distB="0" distL="0" distR="0" wp14:anchorId="7AD7089F" wp14:editId="231D8A0E">
            <wp:extent cx="5274310" cy="65284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528435"/>
                    </a:xfrm>
                    <a:prstGeom prst="rect">
                      <a:avLst/>
                    </a:prstGeom>
                  </pic:spPr>
                </pic:pic>
              </a:graphicData>
            </a:graphic>
          </wp:inline>
        </w:drawing>
      </w:r>
    </w:p>
    <w:p w:rsidR="009F6695" w:rsidRDefault="009F6695" w:rsidP="00606D59"/>
    <w:p w:rsidR="009F6695" w:rsidRDefault="009F6695" w:rsidP="00606D59">
      <w:r>
        <w:rPr>
          <w:noProof/>
        </w:rPr>
        <w:drawing>
          <wp:inline distT="0" distB="0" distL="0" distR="0" wp14:anchorId="73D4D1F6" wp14:editId="64FAA396">
            <wp:extent cx="5274310" cy="24130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1300"/>
                    </a:xfrm>
                    <a:prstGeom prst="rect">
                      <a:avLst/>
                    </a:prstGeom>
                  </pic:spPr>
                </pic:pic>
              </a:graphicData>
            </a:graphic>
          </wp:inline>
        </w:drawing>
      </w:r>
    </w:p>
    <w:p w:rsidR="009F6695" w:rsidRDefault="009F6695" w:rsidP="00606D59">
      <w:r w:rsidRPr="009F6695">
        <w:rPr>
          <w:noProof/>
        </w:rPr>
        <w:lastRenderedPageBreak/>
        <w:drawing>
          <wp:inline distT="0" distB="0" distL="0" distR="0">
            <wp:extent cx="2752638" cy="3333750"/>
            <wp:effectExtent l="0" t="0" r="0" b="0"/>
            <wp:docPr id="17" name="图片 17" descr="C:\Users\zj123\AppData\Local\Temp\WeChat Files\338856910706185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j123\AppData\Local\Temp\WeChat Files\33885691070618525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8228" cy="3340520"/>
                    </a:xfrm>
                    <a:prstGeom prst="rect">
                      <a:avLst/>
                    </a:prstGeom>
                    <a:noFill/>
                    <a:ln>
                      <a:noFill/>
                    </a:ln>
                  </pic:spPr>
                </pic:pic>
              </a:graphicData>
            </a:graphic>
          </wp:inline>
        </w:drawing>
      </w:r>
    </w:p>
    <w:p w:rsidR="009F6695" w:rsidRPr="00E42697" w:rsidRDefault="009F6695" w:rsidP="00606D59"/>
    <w:p w:rsidR="002F3A32" w:rsidRDefault="001E2655">
      <w:r>
        <w:rPr>
          <w:noProof/>
        </w:rPr>
        <w:drawing>
          <wp:inline distT="0" distB="0" distL="0" distR="0" wp14:anchorId="70E2D199" wp14:editId="48F116C3">
            <wp:extent cx="5274310" cy="3244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4485"/>
                    </a:xfrm>
                    <a:prstGeom prst="rect">
                      <a:avLst/>
                    </a:prstGeom>
                  </pic:spPr>
                </pic:pic>
              </a:graphicData>
            </a:graphic>
          </wp:inline>
        </w:drawing>
      </w:r>
    </w:p>
    <w:p w:rsidR="001E2655" w:rsidRDefault="001E2655" w:rsidP="001E2655">
      <w:r>
        <w:rPr>
          <w:rFonts w:hint="eastAsia"/>
        </w:rPr>
        <w:t>金融理学硕士允许学生在</w:t>
      </w:r>
      <w:r w:rsidRPr="001E2655">
        <w:rPr>
          <w:highlight w:val="yellow"/>
        </w:rPr>
        <w:t>16个月</w:t>
      </w:r>
      <w:r>
        <w:t>内获得研究生学位，在8月开始课程，在次年12月完成。MSF项目是一个全日制住宿项目，在南加州大学校园进行。申请MSF项目不需要至少几年的工作经验。谁会从金融理学硕士中受益?金融理学硕士的主要目标是为个人提供必要的技能和知识，使其在金融的各个领域内作为分析师立即产生影响，从而促进他们的职业生涯。该课程面向商科和非商科本科生，为他们提供工具、理念和框架，帮助他们在早期的金融工作中脱颖而出。</w:t>
      </w:r>
      <w:proofErr w:type="gramStart"/>
      <w:r>
        <w:t>茎</w:t>
      </w:r>
      <w:proofErr w:type="gramEnd"/>
      <w:r>
        <w:t>指定项目南加州大学的金融理学硕士项目是STEM指定项目，允许持F-1签证的国际学生申请延长24个月的可选实践培训(OPT)。</w:t>
      </w:r>
    </w:p>
    <w:p w:rsidR="001E2655" w:rsidRDefault="001E2655" w:rsidP="001E2655">
      <w:r>
        <w:rPr>
          <w:rFonts w:hint="eastAsia"/>
        </w:rPr>
        <w:t>南加州大学马歇尔的金融理学硕士学位将为您提供事业成功的关键。我们的强化课程提供全面的金融基础和灵活性，以追求您的个人目标。该课程由</w:t>
      </w:r>
      <w:r w:rsidRPr="001E2655">
        <w:rPr>
          <w:highlight w:val="yellow"/>
        </w:rPr>
        <w:t>36个单元的课程</w:t>
      </w:r>
      <w:r>
        <w:t>组成，结合了大量的必修核心课程和选修课。MSF课程旨在提供全面的金融基础和灵活性，以追求个人兴趣。除了会计学、经济学、金融学和定量分析等核心课程外，还开设了金融在企业中的作用、投资分析和投资组合理论、预测和风险等课程。学生可以通过选修诸如房地产、并购和对冲基金等主题的课程来个性化他们的学位。所有课程均由南加州大学马歇尔商学院的优秀教师、学者和实践者授课。金融MS课</w:t>
      </w:r>
      <w:r>
        <w:rPr>
          <w:rFonts w:hint="eastAsia"/>
        </w:rPr>
        <w:t>程将于</w:t>
      </w:r>
      <w:r>
        <w:t>8月中旬开始，课程包括为期一周的数学新兵训练营和以关键团队建设、校友社交活动为特色的入职培训。秋季学期的课程将为你打下关键经济学和会计学原理的坚实基础，并培养你的定量能力。到春季学期，你已经准备好学习风险分析、预测、投资组合管理和金融估值。现在是开始专业的时候了，选修的课程涵盖了对冲基金、固定收益证券和房地产金融等主题。在秋季学期的最后一学期，你们将增加对资本市场的知识，深入研究公司财务政策方面的问题，同时增加选修科目的范围，从合并和收购到交易和交易所，到风险资本和</w:t>
      </w:r>
      <w:proofErr w:type="gramStart"/>
      <w:r>
        <w:t>私募股</w:t>
      </w:r>
      <w:proofErr w:type="gramEnd"/>
      <w:r>
        <w:t>权。</w:t>
      </w:r>
    </w:p>
    <w:p w:rsidR="001E2655" w:rsidRPr="001E2655" w:rsidRDefault="001E2655" w:rsidP="001E2655">
      <w:pPr>
        <w:widowControl/>
        <w:spacing w:before="100" w:beforeAutospacing="1" w:after="100" w:afterAutospacing="1"/>
        <w:jc w:val="center"/>
        <w:textAlignment w:val="baseline"/>
        <w:outlineLvl w:val="3"/>
        <w:rPr>
          <w:rFonts w:ascii="&amp;quot" w:eastAsia="宋体" w:hAnsi="&amp;quot" w:cs="宋体" w:hint="eastAsia"/>
          <w:color w:val="000000"/>
          <w:kern w:val="0"/>
          <w:sz w:val="24"/>
          <w:szCs w:val="24"/>
        </w:rPr>
      </w:pPr>
      <w:r w:rsidRPr="001E2655">
        <w:rPr>
          <w:rFonts w:ascii="&amp;quot" w:eastAsia="宋体" w:hAnsi="&amp;quot" w:cs="宋体"/>
          <w:color w:val="000000"/>
          <w:kern w:val="0"/>
          <w:sz w:val="24"/>
          <w:szCs w:val="24"/>
        </w:rPr>
        <w:t>The MSF Course Plan</w:t>
      </w:r>
    </w:p>
    <w:tbl>
      <w:tblPr>
        <w:tblW w:w="5000" w:type="pct"/>
        <w:tblCellMar>
          <w:left w:w="0" w:type="dxa"/>
          <w:right w:w="0" w:type="dxa"/>
        </w:tblCellMar>
        <w:tblLook w:val="04A0" w:firstRow="1" w:lastRow="0" w:firstColumn="1" w:lastColumn="0" w:noHBand="0" w:noVBand="1"/>
      </w:tblPr>
      <w:tblGrid>
        <w:gridCol w:w="2034"/>
        <w:gridCol w:w="1938"/>
        <w:gridCol w:w="2182"/>
        <w:gridCol w:w="2122"/>
      </w:tblGrid>
      <w:tr w:rsidR="00C95907" w:rsidRPr="001E2655" w:rsidTr="001E2655">
        <w:tc>
          <w:tcPr>
            <w:tcW w:w="2700" w:type="dxa"/>
            <w:tcBorders>
              <w:top w:val="single" w:sz="12" w:space="0" w:color="000000"/>
              <w:left w:val="single" w:sz="12" w:space="0" w:color="000000"/>
              <w:bottom w:val="single" w:sz="12" w:space="0" w:color="000000"/>
              <w:right w:val="single" w:sz="12" w:space="0" w:color="000000"/>
            </w:tcBorders>
            <w:shd w:val="clear" w:color="auto" w:fill="232323"/>
            <w:tcMar>
              <w:top w:w="45" w:type="dxa"/>
              <w:left w:w="45" w:type="dxa"/>
              <w:bottom w:w="45" w:type="dxa"/>
              <w:right w:w="45" w:type="dxa"/>
            </w:tcMar>
            <w:hideMark/>
          </w:tcPr>
          <w:p w:rsidR="001E2655" w:rsidRPr="001E2655" w:rsidRDefault="001E2655" w:rsidP="001E2655">
            <w:pPr>
              <w:widowControl/>
              <w:spacing w:after="100" w:afterAutospacing="1"/>
              <w:jc w:val="center"/>
              <w:textAlignment w:val="baseline"/>
              <w:rPr>
                <w:rFonts w:ascii="inherit" w:eastAsia="宋体" w:hAnsi="inherit" w:cs="宋体" w:hint="eastAsia"/>
                <w:color w:val="FFFFFF"/>
                <w:kern w:val="0"/>
                <w:sz w:val="24"/>
                <w:szCs w:val="24"/>
              </w:rPr>
            </w:pPr>
            <w:r w:rsidRPr="001E2655">
              <w:rPr>
                <w:rFonts w:ascii="&amp;quot" w:eastAsia="宋体" w:hAnsi="&amp;quot" w:cs="宋体"/>
                <w:color w:val="FFFFFF"/>
                <w:kern w:val="0"/>
                <w:sz w:val="24"/>
                <w:szCs w:val="24"/>
              </w:rPr>
              <w:lastRenderedPageBreak/>
              <w:t>Fall:</w:t>
            </w:r>
            <w:r w:rsidRPr="001E2655">
              <w:rPr>
                <w:rFonts w:ascii="&amp;quot" w:eastAsia="宋体" w:hAnsi="&amp;quot" w:cs="宋体"/>
                <w:color w:val="FFFFFF"/>
                <w:kern w:val="0"/>
                <w:sz w:val="24"/>
                <w:szCs w:val="24"/>
              </w:rPr>
              <w:br/>
              <w:t>Term 1</w:t>
            </w:r>
          </w:p>
        </w:tc>
        <w:tc>
          <w:tcPr>
            <w:tcW w:w="2700" w:type="dxa"/>
            <w:tcBorders>
              <w:top w:val="single" w:sz="12" w:space="0" w:color="000000"/>
              <w:left w:val="single" w:sz="12" w:space="0" w:color="000000"/>
              <w:bottom w:val="single" w:sz="12" w:space="0" w:color="000000"/>
              <w:right w:val="single" w:sz="12" w:space="0" w:color="000000"/>
            </w:tcBorders>
            <w:shd w:val="clear" w:color="auto" w:fill="232323"/>
            <w:tcMar>
              <w:top w:w="45" w:type="dxa"/>
              <w:left w:w="45" w:type="dxa"/>
              <w:bottom w:w="45" w:type="dxa"/>
              <w:right w:w="45" w:type="dxa"/>
            </w:tcMar>
            <w:hideMark/>
          </w:tcPr>
          <w:p w:rsidR="001E2655" w:rsidRPr="001E2655" w:rsidRDefault="001E2655" w:rsidP="001E2655">
            <w:pPr>
              <w:widowControl/>
              <w:spacing w:after="100" w:afterAutospacing="1"/>
              <w:jc w:val="center"/>
              <w:textAlignment w:val="baseline"/>
              <w:rPr>
                <w:rFonts w:ascii="inherit" w:eastAsia="宋体" w:hAnsi="inherit" w:cs="宋体" w:hint="eastAsia"/>
                <w:color w:val="FFFFFF"/>
                <w:kern w:val="0"/>
                <w:sz w:val="24"/>
                <w:szCs w:val="24"/>
              </w:rPr>
            </w:pPr>
            <w:r w:rsidRPr="001E2655">
              <w:rPr>
                <w:rFonts w:ascii="&amp;quot" w:eastAsia="宋体" w:hAnsi="&amp;quot" w:cs="宋体"/>
                <w:color w:val="FFFFFF"/>
                <w:kern w:val="0"/>
                <w:sz w:val="24"/>
                <w:szCs w:val="24"/>
              </w:rPr>
              <w:t>Spring:</w:t>
            </w:r>
            <w:r w:rsidRPr="001E2655">
              <w:rPr>
                <w:rFonts w:ascii="&amp;quot" w:eastAsia="宋体" w:hAnsi="&amp;quot" w:cs="宋体"/>
                <w:color w:val="FFFFFF"/>
                <w:kern w:val="0"/>
                <w:sz w:val="24"/>
                <w:szCs w:val="24"/>
              </w:rPr>
              <w:br/>
              <w:t>Term 2</w:t>
            </w:r>
          </w:p>
        </w:tc>
        <w:tc>
          <w:tcPr>
            <w:tcW w:w="2700" w:type="dxa"/>
            <w:tcBorders>
              <w:top w:val="single" w:sz="12" w:space="0" w:color="000000"/>
              <w:left w:val="single" w:sz="12" w:space="0" w:color="000000"/>
              <w:bottom w:val="single" w:sz="12" w:space="0" w:color="000000"/>
              <w:right w:val="single" w:sz="12" w:space="0" w:color="000000"/>
            </w:tcBorders>
            <w:shd w:val="clear" w:color="auto" w:fill="232323"/>
            <w:tcMar>
              <w:top w:w="45" w:type="dxa"/>
              <w:left w:w="45" w:type="dxa"/>
              <w:bottom w:w="45" w:type="dxa"/>
              <w:right w:w="45" w:type="dxa"/>
            </w:tcMar>
            <w:hideMark/>
          </w:tcPr>
          <w:p w:rsidR="001E2655" w:rsidRPr="001E2655" w:rsidRDefault="001E2655" w:rsidP="001E2655">
            <w:pPr>
              <w:widowControl/>
              <w:spacing w:after="100" w:afterAutospacing="1"/>
              <w:jc w:val="center"/>
              <w:textAlignment w:val="baseline"/>
              <w:rPr>
                <w:rFonts w:ascii="inherit" w:eastAsia="宋体" w:hAnsi="inherit" w:cs="宋体" w:hint="eastAsia"/>
                <w:color w:val="FFFFFF"/>
                <w:kern w:val="0"/>
                <w:sz w:val="24"/>
                <w:szCs w:val="24"/>
              </w:rPr>
            </w:pPr>
            <w:r w:rsidRPr="001E2655">
              <w:rPr>
                <w:rFonts w:ascii="&amp;quot" w:eastAsia="宋体" w:hAnsi="&amp;quot" w:cs="宋体"/>
                <w:color w:val="FFFFFF"/>
                <w:kern w:val="0"/>
                <w:sz w:val="24"/>
                <w:szCs w:val="24"/>
              </w:rPr>
              <w:t>Summer:</w:t>
            </w:r>
          </w:p>
        </w:tc>
        <w:tc>
          <w:tcPr>
            <w:tcW w:w="2700" w:type="dxa"/>
            <w:tcBorders>
              <w:top w:val="single" w:sz="12" w:space="0" w:color="000000"/>
              <w:left w:val="single" w:sz="12" w:space="0" w:color="000000"/>
              <w:bottom w:val="single" w:sz="12" w:space="0" w:color="000000"/>
              <w:right w:val="single" w:sz="12" w:space="0" w:color="000000"/>
            </w:tcBorders>
            <w:shd w:val="clear" w:color="auto" w:fill="232323"/>
            <w:tcMar>
              <w:top w:w="45" w:type="dxa"/>
              <w:left w:w="45" w:type="dxa"/>
              <w:bottom w:w="45" w:type="dxa"/>
              <w:right w:w="45" w:type="dxa"/>
            </w:tcMar>
            <w:hideMark/>
          </w:tcPr>
          <w:p w:rsidR="001E2655" w:rsidRPr="001E2655" w:rsidRDefault="001E2655" w:rsidP="001E2655">
            <w:pPr>
              <w:widowControl/>
              <w:spacing w:after="100" w:afterAutospacing="1"/>
              <w:jc w:val="center"/>
              <w:textAlignment w:val="baseline"/>
              <w:rPr>
                <w:rFonts w:ascii="inherit" w:eastAsia="宋体" w:hAnsi="inherit" w:cs="宋体" w:hint="eastAsia"/>
                <w:color w:val="FFFFFF"/>
                <w:kern w:val="0"/>
                <w:sz w:val="24"/>
                <w:szCs w:val="24"/>
              </w:rPr>
            </w:pPr>
            <w:r w:rsidRPr="001E2655">
              <w:rPr>
                <w:rFonts w:ascii="&amp;quot" w:eastAsia="宋体" w:hAnsi="&amp;quot" w:cs="宋体"/>
                <w:color w:val="FFFFFF"/>
                <w:kern w:val="0"/>
                <w:sz w:val="24"/>
                <w:szCs w:val="24"/>
              </w:rPr>
              <w:t>Fall:</w:t>
            </w:r>
            <w:r w:rsidRPr="001E2655">
              <w:rPr>
                <w:rFonts w:ascii="&amp;quot" w:eastAsia="宋体" w:hAnsi="&amp;quot" w:cs="宋体"/>
                <w:color w:val="FFFFFF"/>
                <w:kern w:val="0"/>
                <w:sz w:val="24"/>
                <w:szCs w:val="24"/>
              </w:rPr>
              <w:br/>
              <w:t>Term 3</w:t>
            </w:r>
          </w:p>
        </w:tc>
      </w:tr>
      <w:tr w:rsidR="00C95907" w:rsidRPr="001E2655" w:rsidTr="001E2655">
        <w:tc>
          <w:tcPr>
            <w:tcW w:w="0" w:type="auto"/>
            <w:tcBorders>
              <w:top w:val="single" w:sz="12" w:space="0" w:color="000000"/>
              <w:left w:val="single" w:sz="12" w:space="0" w:color="000000"/>
              <w:bottom w:val="single" w:sz="12" w:space="0" w:color="000000"/>
              <w:right w:val="single" w:sz="12" w:space="0" w:color="000000"/>
            </w:tcBorders>
            <w:shd w:val="clear" w:color="auto" w:fill="990000"/>
            <w:tcMar>
              <w:top w:w="45" w:type="dxa"/>
              <w:left w:w="45" w:type="dxa"/>
              <w:bottom w:w="45" w:type="dxa"/>
              <w:right w:w="45" w:type="dxa"/>
            </w:tcMar>
            <w:hideMark/>
          </w:tcPr>
          <w:p w:rsidR="001E2655" w:rsidRPr="001E2655" w:rsidRDefault="001E2655" w:rsidP="001E2655">
            <w:pPr>
              <w:widowControl/>
              <w:jc w:val="center"/>
              <w:rPr>
                <w:rFonts w:ascii="inherit" w:eastAsia="宋体" w:hAnsi="inherit" w:cs="宋体" w:hint="eastAsia"/>
                <w:color w:val="FFFFFF"/>
                <w:kern w:val="0"/>
                <w:sz w:val="24"/>
                <w:szCs w:val="24"/>
              </w:rPr>
            </w:pPr>
            <w:r w:rsidRPr="001E2655">
              <w:rPr>
                <w:rFonts w:ascii="&amp;quot" w:eastAsia="宋体" w:hAnsi="&amp;quot" w:cs="宋体"/>
                <w:color w:val="FFFFFF"/>
                <w:kern w:val="0"/>
                <w:sz w:val="24"/>
                <w:szCs w:val="24"/>
              </w:rPr>
              <w:t>GSBA 510</w:t>
            </w:r>
            <w:r w:rsidRPr="001E2655">
              <w:rPr>
                <w:rFonts w:ascii="inherit" w:eastAsia="宋体" w:hAnsi="inherit" w:cs="宋体"/>
                <w:color w:val="FFFFFF"/>
                <w:kern w:val="0"/>
                <w:sz w:val="24"/>
                <w:szCs w:val="24"/>
              </w:rPr>
              <w:br/>
            </w:r>
            <w:r w:rsidR="00C95907">
              <w:rPr>
                <w:rFonts w:ascii="inherit" w:eastAsia="宋体" w:hAnsi="inherit" w:cs="宋体" w:hint="eastAsia"/>
                <w:color w:val="FFFFFF"/>
                <w:kern w:val="0"/>
                <w:sz w:val="24"/>
                <w:szCs w:val="24"/>
              </w:rPr>
              <w:t>会计知识</w:t>
            </w:r>
            <w:r w:rsidRPr="001E2655">
              <w:rPr>
                <w:rFonts w:ascii="inherit" w:eastAsia="宋体" w:hAnsi="inherit" w:cs="宋体"/>
                <w:color w:val="FFFFFF"/>
                <w:kern w:val="0"/>
                <w:sz w:val="24"/>
                <w:szCs w:val="24"/>
              </w:rPr>
              <w:br/>
              <w:t>(3 units)</w:t>
            </w:r>
          </w:p>
        </w:tc>
        <w:tc>
          <w:tcPr>
            <w:tcW w:w="0" w:type="auto"/>
            <w:tcBorders>
              <w:top w:val="single" w:sz="12" w:space="0" w:color="000000"/>
              <w:left w:val="single" w:sz="12" w:space="0" w:color="000000"/>
              <w:bottom w:val="single" w:sz="12" w:space="0" w:color="000000"/>
              <w:right w:val="single" w:sz="12" w:space="0" w:color="000000"/>
            </w:tcBorders>
            <w:shd w:val="clear" w:color="auto" w:fill="990000"/>
            <w:tcMar>
              <w:top w:w="45" w:type="dxa"/>
              <w:left w:w="45" w:type="dxa"/>
              <w:bottom w:w="45" w:type="dxa"/>
              <w:right w:w="45" w:type="dxa"/>
            </w:tcMar>
            <w:hideMark/>
          </w:tcPr>
          <w:p w:rsidR="001E2655" w:rsidRPr="001E2655" w:rsidRDefault="001E2655" w:rsidP="001E2655">
            <w:pPr>
              <w:widowControl/>
              <w:jc w:val="center"/>
              <w:rPr>
                <w:rFonts w:ascii="inherit" w:eastAsia="宋体" w:hAnsi="inherit" w:cs="宋体" w:hint="eastAsia"/>
                <w:color w:val="FFFFFF"/>
                <w:kern w:val="0"/>
                <w:sz w:val="24"/>
                <w:szCs w:val="24"/>
              </w:rPr>
            </w:pPr>
            <w:r w:rsidRPr="001E2655">
              <w:rPr>
                <w:rFonts w:ascii="&amp;quot" w:eastAsia="宋体" w:hAnsi="&amp;quot" w:cs="宋体"/>
                <w:color w:val="FFFFFF"/>
                <w:kern w:val="0"/>
                <w:sz w:val="24"/>
                <w:szCs w:val="24"/>
              </w:rPr>
              <w:t xml:space="preserve">FBE 529 </w:t>
            </w:r>
            <w:r w:rsidRPr="001E2655">
              <w:rPr>
                <w:rFonts w:ascii="inherit" w:eastAsia="宋体" w:hAnsi="inherit" w:cs="宋体"/>
                <w:color w:val="FFFFFF"/>
                <w:kern w:val="0"/>
                <w:sz w:val="24"/>
                <w:szCs w:val="24"/>
              </w:rPr>
              <w:br/>
            </w:r>
            <w:r w:rsidR="00C95907">
              <w:rPr>
                <w:rFonts w:ascii="inherit" w:eastAsia="宋体" w:hAnsi="inherit" w:cs="宋体" w:hint="eastAsia"/>
                <w:color w:val="FFFFFF"/>
                <w:kern w:val="0"/>
                <w:sz w:val="24"/>
                <w:szCs w:val="24"/>
              </w:rPr>
              <w:t>金融分析和估值</w:t>
            </w:r>
            <w:r w:rsidRPr="001E2655">
              <w:rPr>
                <w:rFonts w:ascii="inherit" w:eastAsia="宋体" w:hAnsi="inherit" w:cs="宋体"/>
                <w:color w:val="FFFFFF"/>
                <w:kern w:val="0"/>
                <w:sz w:val="24"/>
                <w:szCs w:val="24"/>
              </w:rPr>
              <w:t>(3 units)</w:t>
            </w:r>
          </w:p>
        </w:tc>
        <w:tc>
          <w:tcPr>
            <w:tcW w:w="0" w:type="auto"/>
            <w:vMerge w:val="restart"/>
            <w:tcBorders>
              <w:top w:val="single" w:sz="12" w:space="0" w:color="000000"/>
              <w:left w:val="single" w:sz="12" w:space="0" w:color="000000"/>
              <w:bottom w:val="single" w:sz="12" w:space="0" w:color="000000"/>
              <w:right w:val="single" w:sz="12" w:space="0" w:color="000000"/>
            </w:tcBorders>
            <w:tcMar>
              <w:top w:w="45" w:type="dxa"/>
              <w:left w:w="45" w:type="dxa"/>
              <w:bottom w:w="45" w:type="dxa"/>
              <w:right w:w="45" w:type="dxa"/>
            </w:tcMar>
            <w:vAlign w:val="center"/>
            <w:hideMark/>
          </w:tcPr>
          <w:p w:rsidR="001E2655" w:rsidRDefault="001E2655" w:rsidP="001E2655">
            <w:pPr>
              <w:widowControl/>
              <w:jc w:val="center"/>
              <w:rPr>
                <w:rFonts w:ascii="inherit" w:eastAsia="宋体" w:hAnsi="inherit" w:cs="宋体" w:hint="eastAsia"/>
                <w:color w:val="444444"/>
                <w:kern w:val="0"/>
                <w:sz w:val="24"/>
                <w:szCs w:val="24"/>
              </w:rPr>
            </w:pPr>
            <w:r w:rsidRPr="001E2655">
              <w:rPr>
                <w:rFonts w:ascii="inherit" w:eastAsia="宋体" w:hAnsi="inherit" w:cs="宋体"/>
                <w:color w:val="444444"/>
                <w:kern w:val="0"/>
                <w:sz w:val="24"/>
                <w:szCs w:val="24"/>
              </w:rPr>
              <w:t>Great opportunity to do an internship!</w:t>
            </w:r>
          </w:p>
          <w:p w:rsidR="00C95907" w:rsidRPr="001E2655" w:rsidRDefault="00C95907" w:rsidP="001E2655">
            <w:pPr>
              <w:widowControl/>
              <w:jc w:val="center"/>
              <w:rPr>
                <w:rFonts w:ascii="inherit" w:eastAsia="宋体" w:hAnsi="inherit" w:cs="宋体" w:hint="eastAsia"/>
                <w:color w:val="444444"/>
                <w:kern w:val="0"/>
                <w:sz w:val="24"/>
                <w:szCs w:val="24"/>
              </w:rPr>
            </w:pPr>
            <w:r>
              <w:rPr>
                <w:rFonts w:ascii="inherit" w:eastAsia="宋体" w:hAnsi="inherit" w:cs="宋体" w:hint="eastAsia"/>
                <w:color w:val="444444"/>
                <w:kern w:val="0"/>
                <w:sz w:val="24"/>
                <w:szCs w:val="24"/>
              </w:rPr>
              <w:t>可以实习</w:t>
            </w:r>
          </w:p>
        </w:tc>
        <w:tc>
          <w:tcPr>
            <w:tcW w:w="0" w:type="auto"/>
            <w:tcBorders>
              <w:top w:val="single" w:sz="12" w:space="0" w:color="000000"/>
              <w:left w:val="single" w:sz="12" w:space="0" w:color="000000"/>
              <w:bottom w:val="single" w:sz="12" w:space="0" w:color="000000"/>
              <w:right w:val="single" w:sz="12" w:space="0" w:color="000000"/>
            </w:tcBorders>
            <w:shd w:val="clear" w:color="auto" w:fill="990000"/>
            <w:tcMar>
              <w:top w:w="45" w:type="dxa"/>
              <w:left w:w="45" w:type="dxa"/>
              <w:bottom w:w="45" w:type="dxa"/>
              <w:right w:w="45" w:type="dxa"/>
            </w:tcMar>
            <w:hideMark/>
          </w:tcPr>
          <w:p w:rsidR="001E2655" w:rsidRPr="001E2655" w:rsidRDefault="001E2655" w:rsidP="001E2655">
            <w:pPr>
              <w:widowControl/>
              <w:jc w:val="center"/>
              <w:rPr>
                <w:rFonts w:ascii="inherit" w:eastAsia="宋体" w:hAnsi="inherit" w:cs="宋体" w:hint="eastAsia"/>
                <w:color w:val="FFFFFF"/>
                <w:kern w:val="0"/>
                <w:sz w:val="24"/>
                <w:szCs w:val="24"/>
              </w:rPr>
            </w:pPr>
            <w:r w:rsidRPr="001E2655">
              <w:rPr>
                <w:rFonts w:ascii="&amp;quot" w:eastAsia="宋体" w:hAnsi="&amp;quot" w:cs="宋体"/>
                <w:color w:val="FFFFFF"/>
                <w:kern w:val="0"/>
                <w:sz w:val="24"/>
                <w:szCs w:val="24"/>
              </w:rPr>
              <w:t>FBE 524</w:t>
            </w:r>
            <w:r w:rsidRPr="001E2655">
              <w:rPr>
                <w:rFonts w:ascii="inherit" w:eastAsia="宋体" w:hAnsi="inherit" w:cs="宋体"/>
                <w:color w:val="FFFFFF"/>
                <w:kern w:val="0"/>
                <w:sz w:val="24"/>
                <w:szCs w:val="24"/>
              </w:rPr>
              <w:br/>
            </w:r>
            <w:r w:rsidR="00C95907">
              <w:rPr>
                <w:rFonts w:ascii="inherit" w:eastAsia="宋体" w:hAnsi="inherit" w:cs="宋体" w:hint="eastAsia"/>
                <w:color w:val="FFFFFF"/>
                <w:kern w:val="0"/>
                <w:sz w:val="24"/>
                <w:szCs w:val="24"/>
              </w:rPr>
              <w:t>货币和资本市场</w:t>
            </w:r>
            <w:r w:rsidRPr="001E2655">
              <w:rPr>
                <w:rFonts w:ascii="inherit" w:eastAsia="宋体" w:hAnsi="inherit" w:cs="宋体"/>
                <w:color w:val="FFFFFF"/>
                <w:kern w:val="0"/>
                <w:sz w:val="24"/>
                <w:szCs w:val="24"/>
              </w:rPr>
              <w:t>(3 units)</w:t>
            </w:r>
          </w:p>
        </w:tc>
      </w:tr>
      <w:tr w:rsidR="00C95907" w:rsidRPr="001E2655" w:rsidTr="001E2655">
        <w:tc>
          <w:tcPr>
            <w:tcW w:w="0" w:type="auto"/>
            <w:tcBorders>
              <w:top w:val="single" w:sz="12" w:space="0" w:color="000000"/>
              <w:left w:val="single" w:sz="12" w:space="0" w:color="000000"/>
              <w:bottom w:val="single" w:sz="12" w:space="0" w:color="000000"/>
              <w:right w:val="single" w:sz="12" w:space="0" w:color="000000"/>
            </w:tcBorders>
            <w:shd w:val="clear" w:color="auto" w:fill="990000"/>
            <w:tcMar>
              <w:top w:w="45" w:type="dxa"/>
              <w:left w:w="45" w:type="dxa"/>
              <w:bottom w:w="45" w:type="dxa"/>
              <w:right w:w="45" w:type="dxa"/>
            </w:tcMar>
            <w:hideMark/>
          </w:tcPr>
          <w:p w:rsidR="001E2655" w:rsidRPr="001E2655" w:rsidRDefault="001E2655" w:rsidP="001E2655">
            <w:pPr>
              <w:widowControl/>
              <w:jc w:val="center"/>
              <w:rPr>
                <w:rFonts w:ascii="inherit" w:eastAsia="宋体" w:hAnsi="inherit" w:cs="宋体" w:hint="eastAsia"/>
                <w:color w:val="FFFFFF"/>
                <w:kern w:val="0"/>
                <w:sz w:val="24"/>
                <w:szCs w:val="24"/>
              </w:rPr>
            </w:pPr>
            <w:r w:rsidRPr="001E2655">
              <w:rPr>
                <w:rFonts w:ascii="&amp;quot" w:eastAsia="宋体" w:hAnsi="&amp;quot" w:cs="宋体"/>
                <w:color w:val="FFFFFF"/>
                <w:kern w:val="0"/>
                <w:sz w:val="24"/>
                <w:szCs w:val="24"/>
              </w:rPr>
              <w:t xml:space="preserve">GSBA 511 </w:t>
            </w:r>
            <w:r w:rsidRPr="001E2655">
              <w:rPr>
                <w:rFonts w:ascii="inherit" w:eastAsia="宋体" w:hAnsi="inherit" w:cs="宋体"/>
                <w:color w:val="FFFFFF"/>
                <w:kern w:val="0"/>
                <w:sz w:val="24"/>
                <w:szCs w:val="24"/>
              </w:rPr>
              <w:br/>
            </w:r>
            <w:r w:rsidR="00C95907">
              <w:rPr>
                <w:rFonts w:ascii="inherit" w:eastAsia="宋体" w:hAnsi="inherit" w:cs="宋体" w:hint="eastAsia"/>
                <w:color w:val="FFFFFF"/>
                <w:kern w:val="0"/>
                <w:sz w:val="24"/>
                <w:szCs w:val="24"/>
              </w:rPr>
              <w:t>微观经济学</w:t>
            </w:r>
            <w:r w:rsidRPr="001E2655">
              <w:rPr>
                <w:rFonts w:ascii="inherit" w:eastAsia="宋体" w:hAnsi="inherit" w:cs="宋体"/>
                <w:color w:val="FFFFFF"/>
                <w:kern w:val="0"/>
                <w:sz w:val="24"/>
                <w:szCs w:val="24"/>
              </w:rPr>
              <w:t>(3 units)</w:t>
            </w:r>
          </w:p>
        </w:tc>
        <w:tc>
          <w:tcPr>
            <w:tcW w:w="0" w:type="auto"/>
            <w:tcBorders>
              <w:top w:val="single" w:sz="12" w:space="0" w:color="000000"/>
              <w:left w:val="single" w:sz="12" w:space="0" w:color="000000"/>
              <w:bottom w:val="single" w:sz="12" w:space="0" w:color="000000"/>
              <w:right w:val="single" w:sz="12" w:space="0" w:color="000000"/>
            </w:tcBorders>
            <w:shd w:val="clear" w:color="auto" w:fill="990000"/>
            <w:tcMar>
              <w:top w:w="45" w:type="dxa"/>
              <w:left w:w="45" w:type="dxa"/>
              <w:bottom w:w="45" w:type="dxa"/>
              <w:right w:w="45" w:type="dxa"/>
            </w:tcMar>
            <w:hideMark/>
          </w:tcPr>
          <w:p w:rsidR="001E2655" w:rsidRPr="001E2655" w:rsidRDefault="001E2655" w:rsidP="001E2655">
            <w:pPr>
              <w:widowControl/>
              <w:jc w:val="center"/>
              <w:rPr>
                <w:rFonts w:ascii="inherit" w:eastAsia="宋体" w:hAnsi="inherit" w:cs="宋体" w:hint="eastAsia"/>
                <w:color w:val="FFFFFF"/>
                <w:kern w:val="0"/>
                <w:sz w:val="24"/>
                <w:szCs w:val="24"/>
              </w:rPr>
            </w:pPr>
            <w:r w:rsidRPr="001E2655">
              <w:rPr>
                <w:rFonts w:ascii="&amp;quot" w:eastAsia="宋体" w:hAnsi="&amp;quot" w:cs="宋体"/>
                <w:color w:val="FFFFFF"/>
                <w:kern w:val="0"/>
                <w:sz w:val="24"/>
                <w:szCs w:val="24"/>
              </w:rPr>
              <w:t xml:space="preserve">FBE 543 </w:t>
            </w:r>
            <w:r w:rsidRPr="001E2655">
              <w:rPr>
                <w:rFonts w:ascii="inherit" w:eastAsia="宋体" w:hAnsi="inherit" w:cs="宋体"/>
                <w:color w:val="FFFFFF"/>
                <w:kern w:val="0"/>
                <w:sz w:val="24"/>
                <w:szCs w:val="24"/>
              </w:rPr>
              <w:br/>
            </w:r>
            <w:r w:rsidR="00C95907">
              <w:rPr>
                <w:rFonts w:ascii="inherit" w:eastAsia="宋体" w:hAnsi="inherit" w:cs="宋体" w:hint="eastAsia"/>
                <w:color w:val="FFFFFF"/>
                <w:kern w:val="0"/>
                <w:sz w:val="24"/>
                <w:szCs w:val="24"/>
              </w:rPr>
              <w:t>预测和风险分析</w:t>
            </w:r>
            <w:r w:rsidRPr="001E2655">
              <w:rPr>
                <w:rFonts w:ascii="inherit" w:eastAsia="宋体" w:hAnsi="inherit" w:cs="宋体"/>
                <w:color w:val="FFFFFF"/>
                <w:kern w:val="0"/>
                <w:sz w:val="24"/>
                <w:szCs w:val="24"/>
              </w:rPr>
              <w:t>(3 units)</w:t>
            </w:r>
          </w:p>
        </w:tc>
        <w:tc>
          <w:tcPr>
            <w:tcW w:w="0" w:type="auto"/>
            <w:vMerge/>
            <w:tcBorders>
              <w:top w:val="single" w:sz="12" w:space="0" w:color="000000"/>
              <w:left w:val="single" w:sz="12" w:space="0" w:color="000000"/>
              <w:bottom w:val="single" w:sz="12" w:space="0" w:color="000000"/>
              <w:right w:val="single" w:sz="12" w:space="0" w:color="000000"/>
            </w:tcBorders>
            <w:vAlign w:val="bottom"/>
            <w:hideMark/>
          </w:tcPr>
          <w:p w:rsidR="001E2655" w:rsidRPr="001E2655" w:rsidRDefault="001E2655" w:rsidP="001E2655">
            <w:pPr>
              <w:widowControl/>
              <w:jc w:val="left"/>
              <w:rPr>
                <w:rFonts w:ascii="inherit" w:eastAsia="宋体" w:hAnsi="inherit" w:cs="宋体" w:hint="eastAsia"/>
                <w:color w:val="444444"/>
                <w:kern w:val="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990000"/>
            <w:tcMar>
              <w:top w:w="45" w:type="dxa"/>
              <w:left w:w="45" w:type="dxa"/>
              <w:bottom w:w="45" w:type="dxa"/>
              <w:right w:w="45" w:type="dxa"/>
            </w:tcMar>
            <w:hideMark/>
          </w:tcPr>
          <w:p w:rsidR="001E2655" w:rsidRPr="001E2655" w:rsidRDefault="001E2655" w:rsidP="001E2655">
            <w:pPr>
              <w:widowControl/>
              <w:jc w:val="center"/>
              <w:rPr>
                <w:rFonts w:ascii="inherit" w:eastAsia="宋体" w:hAnsi="inherit" w:cs="宋体" w:hint="eastAsia"/>
                <w:color w:val="FFFFFF"/>
                <w:kern w:val="0"/>
                <w:sz w:val="24"/>
                <w:szCs w:val="24"/>
              </w:rPr>
            </w:pPr>
            <w:r w:rsidRPr="001E2655">
              <w:rPr>
                <w:rFonts w:ascii="&amp;quot" w:eastAsia="宋体" w:hAnsi="&amp;quot" w:cs="宋体"/>
                <w:color w:val="FFFFFF"/>
                <w:kern w:val="0"/>
                <w:sz w:val="24"/>
                <w:szCs w:val="24"/>
              </w:rPr>
              <w:t>FBE 531</w:t>
            </w:r>
            <w:r w:rsidRPr="001E2655">
              <w:rPr>
                <w:rFonts w:ascii="inherit" w:eastAsia="宋体" w:hAnsi="inherit" w:cs="宋体"/>
                <w:color w:val="FFFFFF"/>
                <w:kern w:val="0"/>
                <w:sz w:val="24"/>
                <w:szCs w:val="24"/>
              </w:rPr>
              <w:br/>
            </w:r>
            <w:r w:rsidR="00C95907">
              <w:rPr>
                <w:rFonts w:ascii="inherit" w:eastAsia="宋体" w:hAnsi="inherit" w:cs="宋体" w:hint="eastAsia"/>
                <w:color w:val="FFFFFF"/>
                <w:kern w:val="0"/>
                <w:sz w:val="24"/>
                <w:szCs w:val="24"/>
              </w:rPr>
              <w:t>公司金融政策和公司管理</w:t>
            </w:r>
            <w:r w:rsidRPr="001E2655">
              <w:rPr>
                <w:rFonts w:ascii="inherit" w:eastAsia="宋体" w:hAnsi="inherit" w:cs="宋体"/>
                <w:color w:val="FFFFFF"/>
                <w:kern w:val="0"/>
                <w:sz w:val="24"/>
                <w:szCs w:val="24"/>
              </w:rPr>
              <w:t>(3 units)</w:t>
            </w:r>
          </w:p>
        </w:tc>
      </w:tr>
      <w:tr w:rsidR="00C95907" w:rsidRPr="001E2655" w:rsidTr="001E2655">
        <w:tc>
          <w:tcPr>
            <w:tcW w:w="0" w:type="auto"/>
            <w:tcBorders>
              <w:top w:val="single" w:sz="12" w:space="0" w:color="000000"/>
              <w:left w:val="single" w:sz="12" w:space="0" w:color="000000"/>
              <w:bottom w:val="single" w:sz="12" w:space="0" w:color="000000"/>
              <w:right w:val="single" w:sz="12" w:space="0" w:color="000000"/>
            </w:tcBorders>
            <w:shd w:val="clear" w:color="auto" w:fill="990000"/>
            <w:tcMar>
              <w:top w:w="45" w:type="dxa"/>
              <w:left w:w="45" w:type="dxa"/>
              <w:bottom w:w="45" w:type="dxa"/>
              <w:right w:w="45" w:type="dxa"/>
            </w:tcMar>
            <w:hideMark/>
          </w:tcPr>
          <w:p w:rsidR="00C95907" w:rsidRDefault="001E2655" w:rsidP="00C95907">
            <w:pPr>
              <w:widowControl/>
              <w:jc w:val="center"/>
              <w:rPr>
                <w:rFonts w:ascii="inherit" w:eastAsia="宋体" w:hAnsi="inherit" w:cs="宋体" w:hint="eastAsia"/>
                <w:color w:val="FFFFFF"/>
                <w:kern w:val="0"/>
                <w:sz w:val="24"/>
                <w:szCs w:val="24"/>
              </w:rPr>
            </w:pPr>
            <w:r w:rsidRPr="001E2655">
              <w:rPr>
                <w:rFonts w:ascii="&amp;quot" w:eastAsia="宋体" w:hAnsi="&amp;quot" w:cs="宋体"/>
                <w:color w:val="FFFFFF"/>
                <w:kern w:val="0"/>
                <w:sz w:val="24"/>
                <w:szCs w:val="24"/>
              </w:rPr>
              <w:t>GSBA 548</w:t>
            </w:r>
          </w:p>
          <w:p w:rsidR="001E2655" w:rsidRPr="001E2655" w:rsidRDefault="00C95907" w:rsidP="00C95907">
            <w:pPr>
              <w:widowControl/>
              <w:jc w:val="center"/>
              <w:rPr>
                <w:rFonts w:ascii="inherit" w:eastAsia="宋体" w:hAnsi="inherit" w:cs="宋体" w:hint="eastAsia"/>
                <w:color w:val="FFFFFF"/>
                <w:kern w:val="0"/>
                <w:sz w:val="24"/>
                <w:szCs w:val="24"/>
              </w:rPr>
            </w:pPr>
            <w:r>
              <w:rPr>
                <w:rFonts w:ascii="inherit" w:eastAsia="宋体" w:hAnsi="inherit" w:cs="宋体" w:hint="eastAsia"/>
                <w:color w:val="FFFFFF"/>
                <w:kern w:val="0"/>
                <w:sz w:val="24"/>
                <w:szCs w:val="24"/>
              </w:rPr>
              <w:t>公司金融</w:t>
            </w:r>
            <w:r w:rsidR="001E2655" w:rsidRPr="001E2655">
              <w:rPr>
                <w:rFonts w:ascii="inherit" w:eastAsia="宋体" w:hAnsi="inherit" w:cs="宋体"/>
                <w:color w:val="FFFFFF"/>
                <w:kern w:val="0"/>
                <w:sz w:val="24"/>
                <w:szCs w:val="24"/>
              </w:rPr>
              <w:t>(3 units)</w:t>
            </w:r>
          </w:p>
        </w:tc>
        <w:tc>
          <w:tcPr>
            <w:tcW w:w="0" w:type="auto"/>
            <w:tcBorders>
              <w:top w:val="single" w:sz="12" w:space="0" w:color="000000"/>
              <w:left w:val="single" w:sz="12" w:space="0" w:color="000000"/>
              <w:bottom w:val="single" w:sz="12" w:space="0" w:color="000000"/>
              <w:right w:val="single" w:sz="12" w:space="0" w:color="000000"/>
            </w:tcBorders>
            <w:shd w:val="clear" w:color="auto" w:fill="990000"/>
            <w:tcMar>
              <w:top w:w="45" w:type="dxa"/>
              <w:left w:w="45" w:type="dxa"/>
              <w:bottom w:w="45" w:type="dxa"/>
              <w:right w:w="45" w:type="dxa"/>
            </w:tcMar>
            <w:hideMark/>
          </w:tcPr>
          <w:p w:rsidR="001E2655" w:rsidRPr="001E2655" w:rsidRDefault="001E2655" w:rsidP="001E2655">
            <w:pPr>
              <w:widowControl/>
              <w:jc w:val="center"/>
              <w:rPr>
                <w:rFonts w:ascii="inherit" w:eastAsia="宋体" w:hAnsi="inherit" w:cs="宋体" w:hint="eastAsia"/>
                <w:color w:val="FFFFFF"/>
                <w:kern w:val="0"/>
                <w:sz w:val="24"/>
                <w:szCs w:val="24"/>
              </w:rPr>
            </w:pPr>
            <w:r w:rsidRPr="001E2655">
              <w:rPr>
                <w:rFonts w:ascii="&amp;quot" w:eastAsia="宋体" w:hAnsi="&amp;quot" w:cs="宋体"/>
                <w:color w:val="FFFFFF"/>
                <w:kern w:val="0"/>
                <w:sz w:val="24"/>
                <w:szCs w:val="24"/>
              </w:rPr>
              <w:t>FBE 555</w:t>
            </w:r>
            <w:r w:rsidRPr="001E2655">
              <w:rPr>
                <w:rFonts w:ascii="inherit" w:eastAsia="宋体" w:hAnsi="inherit" w:cs="宋体"/>
                <w:color w:val="FFFFFF"/>
                <w:kern w:val="0"/>
                <w:sz w:val="24"/>
                <w:szCs w:val="24"/>
              </w:rPr>
              <w:br/>
            </w:r>
            <w:r w:rsidR="00C95907">
              <w:rPr>
                <w:rFonts w:ascii="inherit" w:eastAsia="宋体" w:hAnsi="inherit" w:cs="宋体" w:hint="eastAsia"/>
                <w:color w:val="FFFFFF"/>
                <w:kern w:val="0"/>
                <w:sz w:val="24"/>
                <w:szCs w:val="24"/>
              </w:rPr>
              <w:t>投资分析和投资组合</w:t>
            </w:r>
            <w:r w:rsidRPr="001E2655">
              <w:rPr>
                <w:rFonts w:ascii="inherit" w:eastAsia="宋体" w:hAnsi="inherit" w:cs="宋体"/>
                <w:color w:val="FFFFFF"/>
                <w:kern w:val="0"/>
                <w:sz w:val="24"/>
                <w:szCs w:val="24"/>
              </w:rPr>
              <w:t>(3 units)</w:t>
            </w:r>
          </w:p>
        </w:tc>
        <w:tc>
          <w:tcPr>
            <w:tcW w:w="0" w:type="auto"/>
            <w:vMerge/>
            <w:tcBorders>
              <w:top w:val="single" w:sz="12" w:space="0" w:color="000000"/>
              <w:left w:val="single" w:sz="12" w:space="0" w:color="000000"/>
              <w:bottom w:val="single" w:sz="12" w:space="0" w:color="000000"/>
              <w:right w:val="single" w:sz="12" w:space="0" w:color="000000"/>
            </w:tcBorders>
            <w:vAlign w:val="bottom"/>
            <w:hideMark/>
          </w:tcPr>
          <w:p w:rsidR="001E2655" w:rsidRPr="001E2655" w:rsidRDefault="001E2655" w:rsidP="001E2655">
            <w:pPr>
              <w:widowControl/>
              <w:jc w:val="left"/>
              <w:rPr>
                <w:rFonts w:ascii="inherit" w:eastAsia="宋体" w:hAnsi="inherit" w:cs="宋体" w:hint="eastAsia"/>
                <w:color w:val="444444"/>
                <w:kern w:val="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CC00"/>
            <w:tcMar>
              <w:top w:w="45" w:type="dxa"/>
              <w:left w:w="45" w:type="dxa"/>
              <w:bottom w:w="45" w:type="dxa"/>
              <w:right w:w="45" w:type="dxa"/>
            </w:tcMar>
            <w:vAlign w:val="center"/>
            <w:hideMark/>
          </w:tcPr>
          <w:p w:rsidR="001E2655" w:rsidRPr="001E2655" w:rsidRDefault="001E2655" w:rsidP="001E2655">
            <w:pPr>
              <w:widowControl/>
              <w:jc w:val="center"/>
              <w:rPr>
                <w:rFonts w:ascii="inherit" w:eastAsia="宋体" w:hAnsi="inherit" w:cs="宋体" w:hint="eastAsia"/>
                <w:color w:val="000000"/>
                <w:kern w:val="0"/>
                <w:sz w:val="24"/>
                <w:szCs w:val="24"/>
              </w:rPr>
            </w:pPr>
            <w:r w:rsidRPr="001E2655">
              <w:rPr>
                <w:rFonts w:ascii="inherit" w:eastAsia="宋体" w:hAnsi="inherit" w:cs="宋体"/>
                <w:color w:val="000000"/>
                <w:kern w:val="0"/>
                <w:sz w:val="24"/>
                <w:szCs w:val="24"/>
              </w:rPr>
              <w:t>ELECTIVE</w:t>
            </w:r>
            <w:r w:rsidRPr="001E2655">
              <w:rPr>
                <w:rFonts w:ascii="inherit" w:eastAsia="宋体" w:hAnsi="inherit" w:cs="宋体"/>
                <w:color w:val="000000"/>
                <w:kern w:val="0"/>
                <w:sz w:val="24"/>
                <w:szCs w:val="24"/>
              </w:rPr>
              <w:br/>
              <w:t>(3 units)</w:t>
            </w:r>
          </w:p>
        </w:tc>
      </w:tr>
      <w:tr w:rsidR="00C95907" w:rsidRPr="001E2655" w:rsidTr="001E2655">
        <w:tc>
          <w:tcPr>
            <w:tcW w:w="0" w:type="auto"/>
            <w:tcBorders>
              <w:top w:val="single" w:sz="12" w:space="0" w:color="000000"/>
              <w:left w:val="single" w:sz="12" w:space="0" w:color="000000"/>
              <w:bottom w:val="single" w:sz="12" w:space="0" w:color="000000"/>
              <w:right w:val="single" w:sz="12" w:space="0" w:color="000000"/>
            </w:tcBorders>
            <w:shd w:val="clear" w:color="auto" w:fill="990000"/>
            <w:tcMar>
              <w:top w:w="45" w:type="dxa"/>
              <w:left w:w="45" w:type="dxa"/>
              <w:bottom w:w="45" w:type="dxa"/>
              <w:right w:w="45" w:type="dxa"/>
            </w:tcMar>
            <w:hideMark/>
          </w:tcPr>
          <w:p w:rsidR="001E2655" w:rsidRPr="001E2655" w:rsidRDefault="001E2655" w:rsidP="001E2655">
            <w:pPr>
              <w:widowControl/>
              <w:jc w:val="center"/>
              <w:rPr>
                <w:rFonts w:ascii="inherit" w:eastAsia="宋体" w:hAnsi="inherit" w:cs="宋体" w:hint="eastAsia"/>
                <w:color w:val="FFFFFF"/>
                <w:kern w:val="0"/>
                <w:sz w:val="24"/>
                <w:szCs w:val="24"/>
              </w:rPr>
            </w:pPr>
            <w:r w:rsidRPr="001E2655">
              <w:rPr>
                <w:rFonts w:ascii="&amp;quot" w:eastAsia="宋体" w:hAnsi="&amp;quot" w:cs="宋体"/>
                <w:color w:val="FFFFFF"/>
                <w:kern w:val="0"/>
                <w:sz w:val="24"/>
                <w:szCs w:val="24"/>
              </w:rPr>
              <w:t>FBE 506</w:t>
            </w:r>
            <w:r w:rsidRPr="001E2655">
              <w:rPr>
                <w:rFonts w:ascii="inherit" w:eastAsia="宋体" w:hAnsi="inherit" w:cs="宋体"/>
                <w:color w:val="FFFFFF"/>
                <w:kern w:val="0"/>
                <w:sz w:val="24"/>
                <w:szCs w:val="24"/>
              </w:rPr>
              <w:br/>
              <w:t>Quantitative Methods in Finance</w:t>
            </w:r>
            <w:r w:rsidRPr="001E2655">
              <w:rPr>
                <w:rFonts w:ascii="inherit" w:eastAsia="宋体" w:hAnsi="inherit" w:cs="宋体"/>
                <w:color w:val="FFFFFF"/>
                <w:kern w:val="0"/>
                <w:sz w:val="24"/>
                <w:szCs w:val="24"/>
              </w:rPr>
              <w:br/>
              <w:t>(3 units)</w:t>
            </w:r>
          </w:p>
        </w:tc>
        <w:tc>
          <w:tcPr>
            <w:tcW w:w="0" w:type="auto"/>
            <w:tcBorders>
              <w:top w:val="single" w:sz="12" w:space="0" w:color="000000"/>
              <w:left w:val="single" w:sz="12" w:space="0" w:color="000000"/>
              <w:bottom w:val="single" w:sz="12" w:space="0" w:color="000000"/>
              <w:right w:val="single" w:sz="12" w:space="0" w:color="000000"/>
            </w:tcBorders>
            <w:shd w:val="clear" w:color="auto" w:fill="FFCC00"/>
            <w:tcMar>
              <w:top w:w="45" w:type="dxa"/>
              <w:left w:w="45" w:type="dxa"/>
              <w:bottom w:w="45" w:type="dxa"/>
              <w:right w:w="45" w:type="dxa"/>
            </w:tcMar>
            <w:vAlign w:val="center"/>
            <w:hideMark/>
          </w:tcPr>
          <w:p w:rsidR="001E2655" w:rsidRPr="001E2655" w:rsidRDefault="001E2655" w:rsidP="001E2655">
            <w:pPr>
              <w:widowControl/>
              <w:jc w:val="center"/>
              <w:rPr>
                <w:rFonts w:ascii="inherit" w:eastAsia="宋体" w:hAnsi="inherit" w:cs="宋体" w:hint="eastAsia"/>
                <w:color w:val="000000"/>
                <w:kern w:val="0"/>
                <w:sz w:val="24"/>
                <w:szCs w:val="24"/>
              </w:rPr>
            </w:pPr>
            <w:r w:rsidRPr="001E2655">
              <w:rPr>
                <w:rFonts w:ascii="inherit" w:eastAsia="宋体" w:hAnsi="inherit" w:cs="宋体"/>
                <w:color w:val="000000"/>
                <w:kern w:val="0"/>
                <w:sz w:val="24"/>
                <w:szCs w:val="24"/>
              </w:rPr>
              <w:t>ELECTIVE</w:t>
            </w:r>
            <w:r w:rsidRPr="001E2655">
              <w:rPr>
                <w:rFonts w:ascii="inherit" w:eastAsia="宋体" w:hAnsi="inherit" w:cs="宋体"/>
                <w:color w:val="000000"/>
                <w:kern w:val="0"/>
                <w:sz w:val="24"/>
                <w:szCs w:val="24"/>
              </w:rPr>
              <w:br/>
              <w:t>(3 units)</w:t>
            </w:r>
          </w:p>
        </w:tc>
        <w:tc>
          <w:tcPr>
            <w:tcW w:w="0" w:type="auto"/>
            <w:vMerge/>
            <w:tcBorders>
              <w:top w:val="single" w:sz="12" w:space="0" w:color="000000"/>
              <w:left w:val="single" w:sz="12" w:space="0" w:color="000000"/>
              <w:bottom w:val="single" w:sz="12" w:space="0" w:color="000000"/>
              <w:right w:val="single" w:sz="12" w:space="0" w:color="000000"/>
            </w:tcBorders>
            <w:vAlign w:val="bottom"/>
            <w:hideMark/>
          </w:tcPr>
          <w:p w:rsidR="001E2655" w:rsidRPr="001E2655" w:rsidRDefault="001E2655" w:rsidP="001E2655">
            <w:pPr>
              <w:widowControl/>
              <w:jc w:val="left"/>
              <w:rPr>
                <w:rFonts w:ascii="inherit" w:eastAsia="宋体" w:hAnsi="inherit" w:cs="宋体" w:hint="eastAsia"/>
                <w:color w:val="444444"/>
                <w:kern w:val="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CC00"/>
            <w:tcMar>
              <w:top w:w="45" w:type="dxa"/>
              <w:left w:w="45" w:type="dxa"/>
              <w:bottom w:w="45" w:type="dxa"/>
              <w:right w:w="45" w:type="dxa"/>
            </w:tcMar>
            <w:vAlign w:val="center"/>
            <w:hideMark/>
          </w:tcPr>
          <w:p w:rsidR="001E2655" w:rsidRPr="001E2655" w:rsidRDefault="001E2655" w:rsidP="001E2655">
            <w:pPr>
              <w:widowControl/>
              <w:jc w:val="center"/>
              <w:rPr>
                <w:rFonts w:ascii="inherit" w:eastAsia="宋体" w:hAnsi="inherit" w:cs="宋体" w:hint="eastAsia"/>
                <w:color w:val="000000"/>
                <w:kern w:val="0"/>
                <w:sz w:val="24"/>
                <w:szCs w:val="24"/>
              </w:rPr>
            </w:pPr>
            <w:r w:rsidRPr="001E2655">
              <w:rPr>
                <w:rFonts w:ascii="inherit" w:eastAsia="宋体" w:hAnsi="inherit" w:cs="宋体"/>
                <w:color w:val="000000"/>
                <w:kern w:val="0"/>
                <w:sz w:val="24"/>
                <w:szCs w:val="24"/>
              </w:rPr>
              <w:t>ELECTIVE</w:t>
            </w:r>
            <w:r w:rsidRPr="001E2655">
              <w:rPr>
                <w:rFonts w:ascii="inherit" w:eastAsia="宋体" w:hAnsi="inherit" w:cs="宋体"/>
                <w:color w:val="000000"/>
                <w:kern w:val="0"/>
                <w:sz w:val="24"/>
                <w:szCs w:val="24"/>
              </w:rPr>
              <w:br/>
              <w:t>(3 units)</w:t>
            </w:r>
          </w:p>
        </w:tc>
      </w:tr>
      <w:tr w:rsidR="00C95907" w:rsidRPr="001E2655" w:rsidTr="001E2655">
        <w:tc>
          <w:tcPr>
            <w:tcW w:w="0" w:type="auto"/>
            <w:tcBorders>
              <w:top w:val="single" w:sz="12" w:space="0" w:color="000000"/>
              <w:left w:val="single" w:sz="12" w:space="0" w:color="000000"/>
              <w:bottom w:val="single" w:sz="12" w:space="0" w:color="000000"/>
              <w:right w:val="single" w:sz="12" w:space="0" w:color="000000"/>
            </w:tcBorders>
            <w:shd w:val="clear" w:color="auto" w:fill="232323"/>
            <w:tcMar>
              <w:top w:w="45" w:type="dxa"/>
              <w:left w:w="45" w:type="dxa"/>
              <w:bottom w:w="45" w:type="dxa"/>
              <w:right w:w="45" w:type="dxa"/>
            </w:tcMar>
            <w:hideMark/>
          </w:tcPr>
          <w:p w:rsidR="001E2655" w:rsidRPr="001E2655" w:rsidRDefault="001E2655" w:rsidP="001E2655">
            <w:pPr>
              <w:widowControl/>
              <w:jc w:val="center"/>
              <w:rPr>
                <w:rFonts w:ascii="inherit" w:eastAsia="宋体" w:hAnsi="inherit" w:cs="宋体" w:hint="eastAsia"/>
                <w:color w:val="FFFFFF"/>
                <w:kern w:val="0"/>
                <w:sz w:val="24"/>
                <w:szCs w:val="24"/>
              </w:rPr>
            </w:pPr>
            <w:r w:rsidRPr="001E2655">
              <w:rPr>
                <w:rFonts w:ascii="inherit" w:eastAsia="宋体" w:hAnsi="inherit" w:cs="宋体"/>
                <w:color w:val="FFFFFF"/>
                <w:kern w:val="0"/>
                <w:sz w:val="24"/>
                <w:szCs w:val="24"/>
              </w:rPr>
              <w:t>12 units</w:t>
            </w:r>
          </w:p>
        </w:tc>
        <w:tc>
          <w:tcPr>
            <w:tcW w:w="0" w:type="auto"/>
            <w:tcBorders>
              <w:top w:val="single" w:sz="12" w:space="0" w:color="000000"/>
              <w:left w:val="single" w:sz="12" w:space="0" w:color="000000"/>
              <w:bottom w:val="single" w:sz="12" w:space="0" w:color="000000"/>
              <w:right w:val="single" w:sz="12" w:space="0" w:color="000000"/>
            </w:tcBorders>
            <w:shd w:val="clear" w:color="auto" w:fill="232323"/>
            <w:tcMar>
              <w:top w:w="45" w:type="dxa"/>
              <w:left w:w="45" w:type="dxa"/>
              <w:bottom w:w="45" w:type="dxa"/>
              <w:right w:w="45" w:type="dxa"/>
            </w:tcMar>
            <w:hideMark/>
          </w:tcPr>
          <w:p w:rsidR="001E2655" w:rsidRPr="001E2655" w:rsidRDefault="001E2655" w:rsidP="001E2655">
            <w:pPr>
              <w:widowControl/>
              <w:jc w:val="center"/>
              <w:rPr>
                <w:rFonts w:ascii="inherit" w:eastAsia="宋体" w:hAnsi="inherit" w:cs="宋体" w:hint="eastAsia"/>
                <w:color w:val="FFFFFF"/>
                <w:kern w:val="0"/>
                <w:sz w:val="24"/>
                <w:szCs w:val="24"/>
              </w:rPr>
            </w:pPr>
            <w:r w:rsidRPr="001E2655">
              <w:rPr>
                <w:rFonts w:ascii="inherit" w:eastAsia="宋体" w:hAnsi="inherit" w:cs="宋体"/>
                <w:color w:val="FFFFFF"/>
                <w:kern w:val="0"/>
                <w:sz w:val="24"/>
                <w:szCs w:val="24"/>
              </w:rPr>
              <w:t>12 units</w:t>
            </w:r>
          </w:p>
        </w:tc>
        <w:tc>
          <w:tcPr>
            <w:tcW w:w="0" w:type="auto"/>
            <w:tcBorders>
              <w:top w:val="single" w:sz="12" w:space="0" w:color="000000"/>
              <w:left w:val="single" w:sz="12" w:space="0" w:color="000000"/>
              <w:bottom w:val="single" w:sz="12" w:space="0" w:color="000000"/>
              <w:right w:val="single" w:sz="12" w:space="0" w:color="000000"/>
            </w:tcBorders>
            <w:shd w:val="clear" w:color="auto" w:fill="232323"/>
            <w:tcMar>
              <w:top w:w="45" w:type="dxa"/>
              <w:left w:w="45" w:type="dxa"/>
              <w:bottom w:w="45" w:type="dxa"/>
              <w:right w:w="45" w:type="dxa"/>
            </w:tcMar>
            <w:hideMark/>
          </w:tcPr>
          <w:p w:rsidR="001E2655" w:rsidRPr="001E2655" w:rsidRDefault="001E2655" w:rsidP="001E2655">
            <w:pPr>
              <w:widowControl/>
              <w:jc w:val="center"/>
              <w:rPr>
                <w:rFonts w:ascii="inherit" w:eastAsia="宋体" w:hAnsi="inherit" w:cs="宋体" w:hint="eastAsia"/>
                <w:color w:val="FFFFFF"/>
                <w:kern w:val="0"/>
                <w:sz w:val="24"/>
                <w:szCs w:val="24"/>
              </w:rPr>
            </w:pPr>
            <w:r w:rsidRPr="001E2655">
              <w:rPr>
                <w:rFonts w:ascii="inherit" w:eastAsia="宋体" w:hAnsi="inherit" w:cs="宋体"/>
                <w:color w:val="FFFFFF"/>
                <w:kern w:val="0"/>
                <w:sz w:val="24"/>
                <w:szCs w:val="24"/>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232323"/>
            <w:tcMar>
              <w:top w:w="45" w:type="dxa"/>
              <w:left w:w="45" w:type="dxa"/>
              <w:bottom w:w="45" w:type="dxa"/>
              <w:right w:w="45" w:type="dxa"/>
            </w:tcMar>
            <w:hideMark/>
          </w:tcPr>
          <w:p w:rsidR="001E2655" w:rsidRPr="001E2655" w:rsidRDefault="001E2655" w:rsidP="001E2655">
            <w:pPr>
              <w:widowControl/>
              <w:jc w:val="center"/>
              <w:rPr>
                <w:rFonts w:ascii="inherit" w:eastAsia="宋体" w:hAnsi="inherit" w:cs="宋体" w:hint="eastAsia"/>
                <w:color w:val="FFFFFF"/>
                <w:kern w:val="0"/>
                <w:sz w:val="24"/>
                <w:szCs w:val="24"/>
              </w:rPr>
            </w:pPr>
            <w:r w:rsidRPr="001E2655">
              <w:rPr>
                <w:rFonts w:ascii="inherit" w:eastAsia="宋体" w:hAnsi="inherit" w:cs="宋体"/>
                <w:color w:val="FFFFFF"/>
                <w:kern w:val="0"/>
                <w:sz w:val="24"/>
                <w:szCs w:val="24"/>
              </w:rPr>
              <w:t>12 units</w:t>
            </w:r>
          </w:p>
        </w:tc>
      </w:tr>
    </w:tbl>
    <w:p w:rsidR="001E2655" w:rsidRDefault="001E2655" w:rsidP="001E2655"/>
    <w:p w:rsidR="001E2655" w:rsidRDefault="001E2655" w:rsidP="001E2655">
      <w:r>
        <w:rPr>
          <w:noProof/>
        </w:rPr>
        <w:drawing>
          <wp:inline distT="0" distB="0" distL="0" distR="0" wp14:anchorId="4B8E0073" wp14:editId="0093A041">
            <wp:extent cx="2562225" cy="28098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225" cy="2809875"/>
                    </a:xfrm>
                    <a:prstGeom prst="rect">
                      <a:avLst/>
                    </a:prstGeom>
                  </pic:spPr>
                </pic:pic>
              </a:graphicData>
            </a:graphic>
          </wp:inline>
        </w:drawing>
      </w:r>
    </w:p>
    <w:p w:rsidR="00977106" w:rsidRDefault="00977106" w:rsidP="001E2655"/>
    <w:p w:rsidR="00977106" w:rsidRDefault="00977106" w:rsidP="00977106">
      <w:r>
        <w:rPr>
          <w:noProof/>
        </w:rPr>
        <w:drawing>
          <wp:inline distT="0" distB="0" distL="0" distR="0" wp14:anchorId="0B104F7E" wp14:editId="0BC64328">
            <wp:extent cx="5274310" cy="21463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4630"/>
                    </a:xfrm>
                    <a:prstGeom prst="rect">
                      <a:avLst/>
                    </a:prstGeom>
                  </pic:spPr>
                </pic:pic>
              </a:graphicData>
            </a:graphic>
          </wp:inline>
        </w:drawing>
      </w:r>
    </w:p>
    <w:p w:rsidR="00977106" w:rsidRDefault="00977106" w:rsidP="00977106"/>
    <w:p w:rsidR="00977106" w:rsidRDefault="00977106" w:rsidP="00977106">
      <w:r w:rsidRPr="009F6695">
        <w:rPr>
          <w:noProof/>
        </w:rPr>
        <w:lastRenderedPageBreak/>
        <w:drawing>
          <wp:inline distT="0" distB="0" distL="0" distR="0" wp14:anchorId="500B19B7" wp14:editId="54E6668F">
            <wp:extent cx="2532902" cy="3105150"/>
            <wp:effectExtent l="0" t="0" r="1270" b="0"/>
            <wp:docPr id="21" name="图片 21" descr="C:\Users\zj123\AppData\Local\Temp\WeChat Files\120028470327081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j123\AppData\Local\Temp\WeChat Files\12002847032708180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6837" cy="3109974"/>
                    </a:xfrm>
                    <a:prstGeom prst="rect">
                      <a:avLst/>
                    </a:prstGeom>
                    <a:noFill/>
                    <a:ln>
                      <a:noFill/>
                    </a:ln>
                  </pic:spPr>
                </pic:pic>
              </a:graphicData>
            </a:graphic>
          </wp:inline>
        </w:drawing>
      </w:r>
    </w:p>
    <w:p w:rsidR="00977106" w:rsidRDefault="00977106" w:rsidP="001E2655"/>
    <w:p w:rsidR="00977106" w:rsidRDefault="00977106" w:rsidP="001E2655"/>
    <w:p w:rsidR="00977106" w:rsidRDefault="00977106" w:rsidP="001E2655">
      <w:r>
        <w:rPr>
          <w:noProof/>
        </w:rPr>
        <w:drawing>
          <wp:inline distT="0" distB="0" distL="0" distR="0" wp14:anchorId="0152129F" wp14:editId="2EEB17D0">
            <wp:extent cx="5274310" cy="26416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4160"/>
                    </a:xfrm>
                    <a:prstGeom prst="rect">
                      <a:avLst/>
                    </a:prstGeom>
                  </pic:spPr>
                </pic:pic>
              </a:graphicData>
            </a:graphic>
          </wp:inline>
        </w:drawing>
      </w:r>
    </w:p>
    <w:p w:rsidR="00977106" w:rsidRDefault="00977106" w:rsidP="00977106">
      <w:r>
        <w:rPr>
          <w:rFonts w:hint="eastAsia"/>
        </w:rPr>
        <w:t>这个为期一年的全日制项目为你的入门和中级金融职位做了充分的准备，如风险管理、资产和财富管理、房地产管理和预测。一些长期的职业道路包括首席财务官、首席风险官以及银行、资产管理公司和投资基金的投资组合经理。</w:t>
      </w:r>
    </w:p>
    <w:p w:rsidR="00977106" w:rsidRDefault="00977106" w:rsidP="00977106">
      <w:proofErr w:type="spellStart"/>
      <w:r>
        <w:t>MFin</w:t>
      </w:r>
      <w:proofErr w:type="spellEnd"/>
      <w:r>
        <w:t>项目是美国国务院指定的，在毕业后允许长达36个月的选择性实践培训(OPT)。这一较长的期限对有意为国际学生提供移民担保的公司尤其有吸引力。</w:t>
      </w:r>
    </w:p>
    <w:p w:rsidR="00977106" w:rsidRDefault="00977106" w:rsidP="00977106"/>
    <w:p w:rsidR="00977106" w:rsidRDefault="00977106" w:rsidP="00977106">
      <w:r>
        <w:rPr>
          <w:noProof/>
        </w:rPr>
        <w:drawing>
          <wp:inline distT="0" distB="0" distL="0" distR="0" wp14:anchorId="222780B3" wp14:editId="41CE6901">
            <wp:extent cx="5274310" cy="33312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31210"/>
                    </a:xfrm>
                    <a:prstGeom prst="rect">
                      <a:avLst/>
                    </a:prstGeom>
                  </pic:spPr>
                </pic:pic>
              </a:graphicData>
            </a:graphic>
          </wp:inline>
        </w:drawing>
      </w:r>
    </w:p>
    <w:p w:rsidR="00977106" w:rsidRDefault="00977106" w:rsidP="00977106">
      <w:r>
        <w:rPr>
          <w:noProof/>
        </w:rPr>
        <w:lastRenderedPageBreak/>
        <w:drawing>
          <wp:inline distT="0" distB="0" distL="0" distR="0" wp14:anchorId="32561812" wp14:editId="37B55EA2">
            <wp:extent cx="3581400" cy="4248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1400" cy="4248150"/>
                    </a:xfrm>
                    <a:prstGeom prst="rect">
                      <a:avLst/>
                    </a:prstGeom>
                  </pic:spPr>
                </pic:pic>
              </a:graphicData>
            </a:graphic>
          </wp:inline>
        </w:drawing>
      </w:r>
    </w:p>
    <w:p w:rsidR="00977106" w:rsidRDefault="00977106" w:rsidP="00977106"/>
    <w:p w:rsidR="00977106" w:rsidRDefault="00977106" w:rsidP="00977106"/>
    <w:p w:rsidR="00FB3E0B" w:rsidRDefault="00FB3E0B" w:rsidP="00977106">
      <w:r>
        <w:rPr>
          <w:noProof/>
        </w:rPr>
        <w:drawing>
          <wp:inline distT="0" distB="0" distL="0" distR="0" wp14:anchorId="0AD577BE" wp14:editId="63EFB293">
            <wp:extent cx="5274310" cy="2152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5265"/>
                    </a:xfrm>
                    <a:prstGeom prst="rect">
                      <a:avLst/>
                    </a:prstGeom>
                  </pic:spPr>
                </pic:pic>
              </a:graphicData>
            </a:graphic>
          </wp:inline>
        </w:drawing>
      </w:r>
    </w:p>
    <w:p w:rsidR="00FB3E0B" w:rsidRDefault="00FB3E0B" w:rsidP="00FB3E0B">
      <w:r>
        <w:rPr>
          <w:rFonts w:hint="eastAsia"/>
        </w:rPr>
        <w:t>雷迪学院的独特地位，提供金融硕士，强调定量方法，实证工作和金融计量经济学。</w:t>
      </w:r>
    </w:p>
    <w:p w:rsidR="00FB3E0B" w:rsidRDefault="00FB3E0B" w:rsidP="00FB3E0B"/>
    <w:p w:rsidR="00FB3E0B" w:rsidRDefault="00FB3E0B" w:rsidP="00FB3E0B">
      <w:r>
        <w:rPr>
          <w:rFonts w:hint="eastAsia"/>
        </w:rPr>
        <w:t>加州大学圣地亚哥分校在实证和理论计量经济学方面有着丰富的传统。一些最广泛使用的经验模型是从加州大学圣地亚哥分校的研究中发展而来的。</w:t>
      </w:r>
    </w:p>
    <w:p w:rsidR="00FB3E0B" w:rsidRDefault="00FB3E0B" w:rsidP="00FB3E0B"/>
    <w:p w:rsidR="00FB3E0B" w:rsidRDefault="00FB3E0B" w:rsidP="00FB3E0B">
      <w:r>
        <w:rPr>
          <w:rFonts w:hint="eastAsia"/>
        </w:rPr>
        <w:t>雷迪商学院强调严格的实证数据驱动方法，这使其金融硕士课程有别于金融工程课程。</w:t>
      </w:r>
    </w:p>
    <w:p w:rsidR="00FB3E0B" w:rsidRDefault="00FB3E0B" w:rsidP="00FB3E0B"/>
    <w:p w:rsidR="00FB3E0B" w:rsidRDefault="00FB3E0B" w:rsidP="00FB3E0B">
      <w:r w:rsidRPr="00FB3E0B">
        <w:rPr>
          <w:noProof/>
        </w:rPr>
        <w:lastRenderedPageBreak/>
        <w:drawing>
          <wp:inline distT="0" distB="0" distL="0" distR="0">
            <wp:extent cx="3351493" cy="3981450"/>
            <wp:effectExtent l="0" t="0" r="1905" b="0"/>
            <wp:docPr id="26" name="图片 26" descr="C:\Users\zj123\AppData\Local\Temp\WeChat Files\641617086091466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j123\AppData\Local\Temp\WeChat Files\64161708609146641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55775" cy="3986537"/>
                    </a:xfrm>
                    <a:prstGeom prst="rect">
                      <a:avLst/>
                    </a:prstGeom>
                    <a:noFill/>
                    <a:ln>
                      <a:noFill/>
                    </a:ln>
                  </pic:spPr>
                </pic:pic>
              </a:graphicData>
            </a:graphic>
          </wp:inline>
        </w:drawing>
      </w:r>
    </w:p>
    <w:p w:rsidR="00FB3E0B" w:rsidRDefault="00FB3E0B" w:rsidP="00FB3E0B"/>
    <w:p w:rsidR="00FB3E0B" w:rsidRDefault="00FB3E0B" w:rsidP="00FB3E0B"/>
    <w:p w:rsidR="00FB3E0B" w:rsidRDefault="001773AE" w:rsidP="00FB3E0B">
      <w:r>
        <w:rPr>
          <w:noProof/>
        </w:rPr>
        <w:drawing>
          <wp:inline distT="0" distB="0" distL="0" distR="0" wp14:anchorId="2F48F672" wp14:editId="1FC134EA">
            <wp:extent cx="5274310" cy="24003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0030"/>
                    </a:xfrm>
                    <a:prstGeom prst="rect">
                      <a:avLst/>
                    </a:prstGeom>
                  </pic:spPr>
                </pic:pic>
              </a:graphicData>
            </a:graphic>
          </wp:inline>
        </w:drawing>
      </w:r>
    </w:p>
    <w:p w:rsidR="001773AE" w:rsidRDefault="001773AE" w:rsidP="001773AE">
      <w:r>
        <w:rPr>
          <w:rFonts w:hint="eastAsia"/>
        </w:rPr>
        <w:t>布兰代斯的优势</w:t>
      </w:r>
    </w:p>
    <w:p w:rsidR="001773AE" w:rsidRDefault="001773AE" w:rsidP="001773AE">
      <w:r>
        <w:rPr>
          <w:rFonts w:hint="eastAsia"/>
        </w:rPr>
        <w:t>被《美国新闻与世界报道》评为美国最好的大学之一。位于金融、技术和创新的多元文化中心波士顿附近。</w:t>
      </w:r>
    </w:p>
    <w:p w:rsidR="001773AE" w:rsidRDefault="001773AE" w:rsidP="001773AE">
      <w:r>
        <w:rPr>
          <w:rFonts w:hint="eastAsia"/>
        </w:rPr>
        <w:t>打造全球金融专家</w:t>
      </w:r>
    </w:p>
    <w:p w:rsidR="001773AE" w:rsidRDefault="001773AE" w:rsidP="001773AE">
      <w:r>
        <w:rPr>
          <w:rFonts w:hint="eastAsia"/>
        </w:rPr>
        <w:t>在金融建模和统计分析方面的专业知识，以影响主要金融机构和公司的决策。特许金融分析师协会和全球风险专业人士协会</w:t>
      </w:r>
      <w:r>
        <w:t>(GARP)的合作伙伴计划。</w:t>
      </w:r>
    </w:p>
    <w:p w:rsidR="001773AE" w:rsidRDefault="001773AE" w:rsidP="001773AE">
      <w:r>
        <w:rPr>
          <w:rFonts w:hint="eastAsia"/>
        </w:rPr>
        <w:t>多个职业的可能性</w:t>
      </w:r>
    </w:p>
    <w:p w:rsidR="001773AE" w:rsidRDefault="001773AE" w:rsidP="001773AE">
      <w:r>
        <w:rPr>
          <w:rFonts w:hint="eastAsia"/>
        </w:rPr>
        <w:t>在风险管理、转移定价和估值、资产管理和公司财务方面的职业实践技能。</w:t>
      </w:r>
    </w:p>
    <w:p w:rsidR="001773AE" w:rsidRDefault="001773AE" w:rsidP="001773AE">
      <w:r>
        <w:rPr>
          <w:rFonts w:hint="eastAsia"/>
        </w:rPr>
        <w:t>现实世界的经验</w:t>
      </w:r>
    </w:p>
    <w:p w:rsidR="001773AE" w:rsidRDefault="001773AE" w:rsidP="001773AE">
      <w:r>
        <w:rPr>
          <w:rFonts w:hint="eastAsia"/>
        </w:rPr>
        <w:t>在我们的彭博实验室，公司实习，咨询项目和教师指导的研究项目中动手实践，定量技能。</w:t>
      </w:r>
    </w:p>
    <w:p w:rsidR="001773AE" w:rsidRDefault="001773AE" w:rsidP="001773AE">
      <w:r>
        <w:t>STEM-designated</w:t>
      </w:r>
    </w:p>
    <w:p w:rsidR="001773AE" w:rsidRDefault="001773AE" w:rsidP="001773AE">
      <w:r>
        <w:rPr>
          <w:rFonts w:hint="eastAsia"/>
        </w:rPr>
        <w:t>参加一个可以让国际学生将</w:t>
      </w:r>
      <w:r>
        <w:t>12个月的研究生实习经验延长24个月的项目。学习更多的知识。</w:t>
      </w:r>
    </w:p>
    <w:p w:rsidR="001773AE" w:rsidRDefault="001773AE" w:rsidP="001773AE">
      <w:r w:rsidRPr="001773AE">
        <w:rPr>
          <w:highlight w:val="yellow"/>
        </w:rPr>
        <w:t>16个月，双学位和兼职课程</w:t>
      </w:r>
    </w:p>
    <w:p w:rsidR="001773AE" w:rsidRDefault="001773AE" w:rsidP="001773AE">
      <w:r>
        <w:rPr>
          <w:rFonts w:hint="eastAsia"/>
        </w:rPr>
        <w:t>三种选择基于学术背景。申请人不需要有工作经验。</w:t>
      </w:r>
    </w:p>
    <w:p w:rsidR="001773AE" w:rsidRDefault="001773AE" w:rsidP="001773AE">
      <w:r>
        <w:rPr>
          <w:rFonts w:hint="eastAsia"/>
        </w:rPr>
        <w:t>著名的教授</w:t>
      </w:r>
    </w:p>
    <w:p w:rsidR="001773AE" w:rsidRDefault="001773AE" w:rsidP="001773AE">
      <w:r>
        <w:rPr>
          <w:rFonts w:hint="eastAsia"/>
        </w:rPr>
        <w:t>不寻常地接触到学术研究领域的领导专家和</w:t>
      </w:r>
      <w:r>
        <w:t>/或经验丰富的金融专业人士。</w:t>
      </w:r>
    </w:p>
    <w:p w:rsidR="001773AE" w:rsidRDefault="001773AE" w:rsidP="001773AE">
      <w:r>
        <w:rPr>
          <w:rFonts w:hint="eastAsia"/>
        </w:rPr>
        <w:t>奖学金</w:t>
      </w:r>
    </w:p>
    <w:p w:rsidR="001773AE" w:rsidRDefault="001773AE" w:rsidP="001773AE">
      <w:r>
        <w:rPr>
          <w:rFonts w:hint="eastAsia"/>
        </w:rPr>
        <w:t>所有被录取的学生都可以获得部分和全额奖学金。</w:t>
      </w:r>
    </w:p>
    <w:p w:rsidR="001773AE" w:rsidRDefault="001773AE" w:rsidP="001773AE">
      <w:r>
        <w:rPr>
          <w:rFonts w:hint="eastAsia"/>
        </w:rPr>
        <w:lastRenderedPageBreak/>
        <w:t>一个紧密的社区</w:t>
      </w:r>
    </w:p>
    <w:p w:rsidR="001773AE" w:rsidRDefault="001773AE" w:rsidP="001773AE">
      <w:r>
        <w:rPr>
          <w:rFonts w:hint="eastAsia"/>
        </w:rPr>
        <w:t>了解我们多元文化和互助的校园环境。</w:t>
      </w:r>
    </w:p>
    <w:p w:rsidR="001773AE" w:rsidRDefault="001773AE" w:rsidP="001773AE"/>
    <w:p w:rsidR="001773AE" w:rsidRDefault="001773AE" w:rsidP="001773AE">
      <w:r w:rsidRPr="001773AE">
        <w:rPr>
          <w:noProof/>
        </w:rPr>
        <w:drawing>
          <wp:inline distT="0" distB="0" distL="0" distR="0">
            <wp:extent cx="3136392" cy="2733675"/>
            <wp:effectExtent l="0" t="0" r="6985" b="0"/>
            <wp:docPr id="28" name="图片 28" descr="C:\Users\zj123\AppData\Local\Temp\WeChat Files\563276590429448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j123\AppData\Local\Temp\WeChat Files\56327659042944867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39794" cy="2736640"/>
                    </a:xfrm>
                    <a:prstGeom prst="rect">
                      <a:avLst/>
                    </a:prstGeom>
                    <a:noFill/>
                    <a:ln>
                      <a:noFill/>
                    </a:ln>
                  </pic:spPr>
                </pic:pic>
              </a:graphicData>
            </a:graphic>
          </wp:inline>
        </w:drawing>
      </w:r>
    </w:p>
    <w:p w:rsidR="001773AE" w:rsidRDefault="001773AE" w:rsidP="001773AE"/>
    <w:p w:rsidR="001773AE" w:rsidRDefault="001773AE" w:rsidP="001773AE"/>
    <w:p w:rsidR="001773AE" w:rsidRDefault="001773AE" w:rsidP="001773AE">
      <w:r>
        <w:rPr>
          <w:noProof/>
        </w:rPr>
        <w:drawing>
          <wp:inline distT="0" distB="0" distL="0" distR="0" wp14:anchorId="130337E9" wp14:editId="1BB251E9">
            <wp:extent cx="5274310" cy="2381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8125"/>
                    </a:xfrm>
                    <a:prstGeom prst="rect">
                      <a:avLst/>
                    </a:prstGeom>
                  </pic:spPr>
                </pic:pic>
              </a:graphicData>
            </a:graphic>
          </wp:inline>
        </w:drawing>
      </w:r>
    </w:p>
    <w:p w:rsidR="001773AE" w:rsidRDefault="001773AE" w:rsidP="001773AE">
      <w:r w:rsidRPr="001773AE">
        <w:rPr>
          <w:noProof/>
        </w:rPr>
        <w:drawing>
          <wp:inline distT="0" distB="0" distL="0" distR="0">
            <wp:extent cx="3473164" cy="3495675"/>
            <wp:effectExtent l="0" t="0" r="0" b="0"/>
            <wp:docPr id="30" name="图片 30" descr="C:\Users\zj123\AppData\Local\Temp\WeChat Files\2746555756971948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j123\AppData\Local\Temp\WeChat Files\274655575697194894.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76843" cy="3499378"/>
                    </a:xfrm>
                    <a:prstGeom prst="rect">
                      <a:avLst/>
                    </a:prstGeom>
                    <a:noFill/>
                    <a:ln>
                      <a:noFill/>
                    </a:ln>
                  </pic:spPr>
                </pic:pic>
              </a:graphicData>
            </a:graphic>
          </wp:inline>
        </w:drawing>
      </w:r>
    </w:p>
    <w:p w:rsidR="001773AE" w:rsidRDefault="001773AE" w:rsidP="001773AE"/>
    <w:p w:rsidR="001773AE" w:rsidRDefault="001773AE" w:rsidP="001773AE"/>
    <w:p w:rsidR="001773AE" w:rsidRDefault="001773AE" w:rsidP="001773AE">
      <w:r>
        <w:rPr>
          <w:noProof/>
        </w:rPr>
        <w:drawing>
          <wp:inline distT="0" distB="0" distL="0" distR="0" wp14:anchorId="16C946DD" wp14:editId="550EE789">
            <wp:extent cx="5274310" cy="2444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4475"/>
                    </a:xfrm>
                    <a:prstGeom prst="rect">
                      <a:avLst/>
                    </a:prstGeom>
                  </pic:spPr>
                </pic:pic>
              </a:graphicData>
            </a:graphic>
          </wp:inline>
        </w:drawing>
      </w:r>
    </w:p>
    <w:p w:rsidR="001773AE" w:rsidRDefault="001773AE" w:rsidP="001773AE"/>
    <w:p w:rsidR="001773AE" w:rsidRDefault="001773AE" w:rsidP="001773AE">
      <w:r>
        <w:rPr>
          <w:rFonts w:hint="eastAsia"/>
        </w:rPr>
        <w:lastRenderedPageBreak/>
        <w:t>在最短的</w:t>
      </w:r>
      <w:r>
        <w:t>9个月内完成MSM-Finance学位课程，或者待更长的时间*</w:t>
      </w:r>
    </w:p>
    <w:p w:rsidR="001773AE" w:rsidRDefault="001773AE" w:rsidP="001773AE">
      <w:r>
        <w:rPr>
          <w:rFonts w:hint="eastAsia"/>
        </w:rPr>
        <w:t>完成</w:t>
      </w:r>
      <w:proofErr w:type="spellStart"/>
      <w:r>
        <w:t>msm</w:t>
      </w:r>
      <w:proofErr w:type="spellEnd"/>
      <w:r>
        <w:t xml:space="preserve"> -金融学位的30学分在两个学期，或</w:t>
      </w:r>
    </w:p>
    <w:p w:rsidR="001773AE" w:rsidRDefault="001773AE" w:rsidP="001773AE">
      <w:r>
        <w:rPr>
          <w:rFonts w:hint="eastAsia"/>
        </w:rPr>
        <w:t>通过适当的附加选修课，学习两年以上的课程，并获得部门认证，完成</w:t>
      </w:r>
      <w:r>
        <w:t>39个学分。你也可以在这段时间申请暑期实习机会，机会是有竞争力的。</w:t>
      </w:r>
    </w:p>
    <w:p w:rsidR="001773AE" w:rsidRDefault="001773AE" w:rsidP="001773AE">
      <w:r>
        <w:rPr>
          <w:rFonts w:hint="eastAsia"/>
        </w:rPr>
        <w:t>在完成你的本科学位后直接进入我们的硕士课程</w:t>
      </w:r>
      <w:r>
        <w:t>:不需要工作经验。典型的本科专业包括商科、经济学、物理、会计学、工程学和数学。</w:t>
      </w:r>
    </w:p>
    <w:p w:rsidR="001773AE" w:rsidRDefault="001773AE" w:rsidP="001773AE">
      <w:r>
        <w:rPr>
          <w:rFonts w:hint="eastAsia"/>
        </w:rPr>
        <w:t>查看以下</w:t>
      </w:r>
      <w:proofErr w:type="spellStart"/>
      <w:r>
        <w:t>msm</w:t>
      </w:r>
      <w:proofErr w:type="spellEnd"/>
      <w:r>
        <w:t xml:space="preserve"> -金融学位课程:</w:t>
      </w:r>
    </w:p>
    <w:p w:rsidR="001773AE" w:rsidRDefault="001773AE" w:rsidP="001773AE">
      <w:r>
        <w:rPr>
          <w:rFonts w:hint="eastAsia"/>
        </w:rPr>
        <w:t>核心课程</w:t>
      </w:r>
    </w:p>
    <w:p w:rsidR="001773AE" w:rsidRDefault="001773AE" w:rsidP="001773AE">
      <w:r>
        <w:rPr>
          <w:rFonts w:hint="eastAsia"/>
        </w:rPr>
        <w:t>这些核心课程为学生提供工具和技术，为在金融领域的职业生涯打下坚实的基础。</w:t>
      </w:r>
    </w:p>
    <w:p w:rsidR="001773AE" w:rsidRDefault="001773AE" w:rsidP="001773AE">
      <w:r>
        <w:t>MSFI 401 -财务导向</w:t>
      </w:r>
    </w:p>
    <w:p w:rsidR="001773AE" w:rsidRDefault="001773AE" w:rsidP="001773AE">
      <w:r>
        <w:t>MSFI 404 -财务建模</w:t>
      </w:r>
    </w:p>
    <w:p w:rsidR="001773AE" w:rsidRDefault="001773AE" w:rsidP="001773AE">
      <w:r>
        <w:t>MSFI 421 -企业财务分析</w:t>
      </w:r>
    </w:p>
    <w:p w:rsidR="001773AE" w:rsidRDefault="001773AE" w:rsidP="001773AE">
      <w:r>
        <w:t>MSFI 429 -投资管理</w:t>
      </w:r>
    </w:p>
    <w:p w:rsidR="001773AE" w:rsidRDefault="001773AE" w:rsidP="001773AE">
      <w:r>
        <w:rPr>
          <w:rFonts w:hint="eastAsia"/>
        </w:rPr>
        <w:t>金融衍生品和风险管理</w:t>
      </w:r>
    </w:p>
    <w:p w:rsidR="001773AE" w:rsidRDefault="001773AE" w:rsidP="001773AE">
      <w:r>
        <w:t>MSFI 435 -经验金融</w:t>
      </w:r>
    </w:p>
    <w:p w:rsidR="001773AE" w:rsidRDefault="001773AE" w:rsidP="001773AE">
      <w:r>
        <w:t>MSFI 436 -个人、团队与职业发展</w:t>
      </w:r>
    </w:p>
    <w:p w:rsidR="001773AE" w:rsidRDefault="001773AE" w:rsidP="001773AE">
      <w:r>
        <w:rPr>
          <w:rFonts w:hint="eastAsia"/>
        </w:rPr>
        <w:t>参加为期两学期的核心课程——个人、团队和职业发展——的学生在公司高管和潜在雇主的监督下，使用大数据完成现实世界的任务。通过在课堂上利用高管们丰富的行业经验和金融知识，学生们可以在无形资产估值、信用评分和固定收益对冲等领域获得实际经验。由行业高</w:t>
      </w:r>
      <w:proofErr w:type="gramStart"/>
      <w:r>
        <w:rPr>
          <w:rFonts w:hint="eastAsia"/>
        </w:rPr>
        <w:t>管举办</w:t>
      </w:r>
      <w:proofErr w:type="gramEnd"/>
      <w:r>
        <w:rPr>
          <w:rFonts w:hint="eastAsia"/>
        </w:rPr>
        <w:t>的企业研讨会使学生能够与私人股本、房地产投资信托、金融分析等领域的高管进行交流和学习。国际学生还可以参加金融定制的英语口语课程，以加强他们的沟通和表达技能。</w:t>
      </w:r>
    </w:p>
    <w:p w:rsidR="006A436E" w:rsidRDefault="006A436E" w:rsidP="001773AE"/>
    <w:p w:rsidR="006A436E" w:rsidRDefault="006A436E" w:rsidP="001773AE">
      <w:r>
        <w:rPr>
          <w:rFonts w:hint="eastAsia"/>
        </w:rPr>
        <w:t>选修课</w:t>
      </w:r>
    </w:p>
    <w:p w:rsidR="006A436E" w:rsidRDefault="006A436E" w:rsidP="001773AE">
      <w:r>
        <w:rPr>
          <w:noProof/>
        </w:rPr>
        <w:drawing>
          <wp:inline distT="0" distB="0" distL="0" distR="0" wp14:anchorId="45E16651" wp14:editId="18FEC8D5">
            <wp:extent cx="5274310" cy="344551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445510"/>
                    </a:xfrm>
                    <a:prstGeom prst="rect">
                      <a:avLst/>
                    </a:prstGeom>
                  </pic:spPr>
                </pic:pic>
              </a:graphicData>
            </a:graphic>
          </wp:inline>
        </w:drawing>
      </w:r>
    </w:p>
    <w:p w:rsidR="006A436E" w:rsidRDefault="006A436E" w:rsidP="001773AE"/>
    <w:p w:rsidR="006A436E" w:rsidRDefault="006A436E" w:rsidP="001773AE"/>
    <w:p w:rsidR="006A436E" w:rsidRDefault="006A436E" w:rsidP="001773AE">
      <w:r>
        <w:rPr>
          <w:noProof/>
        </w:rPr>
        <w:lastRenderedPageBreak/>
        <w:drawing>
          <wp:inline distT="0" distB="0" distL="0" distR="0" wp14:anchorId="2F378D9F" wp14:editId="09EB9401">
            <wp:extent cx="5274310" cy="3378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37820"/>
                    </a:xfrm>
                    <a:prstGeom prst="rect">
                      <a:avLst/>
                    </a:prstGeom>
                  </pic:spPr>
                </pic:pic>
              </a:graphicData>
            </a:graphic>
          </wp:inline>
        </w:drawing>
      </w:r>
    </w:p>
    <w:p w:rsidR="00511F8C" w:rsidRDefault="00B71F4F" w:rsidP="006A436E">
      <w:r w:rsidRPr="00B71F4F">
        <w:rPr>
          <w:rFonts w:hint="eastAsia"/>
        </w:rPr>
        <w:t>课程结构</w:t>
      </w:r>
      <w:r w:rsidRPr="00B71F4F">
        <w:t>:全日制学生完成10门核心课程。兼职和在线学生将完成6门核心课程和4门选修课。</w:t>
      </w:r>
    </w:p>
    <w:p w:rsidR="00B71F4F" w:rsidRDefault="00B71F4F" w:rsidP="006A436E">
      <w:r>
        <w:rPr>
          <w:noProof/>
        </w:rPr>
        <w:drawing>
          <wp:inline distT="0" distB="0" distL="0" distR="0" wp14:anchorId="4788B063" wp14:editId="49A2A7F4">
            <wp:extent cx="5274310" cy="94615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946150"/>
                    </a:xfrm>
                    <a:prstGeom prst="rect">
                      <a:avLst/>
                    </a:prstGeom>
                  </pic:spPr>
                </pic:pic>
              </a:graphicData>
            </a:graphic>
          </wp:inline>
        </w:drawing>
      </w:r>
    </w:p>
    <w:p w:rsidR="00B71F4F" w:rsidRDefault="00B71F4F" w:rsidP="006A436E"/>
    <w:p w:rsidR="00B71F4F" w:rsidRDefault="00B71F4F" w:rsidP="006A436E">
      <w:r>
        <w:rPr>
          <w:noProof/>
        </w:rPr>
        <w:drawing>
          <wp:inline distT="0" distB="0" distL="0" distR="0" wp14:anchorId="2475CFE3" wp14:editId="47E0D17F">
            <wp:extent cx="5274310" cy="253238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32380"/>
                    </a:xfrm>
                    <a:prstGeom prst="rect">
                      <a:avLst/>
                    </a:prstGeom>
                  </pic:spPr>
                </pic:pic>
              </a:graphicData>
            </a:graphic>
          </wp:inline>
        </w:drawing>
      </w:r>
    </w:p>
    <w:p w:rsidR="00B71F4F" w:rsidRDefault="00B71F4F" w:rsidP="006A436E">
      <w:r>
        <w:rPr>
          <w:noProof/>
        </w:rPr>
        <w:drawing>
          <wp:inline distT="0" distB="0" distL="0" distR="0" wp14:anchorId="5063AAC7" wp14:editId="7AFB3725">
            <wp:extent cx="5274310" cy="419481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194810"/>
                    </a:xfrm>
                    <a:prstGeom prst="rect">
                      <a:avLst/>
                    </a:prstGeom>
                  </pic:spPr>
                </pic:pic>
              </a:graphicData>
            </a:graphic>
          </wp:inline>
        </w:drawing>
      </w:r>
    </w:p>
    <w:p w:rsidR="00B71F4F" w:rsidRDefault="00B71F4F" w:rsidP="006A436E"/>
    <w:p w:rsidR="00B71F4F" w:rsidRDefault="00B71F4F" w:rsidP="006A436E"/>
    <w:p w:rsidR="00511F8C" w:rsidRDefault="00511F8C" w:rsidP="006A436E"/>
    <w:p w:rsidR="00511F8C" w:rsidRDefault="00511F8C" w:rsidP="006A436E"/>
    <w:p w:rsidR="00511F8C" w:rsidRDefault="00511F8C" w:rsidP="006A436E">
      <w:r>
        <w:rPr>
          <w:noProof/>
        </w:rPr>
        <w:drawing>
          <wp:inline distT="0" distB="0" distL="0" distR="0" wp14:anchorId="1C9F8DF9" wp14:editId="6FA78C68">
            <wp:extent cx="5274310" cy="25019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0190"/>
                    </a:xfrm>
                    <a:prstGeom prst="rect">
                      <a:avLst/>
                    </a:prstGeom>
                  </pic:spPr>
                </pic:pic>
              </a:graphicData>
            </a:graphic>
          </wp:inline>
        </w:drawing>
      </w:r>
    </w:p>
    <w:p w:rsidR="00511F8C" w:rsidRDefault="00511F8C" w:rsidP="00511F8C">
      <w:r>
        <w:rPr>
          <w:rFonts w:hint="eastAsia"/>
        </w:rPr>
        <w:t>金融硕士课程是由一个参与该项目教学的教师团队设计的，它还反映了行业专业人士对他们希望潜在员工拥有哪些技能的看法。该课程着重于培养学生扎实的基础分析技能，并通过实际应用来强化在课堂上培养的专业技能。学生通过分析案例、完成项目和建立金融模型来体验真实世界的金融。沟通技巧通过财务沟通课程、</w:t>
      </w:r>
      <w:proofErr w:type="gramStart"/>
      <w:r>
        <w:rPr>
          <w:rFonts w:hint="eastAsia"/>
        </w:rPr>
        <w:t>书面项目</w:t>
      </w:r>
      <w:proofErr w:type="gramEnd"/>
      <w:r>
        <w:rPr>
          <w:rFonts w:hint="eastAsia"/>
        </w:rPr>
        <w:t>和学生财务分析报告来提高。这些课程提供实践经验和职业建设技能。金融硕士课程包括</w:t>
      </w:r>
      <w:r>
        <w:t>34个学分，可以在10个月内完成，也可以分18个月完成，这样就可以进行夏季实习。</w:t>
      </w:r>
    </w:p>
    <w:p w:rsidR="00511F8C" w:rsidRDefault="00511F8C" w:rsidP="00511F8C">
      <w:r>
        <w:rPr>
          <w:rFonts w:hint="eastAsia"/>
        </w:rPr>
        <w:t>学期</w:t>
      </w:r>
      <w:r>
        <w:t>1下降</w:t>
      </w:r>
    </w:p>
    <w:p w:rsidR="00511F8C" w:rsidRDefault="00511F8C" w:rsidP="00511F8C">
      <w:r>
        <w:t>accn6030财务报告</w:t>
      </w:r>
    </w:p>
    <w:p w:rsidR="00511F8C" w:rsidRDefault="00511F8C" w:rsidP="00511F8C">
      <w:r>
        <w:t>accn6040财务报表II</w:t>
      </w:r>
    </w:p>
    <w:p w:rsidR="00511F8C" w:rsidRDefault="00511F8C" w:rsidP="00511F8C">
      <w:r>
        <w:rPr>
          <w:rFonts w:hint="eastAsia"/>
        </w:rPr>
        <w:t>公司财务</w:t>
      </w:r>
      <w:r>
        <w:t>6050 FINE</w:t>
      </w:r>
    </w:p>
    <w:p w:rsidR="00511F8C" w:rsidRDefault="00511F8C" w:rsidP="00511F8C">
      <w:r>
        <w:t>MCOM 6130财务通讯</w:t>
      </w:r>
    </w:p>
    <w:p w:rsidR="00511F8C" w:rsidRDefault="00511F8C" w:rsidP="00511F8C">
      <w:r>
        <w:rPr>
          <w:rFonts w:hint="eastAsia"/>
        </w:rPr>
        <w:t>春季学期</w:t>
      </w:r>
      <w:r>
        <w:t>2</w:t>
      </w:r>
    </w:p>
    <w:p w:rsidR="00B71F4F" w:rsidRDefault="00511F8C" w:rsidP="00511F8C">
      <w:r>
        <w:t>7660风险管理财务或精7670风险管理能源</w:t>
      </w:r>
    </w:p>
    <w:p w:rsidR="00511F8C" w:rsidRDefault="00511F8C" w:rsidP="00511F8C">
      <w:r>
        <w:t>7640年估值</w:t>
      </w:r>
    </w:p>
    <w:p w:rsidR="00B71F4F" w:rsidRDefault="00511F8C" w:rsidP="00511F8C">
      <w:r>
        <w:rPr>
          <w:rFonts w:hint="eastAsia"/>
        </w:rPr>
        <w:t>好</w:t>
      </w:r>
    </w:p>
    <w:p w:rsidR="00511F8C" w:rsidRDefault="00511F8C" w:rsidP="00511F8C">
      <w:r>
        <w:t>7160年投资</w:t>
      </w:r>
    </w:p>
    <w:p w:rsidR="00511F8C" w:rsidRDefault="00511F8C" w:rsidP="00511F8C">
      <w:r>
        <w:t>*选修</w:t>
      </w:r>
    </w:p>
    <w:p w:rsidR="00511F8C" w:rsidRDefault="00511F8C" w:rsidP="00511F8C">
      <w:r>
        <w:rPr>
          <w:rFonts w:hint="eastAsia"/>
        </w:rPr>
        <w:t>夏季学期</w:t>
      </w:r>
      <w:r>
        <w:t>3</w:t>
      </w:r>
    </w:p>
    <w:p w:rsidR="00511F8C" w:rsidRDefault="00511F8C" w:rsidP="00511F8C">
      <w:r>
        <w:t>FINE 7630 Freeman报道</w:t>
      </w:r>
    </w:p>
    <w:p w:rsidR="00511F8C" w:rsidRDefault="00511F8C" w:rsidP="00511F8C">
      <w:r>
        <w:t>FINE 7650固定收益分析和模型</w:t>
      </w:r>
    </w:p>
    <w:p w:rsidR="00511F8C" w:rsidRDefault="00511F8C" w:rsidP="00511F8C">
      <w:r>
        <w:t>*选修</w:t>
      </w:r>
    </w:p>
    <w:p w:rsidR="00511F8C" w:rsidRDefault="00511F8C" w:rsidP="00511F8C">
      <w:r>
        <w:rPr>
          <w:rFonts w:hint="eastAsia"/>
        </w:rPr>
        <w:t>上述时间表为</w:t>
      </w:r>
      <w:r>
        <w:t>10个月，可延长至18个月。</w:t>
      </w:r>
    </w:p>
    <w:p w:rsidR="00511F8C" w:rsidRDefault="00511F8C" w:rsidP="00511F8C"/>
    <w:p w:rsidR="00511F8C" w:rsidRDefault="00511F8C" w:rsidP="00511F8C">
      <w:r>
        <w:rPr>
          <w:rFonts w:hint="eastAsia"/>
        </w:rPr>
        <w:t>专门化</w:t>
      </w:r>
    </w:p>
    <w:p w:rsidR="00511F8C" w:rsidRDefault="00511F8C" w:rsidP="00511F8C"/>
    <w:p w:rsidR="00511F8C" w:rsidRDefault="00511F8C" w:rsidP="00511F8C">
      <w:r>
        <w:rPr>
          <w:rFonts w:hint="eastAsia"/>
        </w:rPr>
        <w:t>分析</w:t>
      </w:r>
    </w:p>
    <w:p w:rsidR="00511F8C" w:rsidRDefault="00511F8C" w:rsidP="00511F8C">
      <w:r>
        <w:rPr>
          <w:rFonts w:hint="eastAsia"/>
        </w:rPr>
        <w:t>要获得这一专业，学生必须完成</w:t>
      </w:r>
      <w:r>
        <w:t>FINE 7660 Risk Management and Applications To Financial Firms或FINE 7670 Risk Management and Applications To Energy Firms，外加以下列表中的两门课程:</w:t>
      </w:r>
    </w:p>
    <w:p w:rsidR="00511F8C" w:rsidRDefault="00511F8C" w:rsidP="00511F8C">
      <w:r>
        <w:t>MGSC 7310建模与分析(3学时)</w:t>
      </w:r>
    </w:p>
    <w:p w:rsidR="00511F8C" w:rsidRDefault="00511F8C" w:rsidP="00511F8C">
      <w:r>
        <w:t>ACCN 7290会计分析(3学时)</w:t>
      </w:r>
    </w:p>
    <w:p w:rsidR="00511F8C" w:rsidRDefault="00511F8C" w:rsidP="00511F8C">
      <w:r>
        <w:rPr>
          <w:rFonts w:hint="eastAsia"/>
        </w:rPr>
        <w:t>计量经济学与预测</w:t>
      </w:r>
      <w:r>
        <w:t>(3学时)</w:t>
      </w:r>
    </w:p>
    <w:p w:rsidR="00511F8C" w:rsidRDefault="00511F8C" w:rsidP="00511F8C">
      <w:r>
        <w:rPr>
          <w:rFonts w:hint="eastAsia"/>
        </w:rPr>
        <w:t>能源基础和交易</w:t>
      </w:r>
      <w:r>
        <w:t>(3学分)</w:t>
      </w:r>
    </w:p>
    <w:p w:rsidR="00511F8C" w:rsidRDefault="00511F8C" w:rsidP="00511F8C">
      <w:r>
        <w:rPr>
          <w:rFonts w:hint="eastAsia"/>
        </w:rPr>
        <w:t>精细</w:t>
      </w:r>
      <w:r>
        <w:t>7180金融建模(3学时)</w:t>
      </w:r>
    </w:p>
    <w:p w:rsidR="00511F8C" w:rsidRDefault="00511F8C" w:rsidP="00511F8C">
      <w:r>
        <w:t>MKTG 7280研究与分析(3学时)</w:t>
      </w:r>
    </w:p>
    <w:p w:rsidR="00511F8C" w:rsidRDefault="00511F8C" w:rsidP="00511F8C">
      <w:r>
        <w:rPr>
          <w:rFonts w:hint="eastAsia"/>
        </w:rPr>
        <w:t>《组织研究方法与分析》</w:t>
      </w:r>
      <w:r>
        <w:t>(3学时)。</w:t>
      </w:r>
    </w:p>
    <w:p w:rsidR="00511F8C" w:rsidRDefault="00511F8C" w:rsidP="00511F8C">
      <w:r>
        <w:rPr>
          <w:rFonts w:hint="eastAsia"/>
        </w:rPr>
        <w:t>银行及金融服务</w:t>
      </w:r>
    </w:p>
    <w:p w:rsidR="00511F8C" w:rsidRDefault="00511F8C" w:rsidP="00511F8C">
      <w:r>
        <w:rPr>
          <w:rFonts w:hint="eastAsia"/>
        </w:rPr>
        <w:t>要想学习银行和金融服务专业，学生必须完成</w:t>
      </w:r>
      <w:r>
        <w:t>7660门优秀的金融公司风险管理和应用程序</w:t>
      </w:r>
      <w:r>
        <w:lastRenderedPageBreak/>
        <w:t>以及以下列表中至少两门课程:</w:t>
      </w:r>
    </w:p>
    <w:p w:rsidR="00511F8C" w:rsidRDefault="00511F8C" w:rsidP="00511F8C">
      <w:r>
        <w:rPr>
          <w:rFonts w:hint="eastAsia"/>
        </w:rPr>
        <w:t>会计业务与财务风险</w:t>
      </w:r>
      <w:r>
        <w:t>(3学时)</w:t>
      </w:r>
    </w:p>
    <w:p w:rsidR="00511F8C" w:rsidRDefault="00511F8C" w:rsidP="00511F8C">
      <w:r>
        <w:rPr>
          <w:rFonts w:hint="eastAsia"/>
        </w:rPr>
        <w:t>风险投资和</w:t>
      </w:r>
      <w:proofErr w:type="gramStart"/>
      <w:r>
        <w:rPr>
          <w:rFonts w:hint="eastAsia"/>
        </w:rPr>
        <w:t>私募股</w:t>
      </w:r>
      <w:proofErr w:type="gramEnd"/>
      <w:r>
        <w:rPr>
          <w:rFonts w:hint="eastAsia"/>
        </w:rPr>
        <w:t>权</w:t>
      </w:r>
      <w:r>
        <w:t>(3学时)</w:t>
      </w:r>
    </w:p>
    <w:p w:rsidR="00511F8C" w:rsidRDefault="00511F8C" w:rsidP="00511F8C">
      <w:r>
        <w:t>7150国际金融(3学时)</w:t>
      </w:r>
    </w:p>
    <w:p w:rsidR="00511F8C" w:rsidRDefault="00511F8C" w:rsidP="00511F8C">
      <w:r>
        <w:t>7170名金融中介(3学时)</w:t>
      </w:r>
    </w:p>
    <w:p w:rsidR="00511F8C" w:rsidRDefault="00511F8C" w:rsidP="00511F8C">
      <w:r>
        <w:t>7180金融建模(3学时)</w:t>
      </w:r>
    </w:p>
    <w:p w:rsidR="00511F8C" w:rsidRDefault="00511F8C" w:rsidP="00511F8C">
      <w:r>
        <w:t>7210房地产规划、金融与开发(3学时)</w:t>
      </w:r>
    </w:p>
    <w:p w:rsidR="00511F8C" w:rsidRDefault="00511F8C" w:rsidP="00511F8C">
      <w:r>
        <w:rPr>
          <w:rFonts w:hint="eastAsia"/>
        </w:rPr>
        <w:t>金融交易</w:t>
      </w:r>
      <w:r>
        <w:t>(3学时)</w:t>
      </w:r>
    </w:p>
    <w:p w:rsidR="00511F8C" w:rsidRDefault="00511F8C" w:rsidP="00511F8C">
      <w:r>
        <w:t xml:space="preserve">* 7340 Aaron </w:t>
      </w:r>
      <w:proofErr w:type="spellStart"/>
      <w:r>
        <w:t>Selber</w:t>
      </w:r>
      <w:proofErr w:type="spellEnd"/>
      <w:r>
        <w:t xml:space="preserve"> Jr.不良债务课程(3学时)</w:t>
      </w:r>
    </w:p>
    <w:p w:rsidR="00511F8C" w:rsidRDefault="00511F8C" w:rsidP="00511F8C">
      <w:r>
        <w:t xml:space="preserve">*7350 Aaron </w:t>
      </w:r>
      <w:proofErr w:type="spellStart"/>
      <w:r>
        <w:t>Selber</w:t>
      </w:r>
      <w:proofErr w:type="spellEnd"/>
      <w:r>
        <w:t xml:space="preserve"> Jr.对冲基金课程(3学时)</w:t>
      </w:r>
    </w:p>
    <w:p w:rsidR="00511F8C" w:rsidRDefault="00511F8C" w:rsidP="00511F8C">
      <w:r>
        <w:t>*7610达尔文芬纳学生管理基金(3学时)</w:t>
      </w:r>
    </w:p>
    <w:p w:rsidR="00511F8C" w:rsidRDefault="00511F8C" w:rsidP="00511F8C">
      <w:r>
        <w:t>*通过只邀请</w:t>
      </w:r>
    </w:p>
    <w:p w:rsidR="00511F8C" w:rsidRDefault="00511F8C" w:rsidP="006A436E"/>
    <w:p w:rsidR="00B71F4F" w:rsidRDefault="00B71F4F" w:rsidP="006A436E">
      <w:r>
        <w:rPr>
          <w:noProof/>
        </w:rPr>
        <w:drawing>
          <wp:inline distT="0" distB="0" distL="0" distR="0" wp14:anchorId="4108FFB8" wp14:editId="13AFC702">
            <wp:extent cx="1979698" cy="2076450"/>
            <wp:effectExtent l="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80662" cy="2077461"/>
                    </a:xfrm>
                    <a:prstGeom prst="rect">
                      <a:avLst/>
                    </a:prstGeom>
                  </pic:spPr>
                </pic:pic>
              </a:graphicData>
            </a:graphic>
          </wp:inline>
        </w:drawing>
      </w:r>
    </w:p>
    <w:p w:rsidR="00B71F4F" w:rsidRDefault="00B71F4F" w:rsidP="006A436E"/>
    <w:p w:rsidR="00B71F4F" w:rsidRDefault="00B71F4F" w:rsidP="006A436E"/>
    <w:p w:rsidR="00B71F4F" w:rsidRDefault="00B71F4F" w:rsidP="006A436E"/>
    <w:p w:rsidR="00B71F4F" w:rsidRDefault="00B71F4F" w:rsidP="006A436E">
      <w:r>
        <w:rPr>
          <w:noProof/>
        </w:rPr>
        <w:drawing>
          <wp:inline distT="0" distB="0" distL="0" distR="0" wp14:anchorId="12881B0F" wp14:editId="1D2F1C41">
            <wp:extent cx="5274310" cy="3619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61950"/>
                    </a:xfrm>
                    <a:prstGeom prst="rect">
                      <a:avLst/>
                    </a:prstGeom>
                  </pic:spPr>
                </pic:pic>
              </a:graphicData>
            </a:graphic>
          </wp:inline>
        </w:drawing>
      </w:r>
    </w:p>
    <w:p w:rsidR="00B71F4F" w:rsidRDefault="00B71F4F" w:rsidP="00B71F4F">
      <w:r>
        <w:t>MSF项目具有创新的三学期课程，为您提供金融原理和实践方面的坚实基础。该课程还向您介绍新兴的概念，实践和技术，必要的成功在今天的金融行业。</w:t>
      </w:r>
    </w:p>
    <w:p w:rsidR="00B71F4F" w:rsidRDefault="00B71F4F" w:rsidP="00B71F4F">
      <w:r>
        <w:rPr>
          <w:rFonts w:hint="eastAsia"/>
        </w:rPr>
        <w:t>除了核心课程之外，你还可以选择一些课程来定制你的学位。例如，你可以选择以下领域中的一个专业方向</w:t>
      </w:r>
      <w:r>
        <w:t>:</w:t>
      </w:r>
    </w:p>
    <w:p w:rsidR="00B71F4F" w:rsidRDefault="00B71F4F" w:rsidP="00B71F4F">
      <w:r>
        <w:rPr>
          <w:rFonts w:hint="eastAsia"/>
        </w:rPr>
        <w:t>资产管理</w:t>
      </w:r>
    </w:p>
    <w:p w:rsidR="00B71F4F" w:rsidRDefault="00B71F4F" w:rsidP="00B71F4F">
      <w:r>
        <w:rPr>
          <w:rFonts w:hint="eastAsia"/>
        </w:rPr>
        <w:t>企业融资</w:t>
      </w:r>
    </w:p>
    <w:p w:rsidR="00B71F4F" w:rsidRDefault="00B71F4F" w:rsidP="00B71F4F">
      <w:r>
        <w:rPr>
          <w:rFonts w:hint="eastAsia"/>
        </w:rPr>
        <w:t>数据分析和金融科技</w:t>
      </w:r>
    </w:p>
    <w:p w:rsidR="00B71F4F" w:rsidRDefault="00B71F4F" w:rsidP="00B71F4F">
      <w:r>
        <w:rPr>
          <w:rFonts w:hint="eastAsia"/>
        </w:rPr>
        <w:t>定量金融学</w:t>
      </w:r>
    </w:p>
    <w:p w:rsidR="00B71F4F" w:rsidRDefault="00B71F4F" w:rsidP="00B71F4F">
      <w:r>
        <w:rPr>
          <w:rFonts w:hint="eastAsia"/>
        </w:rPr>
        <w:t>房地产</w:t>
      </w:r>
    </w:p>
    <w:p w:rsidR="00B71F4F" w:rsidRDefault="00B71F4F" w:rsidP="00B71F4F">
      <w:r>
        <w:rPr>
          <w:rFonts w:hint="eastAsia"/>
        </w:rPr>
        <w:t>金融研究</w:t>
      </w:r>
      <w:r>
        <w:t>(博士专业)</w:t>
      </w:r>
    </w:p>
    <w:p w:rsidR="00B71F4F" w:rsidRDefault="00B71F4F" w:rsidP="00B71F4F">
      <w:r>
        <w:rPr>
          <w:rFonts w:hint="eastAsia"/>
        </w:rPr>
        <w:t>你也可以从其他金融领域的选修课中选择，比如商业银行、房地产、金融工程或财富管理。</w:t>
      </w:r>
    </w:p>
    <w:p w:rsidR="00B71F4F" w:rsidRDefault="00B71F4F" w:rsidP="00B71F4F">
      <w:r>
        <w:rPr>
          <w:rFonts w:hint="eastAsia"/>
        </w:rPr>
        <w:t>一个可选的整个学期的实习项目，让你有机会为国内和国际公司的实际项目工作，以获得实践经验。这些项目，再加上大数据分析、高频交易、金融工程和估值方面的前沿课程，将帮助你在金融行业中脱颖而出。</w:t>
      </w:r>
    </w:p>
    <w:p w:rsidR="00B71F4F" w:rsidRDefault="00B71F4F" w:rsidP="00B71F4F">
      <w:r>
        <w:rPr>
          <w:rFonts w:hint="eastAsia"/>
        </w:rPr>
        <w:t>具有丰富金融经验的学生，经项目主管批准，可选择以两学期的时间完成学业。</w:t>
      </w:r>
    </w:p>
    <w:p w:rsidR="00B71F4F" w:rsidRDefault="00B71F4F" w:rsidP="00B71F4F">
      <w:r>
        <w:rPr>
          <w:rFonts w:hint="eastAsia"/>
        </w:rPr>
        <w:lastRenderedPageBreak/>
        <w:t>金融</w:t>
      </w:r>
      <w:proofErr w:type="gramStart"/>
      <w:r>
        <w:rPr>
          <w:rFonts w:hint="eastAsia"/>
        </w:rPr>
        <w:t>系拥有</w:t>
      </w:r>
      <w:proofErr w:type="gramEnd"/>
      <w:r>
        <w:rPr>
          <w:rFonts w:hint="eastAsia"/>
        </w:rPr>
        <w:t>一支精英教师队伍，有八位教授或指定教授。众多研究继续将本系列为世界上最具生产力的金融研究单位之一。财务系的教师都是优秀的教师，他们提供高质量、富有挑战性的课程。在课堂上，实践和学习相结合，创造一种积极的、引人入胜的教育体验，使学生为迎接现代金融市场的挑战做好准备。</w:t>
      </w:r>
    </w:p>
    <w:p w:rsidR="00682A00" w:rsidRDefault="00682A00" w:rsidP="00B71F4F"/>
    <w:p w:rsidR="00682A00" w:rsidRDefault="00682A00" w:rsidP="00B71F4F"/>
    <w:p w:rsidR="00682A00" w:rsidRDefault="00682A00" w:rsidP="00682A00">
      <w:r>
        <w:rPr>
          <w:rFonts w:hint="eastAsia"/>
        </w:rPr>
        <w:t>课程和要求</w:t>
      </w:r>
    </w:p>
    <w:p w:rsidR="00682A00" w:rsidRDefault="00682A00" w:rsidP="00682A00">
      <w:r>
        <w:rPr>
          <w:rFonts w:hint="eastAsia"/>
        </w:rPr>
        <w:t>金融理学硕士是一个金融通才研究生项目。无国界医生组织的项目每年</w:t>
      </w:r>
      <w:r>
        <w:t>8月开始，分三个学期(秋季、春季、秋季)完成。大部分核心课程和必修课将在第一学期完成;然而，根据学生的背景和职业目标，一些核心课程可能会被替代或在春季学期选修。</w:t>
      </w:r>
    </w:p>
    <w:p w:rsidR="00682A00" w:rsidRDefault="00682A00" w:rsidP="00682A00">
      <w:r>
        <w:rPr>
          <w:rFonts w:hint="eastAsia"/>
        </w:rPr>
        <w:t>核心课程</w:t>
      </w:r>
    </w:p>
    <w:p w:rsidR="00682A00" w:rsidRDefault="00682A00" w:rsidP="00682A00">
      <w:r>
        <w:rPr>
          <w:rFonts w:hint="eastAsia"/>
        </w:rPr>
        <w:t>我们招收来自不同背景的学生，所以在他们的第一个学期，学生可能需要在重要领域学习基础知识。我们在秋季学期开设三门核心课程</w:t>
      </w:r>
      <w:r>
        <w:t>:</w:t>
      </w:r>
    </w:p>
    <w:p w:rsidR="00682A00" w:rsidRDefault="00682A00" w:rsidP="00682A00">
      <w:r>
        <w:rPr>
          <w:rFonts w:hint="eastAsia"/>
        </w:rPr>
        <w:t>企业融资</w:t>
      </w:r>
      <w:r>
        <w:t>(4学时)</w:t>
      </w:r>
    </w:p>
    <w:p w:rsidR="00682A00" w:rsidRDefault="00682A00" w:rsidP="00682A00">
      <w:r>
        <w:rPr>
          <w:rFonts w:hint="eastAsia"/>
        </w:rPr>
        <w:t>本课程将涵盖广泛的公司财务主题，提供全面的材料概述。在课程结束时，学生将在一个统一的模型中理解公司财务的广泛的基本概念。我们将使用的文本为这些概念提供了很好的介绍。主题可以根据班级的兴趣和经验进行更详细的探讨。</w:t>
      </w:r>
    </w:p>
    <w:p w:rsidR="00682A00" w:rsidRDefault="00682A00" w:rsidP="00682A00">
      <w:r>
        <w:rPr>
          <w:rFonts w:hint="eastAsia"/>
        </w:rPr>
        <w:t>财务报表</w:t>
      </w:r>
      <w:r>
        <w:t>(2学时)</w:t>
      </w:r>
    </w:p>
    <w:p w:rsidR="00682A00" w:rsidRDefault="00682A00" w:rsidP="00682A00">
      <w:r>
        <w:rPr>
          <w:rFonts w:hint="eastAsia"/>
        </w:rPr>
        <w:t>介绍阅读和理解财务报表的基本原理。将介绍基本的财务报表，并将有深入的例子和案例说明如何构建报表和如何进行基本分析。在课程结束时，学生应该能够轻松地理解一份典型的年度报告。</w:t>
      </w:r>
    </w:p>
    <w:p w:rsidR="00682A00" w:rsidRDefault="00682A00" w:rsidP="00682A00">
      <w:r>
        <w:rPr>
          <w:rFonts w:hint="eastAsia"/>
        </w:rPr>
        <w:t>定量方法</w:t>
      </w:r>
      <w:r>
        <w:t>(2学时)</w:t>
      </w:r>
    </w:p>
    <w:p w:rsidR="00682A00" w:rsidRDefault="00682A00" w:rsidP="00682A00">
      <w:r>
        <w:rPr>
          <w:rFonts w:hint="eastAsia"/>
        </w:rPr>
        <w:t>本课程介绍了定量方法，适用于金融的几个领域</w:t>
      </w:r>
      <w:r>
        <w:t>;介绍概率论、统计推断和回归分析的概念和方法;重点放在股票收益的真实数据的软件应用，CAPM和</w:t>
      </w:r>
      <w:proofErr w:type="spellStart"/>
      <w:r>
        <w:t>Fama</w:t>
      </w:r>
      <w:proofErr w:type="spellEnd"/>
      <w:r>
        <w:t>-French模型，以及横截面企业数据。</w:t>
      </w:r>
    </w:p>
    <w:p w:rsidR="00682A00" w:rsidRDefault="00682A00" w:rsidP="00682A00">
      <w:r>
        <w:rPr>
          <w:rFonts w:hint="eastAsia"/>
        </w:rPr>
        <w:t>具有适当本科背景的学生，经教务主任批准，可以免除部分或全部此类课程。例如，拥有金融本科学位的学生就不需要学习企业金融。</w:t>
      </w:r>
    </w:p>
    <w:p w:rsidR="00682A00" w:rsidRDefault="00682A00" w:rsidP="00682A00">
      <w:r>
        <w:rPr>
          <w:rFonts w:hint="eastAsia"/>
        </w:rPr>
        <w:t>必修课程</w:t>
      </w:r>
    </w:p>
    <w:p w:rsidR="00682A00" w:rsidRDefault="00682A00" w:rsidP="00682A00">
      <w:r>
        <w:rPr>
          <w:rFonts w:hint="eastAsia"/>
        </w:rPr>
        <w:t>该项目非常注重为学生提供一套灵活的课程，以适应他们自己的特定职业目标。课程中只有两门必修课</w:t>
      </w:r>
      <w:r>
        <w:t>:</w:t>
      </w:r>
    </w:p>
    <w:p w:rsidR="00682A00" w:rsidRDefault="00682A00" w:rsidP="00682A00">
      <w:r>
        <w:rPr>
          <w:rFonts w:hint="eastAsia"/>
        </w:rPr>
        <w:t>股票市场基础经济学</w:t>
      </w:r>
      <w:r>
        <w:t>(4学时)</w:t>
      </w:r>
    </w:p>
    <w:p w:rsidR="00682A00" w:rsidRDefault="00682A00" w:rsidP="00682A00">
      <w:r>
        <w:rPr>
          <w:rFonts w:hint="eastAsia"/>
        </w:rPr>
        <w:t>公司的长期价值最终取决于它们的业务基本面。本课程涵盖了诸如消费者需求、市场竞争力、政府调控、利率、商业周期和货币政策等基本因素的微观和宏观经济驱动因素。还包括风险和</w:t>
      </w:r>
      <w:proofErr w:type="gramStart"/>
      <w:r>
        <w:rPr>
          <w:rFonts w:hint="eastAsia"/>
        </w:rPr>
        <w:t>跨时期</w:t>
      </w:r>
      <w:proofErr w:type="gramEnd"/>
      <w:r>
        <w:rPr>
          <w:rFonts w:hint="eastAsia"/>
        </w:rPr>
        <w:t>决策的主题。</w:t>
      </w:r>
    </w:p>
    <w:p w:rsidR="00682A00" w:rsidRDefault="00682A00" w:rsidP="00682A00">
      <w:r>
        <w:t>FIN 511投资(4学时)</w:t>
      </w:r>
    </w:p>
    <w:p w:rsidR="00682A00" w:rsidRDefault="00682A00" w:rsidP="00682A00">
      <w:r>
        <w:rPr>
          <w:rFonts w:hint="eastAsia"/>
        </w:rPr>
        <w:t>投资分析概论，包括投资组合理论的理论和实施，金融资产绩效的经验证据，投资组合策略的评估，以及向国际市场多元化的延伸。</w:t>
      </w:r>
    </w:p>
    <w:p w:rsidR="00682A00" w:rsidRDefault="00682A00" w:rsidP="00682A00">
      <w:r>
        <w:rPr>
          <w:rFonts w:hint="eastAsia"/>
        </w:rPr>
        <w:t>专业发展</w:t>
      </w:r>
      <w:r>
        <w:t>(2学时)</w:t>
      </w:r>
    </w:p>
    <w:p w:rsidR="00682A00" w:rsidRDefault="00682A00" w:rsidP="00682A00"/>
    <w:p w:rsidR="00682A00" w:rsidRDefault="00682A00" w:rsidP="00682A00"/>
    <w:p w:rsidR="00682A00" w:rsidRDefault="00682A00" w:rsidP="00682A00">
      <w:r>
        <w:rPr>
          <w:rFonts w:hint="eastAsia"/>
        </w:rPr>
        <w:t>专门化</w:t>
      </w:r>
    </w:p>
    <w:p w:rsidR="00682A00" w:rsidRDefault="00682A00" w:rsidP="00682A00">
      <w:r>
        <w:rPr>
          <w:rFonts w:hint="eastAsia"/>
        </w:rPr>
        <w:t>我们的课程有很多选修课从创业学一直到金融工程和机器学习。为了帮助指导学生通过广泛的选修课程，学生可以灵活地选择适合他们兴趣的课程，并使他们专攻某一特定领域。我们目前在</w:t>
      </w:r>
      <w:r>
        <w:t>MSF计划中提供六种不同的专业，请点击下面的链接查看每个专业的广泛的产品。</w:t>
      </w:r>
    </w:p>
    <w:p w:rsidR="00682A00" w:rsidRDefault="00682A00" w:rsidP="00682A00">
      <w:r w:rsidRPr="00682A00">
        <w:rPr>
          <w:noProof/>
        </w:rPr>
        <w:lastRenderedPageBreak/>
        <w:drawing>
          <wp:inline distT="0" distB="0" distL="0" distR="0">
            <wp:extent cx="3099410" cy="3105150"/>
            <wp:effectExtent l="0" t="0" r="6350" b="0"/>
            <wp:docPr id="40" name="图片 40" descr="C:\Users\zj123\AppData\Local\Temp\WeChat Files\132291788029279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j123\AppData\Local\Temp\WeChat Files\132291788029279236.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01872" cy="3107617"/>
                    </a:xfrm>
                    <a:prstGeom prst="rect">
                      <a:avLst/>
                    </a:prstGeom>
                    <a:noFill/>
                    <a:ln>
                      <a:noFill/>
                    </a:ln>
                  </pic:spPr>
                </pic:pic>
              </a:graphicData>
            </a:graphic>
          </wp:inline>
        </w:drawing>
      </w:r>
    </w:p>
    <w:p w:rsidR="00682A00" w:rsidRDefault="00682A00" w:rsidP="00682A00"/>
    <w:sectPr w:rsidR="00682A0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mp;quot">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inherit">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2EF8"/>
    <w:rsid w:val="00160F6C"/>
    <w:rsid w:val="001773AE"/>
    <w:rsid w:val="001E2655"/>
    <w:rsid w:val="001F2A86"/>
    <w:rsid w:val="00511F8C"/>
    <w:rsid w:val="00606D59"/>
    <w:rsid w:val="006446FC"/>
    <w:rsid w:val="00682A00"/>
    <w:rsid w:val="006A436E"/>
    <w:rsid w:val="00922195"/>
    <w:rsid w:val="00927A2E"/>
    <w:rsid w:val="00977106"/>
    <w:rsid w:val="009F1B2E"/>
    <w:rsid w:val="009F6695"/>
    <w:rsid w:val="00B71F4F"/>
    <w:rsid w:val="00C95907"/>
    <w:rsid w:val="00D64758"/>
    <w:rsid w:val="00E42697"/>
    <w:rsid w:val="00ED296D"/>
    <w:rsid w:val="00ED2EF8"/>
    <w:rsid w:val="00FB3E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BA828"/>
  <w15:chartTrackingRefBased/>
  <w15:docId w15:val="{51B21D58-37C4-45A6-A262-1A1C12CFA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6177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jpe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jpe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jpe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jpe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18</Pages>
  <Words>1125</Words>
  <Characters>6417</Characters>
  <Application>Microsoft Office Word</Application>
  <DocSecurity>0</DocSecurity>
  <Lines>53</Lines>
  <Paragraphs>15</Paragraphs>
  <ScaleCrop>false</ScaleCrop>
  <Company>HP</Company>
  <LinksUpToDate>false</LinksUpToDate>
  <CharactersWithSpaces>7527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周健</dc:creator>
  <cp:keywords/>
  <dc:description/>
  <cp:lastModifiedBy>周健</cp:lastModifiedBy>
  <cp:revision>11</cp:revision>
  <dcterms:created xsi:type="dcterms:W3CDTF">2020-07-28T06:55:00Z</dcterms:created>
  <dcterms:modified xsi:type="dcterms:W3CDTF">2020-07-28T14:31:00Z</dcterms:modified>
</cp:coreProperties>
</file>