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AI工具使用说明</w:t>
      </w:r>
    </w:p>
    <w:p>
      <w:pPr>
        <w:keepLines/>
        <w:spacing w:line="31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参赛队在竞赛过程中使用了人工智能工具，主要用于题意梳理、候选方法比较、程序辅助、结果核查、图表与文档排版以及语言润色。模型方案、参数选择、实验结果和论文表述均由参赛队结合题目附件、程序运行记录与结果文件审查后确认，参赛队对最终提交内容承担责任。</w:t>
      </w:r>
    </w:p>
    <w:p>
      <w:pPr>
        <w:keepNext/>
        <w:keepLines/>
        <w:spacing w:line="312" w:lineRule="auto" w:before="120" w:after="4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一  使用的AI工具</w:t>
      </w:r>
    </w:p>
    <w:p>
      <w:pPr>
        <w:keepLines/>
        <w:spacing w:line="31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使用的工具为OpenAI ChatGPT与Codex，使用平台在线提供的GPT-5系列模型及其代码辅助能力。由于在线服务会持续更新，具体子版本以相应会话和平台记录为准。</w:t>
      </w:r>
    </w:p>
    <w:p>
      <w:pPr>
        <w:keepNext/>
        <w:keepLines/>
        <w:spacing w:line="312" w:lineRule="auto" w:before="120" w:after="4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二  使用目的与环节</w:t>
      </w:r>
    </w:p>
    <w:p>
      <w:pPr>
        <w:keepLines/>
        <w:spacing w:line="31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AI主要参与以下辅助环节：第一，整理四个问题之间的依赖关系，比较确定性优化、非前视预测优化、滚动调整和历史价格情景鲁棒优化等候选方案；第二，辅助编写和调试Python程序，检查单位换算、储能状态转移、能量平衡、非前视边界与输出格式；第三，协助汇总实验结果，生成图表初稿并检查论文中的符号、数值和文件名称是否一致；第四，对论文草稿进行语言润色和Word排版。AI未替代原始数据、实际程序运行结果或参赛队对最终方案的确认。</w:t>
      </w:r>
    </w:p>
    <w:p>
      <w:pPr>
        <w:keepNext/>
        <w:keepLines/>
        <w:spacing w:line="312" w:lineRule="auto" w:before="120" w:after="4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三  主要提示方式与使用过程</w:t>
      </w:r>
    </w:p>
    <w:p>
      <w:pPr>
        <w:keepLines/>
        <w:spacing w:line="31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使用过程中，参赛队按任务逐步提供题面、附件数据、已确定的建模口径和阶段性结果，并通过限定输入、输出和验证条件约束AI。典型提示包括：解读题面并梳理各问的目标与约束；比较候选模型的适用性、可解释性和竞赛实现成本；根据给定数据生成可复现的程序框架；检查未来信息是否进入当前决策；依据已经冻结的实验数字撰写结果分析；核对图表、正文与结果文件之间的一致性。对于影响建模结论的内容，采用“提出候选方案—运行程序—核对结果—修改表述”的方式迭代处理。</w:t>
      </w:r>
    </w:p>
    <w:p>
      <w:pPr>
        <w:keepNext/>
        <w:keepLines/>
        <w:spacing w:line="312" w:lineRule="auto" w:before="120" w:after="4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四  采纳 修改与核验情况</w:t>
      </w:r>
    </w:p>
    <w:p>
      <w:pPr>
        <w:keepLines/>
        <w:spacing w:line="31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AI输出主要作为分析建议、代码草稿和文字初稿使用。参赛队对纳入论文的内容进行了必要修改和核验：依据题目附件修正变量定义、时间尺度和结算规则；通过程序运行、单元测试和结果工作簿核对目标函数值、储能边界、能量平衡与关键统计量；对问题2至问题4检查非前视信息边界，对问题3的安全裕度参数进行费用与供能缺口权衡，对问题4区分可实施历史价格情景与仅供事后比较的真实价格参照；对论文中的数字、图表、符号和结论进行交叉核对，并保留适用范围、数据年份和外推限制。语言润色类建议在不改变技术含义的前提下采用，无法由数据或计算结果支持的表述未作为结论使用。</w:t>
      </w:r>
    </w:p>
    <w:p>
      <w:pPr>
        <w:keepLines/>
        <w:spacing w:line="312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本说明依据《全国大学生数学建模竞赛人工智能工具使用规定（2026年试行）》编制，用于公开披露本作品中AI工具的使用情况。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AI工具使用说明</dc:title>
  <dc:subject>数学建模竞赛论文AI工具使用披露</dc:subject>
  <dc:creator>参赛队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