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erif CJK SC" w:hAnsi="Noto Serif CJK SC" w:eastAsia="Noto Serif CJK SC"/>
        </w:rPr>
        <w:t>Q1 Q2最终结果分析</w:t>
      </w:r>
    </w:p>
    <w:p>
      <w:r>
        <w:rPr>
          <w:rFonts w:ascii="Noto Serif CJK SC" w:hAnsi="Noto Serif CJK SC" w:eastAsia="Noto Serif CJK SC"/>
        </w:rPr>
        <w:t>Q1连续线性规划在给定预测条件下节省购电费用26.90%；Q2梯度提升预测结合日前优化，在334天回放中较持久性基线降低综合费用25.88%。以下分析分别说明经济收益、物理可行性与适用边界。结果取自仓库正式实验记录，不将尚未执行的敏感性验证视为已完成。</w:t>
      </w:r>
    </w:p>
    <w:p>
      <w:pPr>
        <w:pStyle w:val="Heading1"/>
      </w:pPr>
      <w:r>
        <w:rPr>
          <w:rFonts w:ascii="Noto Serif CJK SC" w:hAnsi="Noto Serif CJK SC" w:eastAsia="Noto Serif CJK SC"/>
        </w:rPr>
        <w:t>一 Q1经济效果与调度机制</w:t>
      </w:r>
    </w:p>
    <w:p>
      <w:pPr>
        <w:pStyle w:val="Heading2"/>
      </w:pPr>
      <w:r>
        <w:rPr>
          <w:rFonts w:ascii="Noto Serif CJK SC" w:hAnsi="Noto Serif CJK SC" w:eastAsia="Noto Serif CJK SC"/>
        </w:rPr>
        <w:t>同口径费用比较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3096"/>
        <w:gridCol w:w="3096"/>
      </w:tblGrid>
      <w:tr>
        <w:trPr>
          <w:cantSplit/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left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center"/>
            </w:pPr>
            <w:r>
              <w:rPr>
                <w:b/>
                <w:sz w:val="19"/>
              </w:rPr>
              <w:t>无储能M1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center"/>
            </w:pPr>
            <w:r>
              <w:rPr>
                <w:b/>
                <w:sz w:val="19"/>
              </w:rPr>
              <w:t>连续LPM2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购电费用 元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48,052.05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35,126.95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费用减少 元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12,925.10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节省比例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26.90%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M1与M2使用附件1相同的负荷、光伏预测、电价和144个10分钟时段。M2购电费用为35,126.95元，较M1减少12,925.10元。初末储能电量均为6000 kWh，因此节省不是通过耗尽初始储能获得，而是在相同日末状态下形成的调度收益。</w:t>
      </w:r>
    </w:p>
    <w:p>
      <w:pPr>
        <w:pStyle w:val="Heading2"/>
      </w:pPr>
      <w:r>
        <w:rPr>
          <w:rFonts w:ascii="Noto Serif CJK SC" w:hAnsi="Noto Serif CJK SC" w:eastAsia="Noto Serif CJK SC"/>
        </w:rPr>
        <w:t>收益来源与效率损耗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4"/>
        <w:gridCol w:w="3312"/>
      </w:tblGrid>
      <w:tr>
        <w:trPr>
          <w:cantSplit/>
          <w:tblHeader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left"/>
            </w:pPr>
            <w:r>
              <w:rPr>
                <w:b/>
                <w:sz w:val="19"/>
              </w:rPr>
              <w:t>调度指标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center"/>
            </w:pPr>
            <w:r>
              <w:rPr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全天购电量 kWh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59,482.70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充电总量 kWh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20,740.67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放电总量 kWh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16,799.94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充电时段加权电价 元/kWh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0.493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放电时段加权电价 元/kWh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1.138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完整调度表显示，充电发生在45个时段，放电发生在37个时段；按充放电电量加权的时段电价分别约为0.493和1.138元/kWh，体现了低价充电、高价放电的经济机制。充放电总量之差为3,940.73 kWh，与充、放电效率分别为0.9及日首日末储能相等的设置一致。</w:t>
      </w:r>
    </w:p>
    <w:p>
      <w:r>
        <w:rPr>
          <w:rFonts w:ascii="Noto Serif CJK SC" w:hAnsi="Noto Serif CJK SC" w:eastAsia="Noto Serif CJK SC"/>
        </w:rPr>
        <w:t>加权电价反映动作发生时的价格分布，并不等同于逐笔套利收益；光伏利用与供需约束也会影响调度。因此，净经济收益应以同口径总购电费用差12,925.10元衡量。</w:t>
      </w:r>
    </w:p>
    <w:p>
      <w:pPr>
        <w:pStyle w:val="Heading1"/>
      </w:pPr>
      <w:r>
        <w:rPr>
          <w:rFonts w:ascii="Noto Serif CJK SC" w:hAnsi="Noto Serif CJK SC" w:eastAsia="Noto Serif CJK SC"/>
        </w:rPr>
        <w:t>二 Q1可行性与独立核验</w:t>
      </w:r>
    </w:p>
    <w:p>
      <w:pPr>
        <w:pStyle w:val="Heading2"/>
      </w:pPr>
      <w:r>
        <w:rPr>
          <w:rFonts w:ascii="Noto Serif CJK SC" w:hAnsi="Noto Serif CJK SC" w:eastAsia="Noto Serif CJK SC"/>
        </w:rPr>
        <w:t>物理约束检查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4"/>
        <w:gridCol w:w="3312"/>
      </w:tblGrid>
      <w:tr>
        <w:trPr>
          <w:cantSplit/>
          <w:tblHeader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left"/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center"/>
            </w:pPr>
            <w:r>
              <w:rPr>
                <w:b/>
                <w:sz w:val="19"/>
              </w:rPr>
              <w:t>正式结果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储能电量范围 kWh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1200—10800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初始及终端储能电量 kWh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6000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最大能量平衡残差 kWh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1.14 × 10⁻¹³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最大SOC越界误差 kWh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7.28 × 10⁻¹²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终端SOC误差 kWh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6.37 × 10⁻¹²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充放电功率越界量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同时充放电时段数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储能电量在数值容差内满足1200—10800 kWh边界，功率上限和终端约束均满足。能量平衡残差及SOC误差远小于10⁻⁶ kWh审计容差，属于浮点计算误差。144个时段没有同时充放电，本次LP解符合物理互斥要求。</w:t>
      </w:r>
    </w:p>
    <w:p>
      <w:r>
        <w:rPr>
          <w:rFonts w:ascii="Noto Serif CJK SC" w:hAnsi="Noto Serif CJK SC" w:eastAsia="Noto Serif CJK SC"/>
        </w:rPr>
        <w:t>LP给出当前连续模型的全局最优解；互斥模型的可行域包含于LP可行域，而本次LP最优解又满足互斥，因此其费用也达到对应互斥模型的最优值，数值精度以求解与审计容差为限。后续实例若出现互斥异常，程序会停止并要求升级MILP，不能直接沿用本次结论。</w:t>
      </w:r>
    </w:p>
    <w:p>
      <w:pPr>
        <w:pStyle w:val="Heading2"/>
      </w:pPr>
      <w:r>
        <w:rPr>
          <w:rFonts w:ascii="Noto Serif CJK SC" w:hAnsi="Noto Serif CJK SC" w:eastAsia="Noto Serif CJK SC"/>
        </w:rPr>
        <w:t>动态规划网格收敛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888"/>
        <w:gridCol w:w="3024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left"/>
            </w:pPr>
            <w:r>
              <w:rPr>
                <w:b/>
                <w:sz w:val="19"/>
              </w:rPr>
              <w:t>SOC网格 kWh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center"/>
            </w:pPr>
            <w:r>
              <w:rPr>
                <w:b/>
                <w:sz w:val="19"/>
              </w:rPr>
              <w:t>DP费用 元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center"/>
            </w:pPr>
            <w:r>
              <w:rPr>
                <w:b/>
                <w:sz w:val="19"/>
              </w:rPr>
              <w:t>相对LP差距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400.00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37,374.64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6.40%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200.00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36,182.48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3.00%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100.00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35,688.92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1.60%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50.00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35,404.67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0.79%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动态规划已统一到10分钟尺度，网格由400加密到50 kWh时，费用单调接近LP，差距由6.40%降至0.79%。这构成独立算法支持；50 kWh网格仍存在约277.72元离散差距，不能宣称DP与LP数值完全一致，也不能用有限网格结果替代连续最优性。</w:t>
      </w:r>
    </w:p>
    <w:p>
      <w:pPr>
        <w:pStyle w:val="Heading2"/>
      </w:pPr>
      <w:r>
        <w:rPr>
          <w:rFonts w:ascii="Noto Serif CJK SC" w:hAnsi="Noto Serif CJK SC" w:eastAsia="Noto Serif CJK SC"/>
        </w:rPr>
        <w:t>Q1结论边界</w:t>
      </w:r>
    </w:p>
    <w:p>
      <w:r>
        <w:rPr>
          <w:rFonts w:ascii="Noto Serif CJK SC" w:hAnsi="Noto Serif CJK SC" w:eastAsia="Noto Serif CJK SC"/>
        </w:rPr>
        <w:t>Q1主结果支持在附件1给定预测、当前效率口径和已建约束下采用M2。充放电效率各0.9对应往返效率0.81；若题意改为往返效率0.9，需重新求解。时间标签平移和效率口径敏感性尚未执行，当前结果也不能直接解释为含预测误差的实际运行最优费用。</w:t>
      </w:r>
    </w:p>
    <w:p>
      <w:r>
        <w:rPr>
          <w:rFonts w:ascii="Noto Serif CJK SC" w:hAnsi="Noto Serif CJK SC" w:eastAsia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/>
        </w:rPr>
        <w:t>三 Q2预测优势与经济效果</w:t>
      </w:r>
    </w:p>
    <w:p>
      <w:r>
        <w:rPr>
          <w:rFonts w:ascii="Noto Serif CJK SC" w:hAnsi="Noto Serif CJK SC" w:eastAsia="Noto Serif CJK SC"/>
        </w:rPr>
        <w:t>评价期为2025年2月1日至12月31日，共334天。三种方法使用相同真实负荷、光伏、电价、LP约束和2月1日初始SOC；各方法分别执行自己的计划并连续传递自己的SOC。M3每日00:00只用过去资料预测当天净负荷，实际值用于执行结算及事后评分，不进入当日计划。</w:t>
      </w:r>
    </w:p>
    <w:p>
      <w:pPr>
        <w:pStyle w:val="Heading2"/>
      </w:pPr>
      <w:r>
        <w:rPr>
          <w:rFonts w:ascii="Noto Serif CJK SC" w:hAnsi="Noto Serif CJK SC" w:eastAsia="Noto Serif CJK SC"/>
        </w:rPr>
        <w:t>预测误差比较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left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center"/>
            </w:pPr>
            <w:r>
              <w:rPr>
                <w:b/>
                <w:sz w:val="19"/>
              </w:rPr>
              <w:t>M1持久性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center"/>
            </w:pPr>
            <w:r>
              <w:rPr>
                <w:b/>
                <w:sz w:val="19"/>
              </w:rPr>
              <w:t>M2七日均值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center"/>
            </w:pPr>
            <w:r>
              <w:rPr>
                <w:b/>
                <w:sz w:val="19"/>
              </w:rPr>
              <w:t>M3梯度提升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RMSE kW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1,187.22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1,006.53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451.70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MAE kW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744.22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794.97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312.31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欠预测95%分位 kW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2,234.52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1,238.23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636.69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M3的RMSE为451.70 kW，较M1和M2分别下降61.95%和55.12%；MAE降至312.31 kW。欠预测正部的95%经验分位为636.69 kW，也低于两种简单方法，说明当前资料中的误差幅度和较大欠预测均有所改善。该经验分位不是未来风险覆盖的概率保证。</w:t>
      </w:r>
    </w:p>
    <w:p>
      <w:pPr>
        <w:pStyle w:val="Heading2"/>
      </w:pPr>
      <w:r>
        <w:rPr>
          <w:rFonts w:ascii="Noto Serif CJK SC" w:hAnsi="Noto Serif CJK SC" w:eastAsia="Noto Serif CJK SC"/>
        </w:rPr>
        <w:t>实际结算费用比较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419"/>
        <w:gridCol w:w="2419"/>
        <w:gridCol w:w="2434"/>
      </w:tblGrid>
      <w:tr>
        <w:trPr>
          <w:cantSplit/>
          <w:tblHeader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left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center"/>
            </w:pPr>
            <w:r>
              <w:rPr>
                <w:b/>
                <w:sz w:val="19"/>
              </w:rPr>
              <w:t>M1持久性</w:t>
            </w:r>
          </w:p>
        </w:tc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center"/>
            </w:pPr>
            <w:r>
              <w:rPr>
                <w:b/>
                <w:sz w:val="19"/>
              </w:rPr>
              <w:t>M2七日均值</w:t>
            </w:r>
          </w:p>
        </w:tc>
        <w:tc>
          <w:tcPr>
            <w:tcW w:type="dxa" w:w="24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center"/>
            </w:pPr>
            <w:r>
              <w:rPr>
                <w:b/>
                <w:sz w:val="19"/>
              </w:rPr>
              <w:t>M3梯度提升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计划费用 元</w:t>
            </w:r>
          </w:p>
        </w:tc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12,219,366.59</w:t>
            </w:r>
          </w:p>
        </w:tc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11,714,200.53</w:t>
            </w:r>
          </w:p>
        </w:tc>
        <w:tc>
          <w:tcPr>
            <w:tcW w:type="dxa" w:w="24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12,046,165.17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紧急费用 元</w:t>
            </w:r>
          </w:p>
        </w:tc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10,534,923.66</w:t>
            </w:r>
          </w:p>
        </w:tc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13,031,788.03</w:t>
            </w:r>
          </w:p>
        </w:tc>
        <w:tc>
          <w:tcPr>
            <w:tcW w:type="dxa" w:w="24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4,818,837.67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综合费用 元</w:t>
            </w:r>
          </w:p>
        </w:tc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22,754,290.24</w:t>
            </w:r>
          </w:p>
        </w:tc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24,745,988.56</w:t>
            </w:r>
          </w:p>
        </w:tc>
        <w:tc>
          <w:tcPr>
            <w:tcW w:type="dxa" w:w="24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16,865,002.84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紧急购电量 kWh</w:t>
            </w:r>
          </w:p>
        </w:tc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2,578,728.30</w:t>
            </w:r>
          </w:p>
        </w:tc>
        <w:tc>
          <w:tcPr>
            <w:tcW w:type="dxa" w:w="24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3,134,903.41</w:t>
            </w:r>
          </w:p>
        </w:tc>
        <w:tc>
          <w:tcPr>
            <w:tcW w:type="dxa" w:w="24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1,163,433.11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M3综合费用为16,865,002.84元，较M1减少5,889,287.40元，下降25.88%；较M2减少7,880,985.72元，下降31.85%。紧急购电量为1,163,433.11 kWh，较M1和M2分别下降54.88%和62.89%，预测优势已在当前回放中转化为运营收益。</w:t>
      </w:r>
    </w:p>
    <w:p>
      <w:r>
        <w:rPr>
          <w:rFonts w:ascii="Noto Serif CJK SC" w:hAnsi="Noto Serif CJK SC" w:eastAsia="Noto Serif CJK SC"/>
        </w:rPr>
        <w:t>M3相对M1的计划费用仅减少173,201.42元，紧急费用则减少5,716,085.99元，说明收益主要来自减少按5倍电价结算的供电缺口。M2计划费用最低，却因紧急费用最高而产生最高综合费用，表明仅追求较低计划费用或较低RMSE均不足以评价最终运行效果。</w:t>
      </w:r>
    </w:p>
    <w:p>
      <w:r>
        <w:rPr>
          <w:rFonts w:ascii="Noto Serif CJK SC" w:hAnsi="Noto Serif CJK SC" w:eastAsia="Noto Serif CJK SC"/>
        </w:rPr>
        <w:t>表内各费用独立四舍五入至分，个别行的分项显示值相加与综合费用显示值可能相差0.01元；分析及差额均以原始精度计算。</w:t>
      </w:r>
    </w:p>
    <w:p>
      <w:pPr>
        <w:pStyle w:val="Heading1"/>
      </w:pPr>
      <w:r>
        <w:rPr>
          <w:rFonts w:ascii="Noto Serif CJK SC" w:hAnsi="Noto Serif CJK SC" w:eastAsia="Noto Serif CJK SC"/>
        </w:rPr>
        <w:t>四 Q2剩余风险与结论边界</w:t>
      </w:r>
    </w:p>
    <w:p>
      <w:pPr>
        <w:pStyle w:val="Heading2"/>
      </w:pPr>
      <w:r>
        <w:rPr>
          <w:rFonts w:ascii="Noto Serif CJK SC" w:hAnsi="Noto Serif CJK SC" w:eastAsia="Noto Serif CJK SC"/>
        </w:rPr>
        <w:t>紧急购电与极端费用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4"/>
        <w:gridCol w:w="3312"/>
      </w:tblGrid>
      <w:tr>
        <w:trPr>
          <w:cantSplit/>
          <w:tblHeader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left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center"/>
            </w:pPr>
            <w:r>
              <w:rPr>
                <w:b/>
                <w:sz w:val="19"/>
              </w:rPr>
              <w:t>M3正式结果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紧急费用占综合费用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28.57%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紧急电量占评价期实际负荷电量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3.14%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最坏日综合费用 元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116,003.75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相对M1最坏日费用下降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46.21%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相对M2最坏日费用下降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22.50%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尽管M3明显减少紧急购电，紧急费用仍占综合费用约28.57%，说明剩余欠预测仍具有较高经济影响。3.14%的紧急电量比例以评价期实际负荷电量为分母，不是缺电时段比例。最坏日费用为116,003.75元，在当前样本中优于两种对照，但单个最大值不能证明极端事件下的普遍稳定性。</w:t>
      </w:r>
    </w:p>
    <w:p>
      <w:r>
        <w:rPr>
          <w:rFonts w:ascii="Noto Serif CJK SC" w:hAnsi="Noto Serif CJK SC" w:eastAsia="Noto Serif CJK SC"/>
        </w:rPr>
        <w:t>按正式每日指标汇总，6月紧急购电量最高，约167,894.34 kWh；12月综合费用最高，约1,927,368.84元。月度总量也受天数及运行条件影响，不能直接归因为季节效应。这些分布说明费用高峰与紧急电量高峰并不完全一致，后续需分别检查价格、需求及误差因素。</w:t>
      </w:r>
    </w:p>
    <w:p>
      <w:pPr>
        <w:pStyle w:val="Heading2"/>
        <w:pageBreakBefore/>
      </w:pPr>
      <w:r>
        <w:rPr>
          <w:rFonts w:ascii="Noto Serif CJK SC" w:hAnsi="Noto Serif CJK SC" w:eastAsia="Noto Serif CJK SC"/>
        </w:rPr>
        <w:t>SOC连续与计划可行性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4"/>
        <w:gridCol w:w="3312"/>
      </w:tblGrid>
      <w:tr>
        <w:trPr>
          <w:cantSplit/>
          <w:tblHeader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left"/>
            </w:pPr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  <w:shd w:fill="E8EEF3"/>
          </w:tcPr>
          <w:p>
            <w:pPr>
              <w:spacing w:line="252" w:lineRule="auto" w:before="40" w:after="40"/>
              <w:jc w:val="center"/>
            </w:pPr>
            <w:r>
              <w:rPr>
                <w:b/>
                <w:sz w:val="19"/>
              </w:rPr>
              <w:t>M3正式结果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2月1日共同初始SOC kWh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约1200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12月31日终端SOC kWh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6000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最大计划能量平衡残差 kWh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1.14 × 10⁻¹³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最大SOC越界误差 kWh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1.43 × 10⁻¹¹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left"/>
            </w:pPr>
            <w:r>
              <w:rPr>
                <w:b w:val="0"/>
                <w:sz w:val="19"/>
              </w:rPr>
              <w:t>同时充放电时段数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line="252" w:lineRule="auto" w:before="40" w:after="40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Noto Serif CJK SC" w:hAnsi="Noto Serif CJK SC" w:eastAsia="Noto Serif CJK SC"/>
        </w:rPr>
        <w:t>各日SOC连续传递，仅全年末强制6000 kWh，不要求每日首末相等。计划满足储能状态、功率和互斥审计；实际供电缺口由紧急购电补足。计划平衡残差反映预测调度约束的数值精度，不能解释为实际预测误差接近零。</w:t>
      </w:r>
    </w:p>
    <w:p>
      <w:pPr>
        <w:pStyle w:val="Heading2"/>
      </w:pPr>
      <w:r>
        <w:rPr>
          <w:rFonts w:ascii="Noto Serif CJK SC" w:hAnsi="Noto Serif CJK SC" w:eastAsia="Noto Serif CJK SC"/>
        </w:rPr>
        <w:t>Q2最终结果解释</w:t>
      </w:r>
    </w:p>
    <w:p>
      <w:r>
        <w:rPr>
          <w:rFonts w:ascii="Noto Serif CJK SC" w:hAnsi="Noto Serif CJK SC" w:eastAsia="Noto Serif CJK SC"/>
        </w:rPr>
        <w:t>现有正式证据支持Q2采用M3梯度提升净负荷预测结合日前LP。每日给定预测的LP子问题具有连续全局最优性，但一年内的预测误差、5倍紧急结算及未显式建模的远期终端价值，使全年综合费用只能解释为非前视策略回放结果，不能宣称全年随机优化的理论全局最优。</w:t>
      </w:r>
    </w:p>
    <w:p>
      <w:r>
        <w:rPr>
          <w:rFonts w:ascii="Noto Serif CJK SC" w:hAnsi="Noto Serif CJK SC" w:eastAsia="Noto Serif CJK SC"/>
        </w:rPr>
        <w:t>30/60日训练窗口、模型深度、两日滚动时域、终端价值以及季节外验证尚待补充。当前结果分析不替代尚未完成的稳定性审阅，也不将这些未来检查标记为通过。</w:t>
      </w:r>
    </w:p>
    <w:p>
      <w:pPr>
        <w:pStyle w:val="Heading2"/>
      </w:pPr>
      <w:r>
        <w:rPr>
          <w:rFonts w:ascii="Noto Serif CJK SC" w:hAnsi="Noto Serif CJK SC" w:eastAsia="Noto Serif CJK SC"/>
        </w:rPr>
        <w:t>数据依据</w:t>
      </w:r>
    </w:p>
    <w:p>
      <w:r>
        <w:rPr>
          <w:rFonts w:ascii="Noto Serif CJK SC" w:hAnsi="Noto Serif CJK SC" w:eastAsia="Noto Serif CJK SC"/>
        </w:rPr>
        <w:t>Q1与Q2正式指标及报告位于 results/Q1/experiments/round1/ 和 results/Q2/experiments/round1/。电价动作分析由Q1的 q1_schedule.csv 汇总；月度结果由Q2的 q2_daily_metrics.csv 汇总。工作簿为 output/result1.xlsx 与 output/result2.xlsx。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6" w:lineRule="auto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Q1 Q2最终结果分析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