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1-q2最终方法说明"/>
    <w:p>
      <w:pPr>
        <w:pStyle w:val="Title"/>
        <w:widowControl/>
      </w:pPr>
      <w:r>
        <w:rPr>
          <w:rFonts w:ascii="Noto Serif CJK SC" w:hAnsi="Noto Serif CJK SC" w:eastAsia="Noto Serif CJK SC"/>
        </w:rPr>
        <w:t xml:space="preserve">Q1 Q2最终方法说明</w:t>
      </w:r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本文汇总Q1与Q2的最终方法、正式实验结果及结论边界。Q1采用10分钟连续线性规划；Q2采用严格非前视的梯度提升净负荷预测，结合跨日SOC连续的日前线性规划调度。</w:t>
      </w:r>
    </w:p>
    <w:bookmarkStart w:id="20" w:name="q1最终方法说明"/>
    <w:p>
      <w:pPr>
        <w:pStyle w:val="Heading1"/>
        <w:widowControl/>
      </w:pPr>
      <w:r>
        <w:rPr>
          <w:rFonts w:ascii="Noto Serif CJK SC" w:hAnsi="Noto Serif CJK SC" w:eastAsia="Noto Serif CJK SC"/>
        </w:rPr>
        <w:t xml:space="preserve">Q1最终方法说明</w:t>
      </w:r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Q1采用连续线性规划建立确定性储能调度模型。在附件1给定的负荷、光伏预测和电价条件下，将一天划分为144个10分钟时段，以全天购电费用最小为目标，联合优化各时段购电量、充电量、放电量及储能电量。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设</w:t>
      </w:r>
      <w:r>
        <w:rPr>
          <w:rFonts w:ascii="Noto Serif CJK SC" w:hAnsi="Noto Serif CJK SC" w:eastAsia="Noto Serif CJK SC"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分别为第</w:t>
      </w:r>
      <w:r>
        <w:rPr>
          <w:rFonts w:ascii="Noto Serif CJK SC" w:hAnsi="Noto Serif CJK SC" w:eastAsia="Noto Serif CJK SC"/>
        </w:rPr>
        <w:t xml:space="preserve"> </w:t>
      </w:r>
      <m:oMath>
        <m:r>
          <m:t>t</m:t>
        </m:r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时段的购电量、充电量和放电量，单位均为kWh；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为该时段结束时的储能电量；</w:t>
      </w:r>
      <m:oMath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为负荷功率与光伏预测功率，单位为kW；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为电价，单位为元/kWh。时间步长为</w:t>
      </w:r>
      <w:r>
        <w:rPr>
          <w:rFonts w:ascii="Noto Serif CJK SC" w:hAnsi="Noto Serif CJK SC" w:eastAsia="Noto Serif CJK SC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小时，目标函数为</w:t>
      </w:r>
    </w:p>
    <w:p>
      <w:pPr>
        <w:pStyle w:val="BodyText"/>
        <w:widowControl/>
        <w:spacing w:before="60" w:after="100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144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供需约束为</w:t>
      </w:r>
    </w:p>
    <w:p>
      <w:pPr>
        <w:pStyle w:val="BodyText"/>
        <w:widowControl/>
        <w:spacing w:before="60" w:after="100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e>
          </m:d>
          <m:r>
            <m:t>Δ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其中允许富余光伏弃用，不考虑向电网售电。储能状态满足</w:t>
      </w:r>
    </w:p>
    <w:p>
      <w:pPr>
        <w:pStyle w:val="BodyText"/>
        <w:widowControl/>
        <w:spacing w:before="60" w:after="10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0.9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0.9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同时要求</w:t>
      </w:r>
    </w:p>
    <w:p>
      <w:pPr>
        <w:pStyle w:val="BodyText"/>
        <w:widowControl/>
        <w:spacing w:before="60" w:after="100"/>
      </w:pPr>
      <m:oMathPara>
        <m:oMathParaPr>
          <m:jc m:val="center"/>
        </m:oMathParaPr>
        <m:oMath>
          <m:r>
            <m:t>1200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10800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5000</m:t>
          </m:r>
          <m:r>
            <m:t>Δ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并设置</w:t>
      </w:r>
      <w:r>
        <w:rPr>
          <w:rFonts w:ascii="Noto Serif CJK SC" w:hAnsi="Noto Serif CJK SC" w:eastAsia="Noto Serif CJK SC"/>
        </w:rP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144</m:t>
            </m:r>
          </m:sub>
        </m:sSub>
        <m:r>
          <m:rPr>
            <m:sty m:val="p"/>
          </m:rPr>
          <m:t>=</m:t>
        </m:r>
        <m:r>
          <m:t>6000</m:t>
        </m:r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kWh，避免通过消耗初始储能降低当日费用。仓库当前口径为充、放电效率分别取0.9，对应往返效率0.81。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上述目标和约束均为线性形式，使用SciPy的HiGHS求解器求解。充放电互斥采用“先求解LP、再逐时审计”的方式处理。本次144个时段均未出现同时充放电，因此所得LP最优解也满足互斥要求；由于互斥模型的可行域包含于LP可行域，该解在数值容差内同时达到对应互斥模型的最优费用。若后续实例出现同时充放电，当前程序会停止并要求加入二元变量升级为MILP，不继续输出物理可行性结论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正式实验得到全天购电费用35,126.95元，相比无储能基线48,052.05元减少12,925.10元，节省26.90%。储能电量在数值容差内保持于1200—10800 kWh，最大能量平衡残差为</w:t>
      </w:r>
      <w:r>
        <w:rPr>
          <w:rFonts w:ascii="Noto Serif CJK SC" w:hAnsi="Noto Serif CJK SC" w:eastAsia="Noto Serif CJK SC"/>
        </w:rPr>
        <w:t xml:space="preserve"> </w:t>
      </w:r>
      <m:oMath>
        <m:r>
          <m:t>1.14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kWh，终端储能误差为</w:t>
      </w:r>
      <w:r>
        <w:rPr>
          <w:rFonts w:ascii="Noto Serif CJK SC" w:hAnsi="Noto Serif CJK SC" w:eastAsia="Noto Serif CJK SC"/>
        </w:rPr>
        <w:t xml:space="preserve"> </w:t>
      </w:r>
      <m:oMath>
        <m:r>
          <m:t>6.37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kWh。独立动态规划核验也统一采用10分钟尺度；SOC网格从400、200、100加密至50 kWh时，费用相对LP的差距依次缩小为6.40%、3.00%、1.60%和0.79%，形成支持LP结果的收敛证据。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因此，M2承担Q1正式优化及后续问题的公共调度内核，M1用于衡量储能收益，M3用于独立数值核验。该最优性结论限定于附件1给定预测、当前效率口径及已建约束下的确定性模型；预测误差、效率解释和时间标签变化对实际费用的影响，仍需通过相应敏感性实验评价。</w:t>
      </w:r>
    </w:p>
    <w:bookmarkEnd w:id="20"/>
    <w:bookmarkStart w:id="21" w:name="q2最终方法说明"/>
    <w:p>
      <w:pPr>
        <w:pStyle w:val="Heading1"/>
        <w:pageBreakBefore/>
        <w:widowControl/>
      </w:pPr>
      <w:r>
        <w:rPr>
          <w:rFonts w:ascii="Noto Serif CJK SC" w:hAnsi="Noto Serif CJK SC" w:eastAsia="Noto Serif CJK SC"/>
        </w:rPr>
        <w:t xml:space="preserve">Q2最终方法说明</w:t>
      </w:r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Q2采用“日前净负荷预测—储能优化—实际结算”的方法，处理负荷与光伏不确定条件下的购电调度。每天00:00，仅利用目标日前已实现的历史数据，预测当天144个10分钟时段的净负荷，再调用Q1的连续线性规划内核制定全天购电和充放电计划。日内按计划执行，实际供电缺口通过紧急购电补足，不进行Q3式的日内滚动调整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预测层直接预测净负荷</w:t>
      </w:r>
      <w:r>
        <w:rPr>
          <w:rFonts w:ascii="Noto Serif CJK SC" w:hAnsi="Noto Serif CJK SC" w:eastAsia="Noto Serif CJK SC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，其中</w:t>
      </w:r>
      <w:r>
        <w:rPr>
          <w:rFonts w:ascii="Noto Serif CJK SC" w:hAnsi="Noto Serif CJK SC" w:eastAsia="Noto Serif CJK SC"/>
        </w:rP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和</w:t>
      </w:r>
      <w:r>
        <w:rPr>
          <w:rFonts w:ascii="Noto Serif CJK SC" w:hAnsi="Noto Serif CJK SC" w:eastAsia="Noto Serif CJK SC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分别为第</w:t>
      </w:r>
      <w:r>
        <w:rPr>
          <w:rFonts w:ascii="Noto Serif CJK SC" w:hAnsi="Noto Serif CJK SC" w:eastAsia="Noto Serif CJK SC"/>
        </w:rPr>
        <w:t xml:space="preserve"> </w:t>
      </w:r>
      <m:oMath>
        <m:r>
          <m:t>d</m:t>
        </m:r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天、第</w:t>
      </w:r>
      <w:r>
        <w:rPr>
          <w:rFonts w:ascii="Noto Serif CJK SC" w:hAnsi="Noto Serif CJK SC" w:eastAsia="Noto Serif CJK SC"/>
        </w:rPr>
        <w:t xml:space="preserve"> </w:t>
      </w:r>
      <m:oMath>
        <m:r>
          <m:t>t</m:t>
        </m:r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时段的实际负荷与光伏功率，单位为kW。采用直方图梯度提升回归模型，每日使用目标日前最近30日内可构造特征的训练样本重新拟合。输入特征包括前日同槽净负荷、过去七日同槽均值、日内周期的正余弦编码及七日周期索引。模型配置为30次提升迭代、最大深度4、学习率0.1、L2正则化系数</w:t>
      </w:r>
      <w:r>
        <w:rPr>
          <w:rFonts w:ascii="Noto Serif CJK SC" w:hAnsi="Noto Serif CJK SC" w:eastAsia="Noto Serif CJK SC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Noto Serif CJK SC" w:hAnsi="Noto Serif CJK SC" w:eastAsia="Noto Serif CJK SC"/>
        </w:rPr>
        <w:t xml:space="preserve">，随机种子2026。目标日及未来实测值不参与当日特征构造或训练，避免前视泄漏。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优化层将预测净负荷</w:t>
      </w:r>
      <w:r>
        <w:rPr>
          <w:rFonts w:ascii="Noto Serif CJK SC" w:hAnsi="Noto Serif CJK SC" w:eastAsia="Noto Serif CJK SC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乘以时间步长</w:t>
      </w:r>
      <w:r>
        <w:rPr>
          <w:rFonts w:ascii="Noto Serif CJK SC" w:hAnsi="Noto Serif CJK SC" w:eastAsia="Noto Serif CJK SC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小时，转化为时段净需求电量。设</w:t>
      </w:r>
      <w:r>
        <w:rPr>
          <w:rFonts w:ascii="Noto Serif CJK SC" w:hAnsi="Noto Serif CJK SC" w:eastAsia="Noto Serif CJK SC"/>
        </w:rPr>
        <w:t xml:space="preserve"> </w:t>
      </w:r>
      <m:oMath>
        <m:sSub>
          <m:e>
            <m:r>
              <m:t>g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分别为计划购电量、充电量和放电量，单位为kWh，以当日计划购电费用最小为目标：</w:t>
      </w:r>
    </w:p>
    <w:p>
      <w:pPr>
        <w:pStyle w:val="BodyText"/>
        <w:widowControl/>
        <w:spacing w:before="60" w:after="100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144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供需和储能状态约束为</w:t>
      </w:r>
    </w:p>
    <w:p>
      <w:pPr>
        <w:pStyle w:val="BodyText"/>
        <w:widowControl/>
        <w:spacing w:before="60" w:after="100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spacing w:before="60" w:after="10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0.9</m:t>
          </m:r>
          <m:sSub>
            <m:e>
              <m:r>
                <m:t>c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0.9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储能电量限制为1200—10800 kWh，充放电功率均不超过5000 kW，购电量非负，允许富余电量弃用且不计售电收益。相邻日期的SOC连续传递；1月采用共同因果预热规则，得到2月1日初始储能电量约1200 kWh，仅在12月31日末强制回到6000 kWh，不要求每日首末储能相等。求解后逐时审计充放电互斥，异常时停止并要求升级为MILP。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实际结算时，保持日前充放电计划，用已经实现的净负荷计算紧急购电量：</w:t>
      </w:r>
    </w:p>
    <w:p>
      <w:pPr>
        <w:pStyle w:val="BodyText"/>
        <w:widowControl/>
        <w:spacing w:before="60" w:after="10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t>Δ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评价期综合费用为</w:t>
      </w:r>
    </w:p>
    <w:p>
      <w:pPr>
        <w:pStyle w:val="BodyText"/>
        <w:widowControl/>
        <w:spacing w:before="60" w:after="100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Noto Serif CJK SC" w:hAnsi="Noto Serif CJK SC" w:eastAsia="Noto Serif CJK SC"/>
        </w:rPr>
        <w:t xml:space="preserve">其中紧急购电按正常电价的5倍结算；日前优化目标仍是预测条件下的计划费用，紧急费用用于实际回放评价，并未直接作为预测风险项进入该LP。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在2025年2月1日至12月31日共334天的同口径回放中，M3的RMSE为451.70 kW，MAE为312.31 kW；计划购电费用为12,046,165.17元，紧急购电费用为4,818,837.67元，综合费用为16,865,002.84元，紧急购电量为1,163,433.11 kWh。相较M1，综合费用下降25.88%，紧急购电量下降54.88%；相较M2，分别下降31.85%和62.89%。因此，梯度提升的预测优势在当前回放中转化为费用与紧急购电优势，支持其承担Q2主模型。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</w:rPr>
        <w:t xml:space="preserve">正式结果中全年末储能电量在数值容差内回到6000 kWh，最大计划能量平衡残差为</w:t>
      </w:r>
      <w:r>
        <w:rPr>
          <w:rFonts w:ascii="Noto Serif CJK SC" w:hAnsi="Noto Serif CJK SC" w:eastAsia="Noto Serif CJK SC"/>
        </w:rPr>
        <w:t xml:space="preserve"> </w:t>
      </w:r>
      <m:oMath>
        <m:r>
          <m:t>1.14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Noto Serif CJK SC" w:hAnsi="Noto Serif CJK SC" w:eastAsia="Noto Serif CJK SC"/>
        </w:rPr>
        <w:t xml:space="preserve"> </w:t>
      </w:r>
      <w:r>
        <w:rPr>
          <w:rFonts w:ascii="Noto Serif CJK SC" w:hAnsi="Noto Serif CJK SC" w:eastAsia="Noto Serif CJK SC"/>
        </w:rPr>
        <w:t xml:space="preserve">kWh，同时充放电时段为0。该方法的最优性限定于每天给定预测和初始SOC的线性规划子问题；由于采用一天滚动时域，未显式建模远期终端价值或预测误差分布，全年综合费用应解释为非前视策略的实际回放结果，不能表述为全年随机优化问题的理论全局最优。训练窗口、模型深度、季节与极端日表现及终端价值敏感性仍待进一步验证。</w:t>
      </w:r>
    </w:p>
    <w:bookmarkEnd w:id="21"/>
    <w:bookmarkStart w:id="22" w:name="仓库依据"/>
    <w:p>
      <w:pPr>
        <w:pStyle w:val="Heading1"/>
        <w:widowControl/>
      </w:pPr>
      <w:r>
        <w:rPr>
          <w:rFonts w:ascii="Noto Serif CJK SC" w:hAnsi="Noto Serif CJK SC" w:eastAsia="Noto Serif CJK SC"/>
        </w:rPr>
        <w:t xml:space="preserve">仓库依据</w:t>
      </w:r>
    </w:p>
    <w:p>
      <w:pPr>
        <w:pStyle w:val="FirstParagraph"/>
        <w:widowControl/>
      </w:pPr>
      <w:r>
        <w:rPr>
          <w:rFonts w:ascii="Noto Serif CJK SC" w:hAnsi="Noto Serif CJK SC" w:eastAsia="Noto Serif CJK SC"/>
          <w:sz w:val="18"/>
        </w:rPr>
        <w:t xml:space="preserve">Q1：results/Q1/experiments/round1/experiment_report.md 与 metrics/metrics.json。</w:t>
      </w:r>
    </w:p>
    <w:p>
      <w:pPr>
        <w:pStyle w:val="BodyText"/>
        <w:widowControl/>
      </w:pPr>
      <w:r>
        <w:rPr>
          <w:rFonts w:ascii="Noto Serif CJK SC" w:hAnsi="Noto Serif CJK SC" w:eastAsia="Noto Serif CJK SC"/>
          <w:sz w:val="18"/>
        </w:rPr>
        <w:t xml:space="preserve">Q2：results/Q2/experiments/round1/experiment_report.md 与 metrics/metrics.json。</w:t>
      </w:r>
    </w:p>
    <w:bookmarkEnd w:id="22"/>
    <w:bookmarkEnd w:id="23"/>
    <w:sectPr>
      <w:footerReference w:type="default" r:id="rId9"/>
      <w:pgSz w:w="12240" w:h="15840"/>
      <w:pgMar w:top="1080" w:bottom="1080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140"/>
    </w:pPr>
    <w:rPr>
      <w:rFonts w:ascii="Liberation Serif" w:hAnsi="Liberation Serif" w:eastAsia="Noto Serif CJK SC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Liberation Serif" w:hAnsi="Liberation Serif" w:eastAsia="Noto Serif CJK SC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Liberation Serif" w:hAnsi="Liberation Serif" w:eastAsia="Noto Serif CJK SC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Liberation Serif" w:hAnsi="Liberation Serif" w:eastAsia="Noto Serif CJK SC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80" w:before="240"/>
      <w:jc w:val="center"/>
    </w:pPr>
    <w:rPr>
      <w:rFonts w:asciiTheme="majorHAnsi" w:cstheme="majorBidi" w:eastAsiaTheme="majorEastAsia" w:hAnsiTheme="majorHAnsi" w:ascii="Liberation Serif" w:hAnsi="Liberation Serif" w:eastAsia="Noto Serif CJK SC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erif" w:hAnsi="Liberation Serif" w:eastAsia="Noto Serif CJK SC"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Liberation Serif" w:hAnsi="Liberation Serif" w:eastAsia="Noto Serif CJK SC"/>
      <w:color w:val="000000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Liberation Serif" w:hAnsi="Liberation Serif" w:eastAsia="Noto Serif CJK SC"/>
      <w:color w:val="000000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2"/>
      <w:szCs w:val="20"/>
      <w:rFonts w:ascii="Liberation Serif" w:hAnsi="Liberation Serif" w:eastAsia="Noto Serif CJK SC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Liberation Serif" w:hAnsi="Liberation Serif" w:eastAsia="Noto Serif CJK SC"/>
      <w:color w:val="000000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Liberation Serif" w:hAnsi="Liberation Serif" w:eastAsia="Noto Serif CJK SC"/>
      <w:color w:val="000000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80" w:before="240"/>
      <w:outlineLvl w:val="0"/>
    </w:pPr>
    <w:rPr>
      <w:rFonts w:asciiTheme="majorHAnsi" w:cstheme="majorBidi" w:eastAsiaTheme="majorEastAsia" w:hAnsiTheme="majorHAnsi" w:ascii="Liberation Serif" w:hAnsi="Liberation Serif" w:eastAsia="Noto Serif CJK SC"/>
      <w:b/>
      <w:bCs/>
      <w:color w:val="000000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80" w:before="240"/>
      <w:outlineLvl w:val="1"/>
    </w:pPr>
    <w:rPr>
      <w:rFonts w:asciiTheme="majorHAnsi" w:cstheme="majorBidi" w:eastAsiaTheme="majorEastAsia" w:hAnsiTheme="majorHAnsi" w:ascii="Liberation Serif" w:hAnsi="Liberation Serif" w:eastAsia="Noto Serif CJK SC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Liberation Serif" w:hAnsi="Liberation Serif" w:eastAsia="Noto Serif CJK SC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Liberation Serif" w:hAnsi="Liberation Serif" w:eastAsia="Noto Serif CJK SC"/>
      <w:i/>
      <w:bCs/>
      <w:color w:val="00000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Liberation Serif" w:hAnsi="Liberation Serif" w:eastAsia="Noto Serif CJK SC"/>
      <w:iCs/>
      <w:color w:val="000000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Liberation Serif" w:hAnsi="Liberation Serif" w:eastAsia="Noto Serif CJK SC"/>
      <w:color w:val="00000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Liberation Serif" w:hAnsi="Liberation Serif" w:eastAsia="Noto Serif CJK SC"/>
      <w:color w:val="000000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Liberation Serif" w:hAnsi="Liberation Serif" w:eastAsia="Noto Serif CJK SC"/>
      <w:color w:val="000000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Liberation Serif" w:hAnsi="Liberation Serif" w:eastAsia="Noto Serif CJK SC"/>
      <w:color w:val="000000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eastAsia="Noto Serif CJK SC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Liberation Serif" w:hAnsi="Liberation Serif" w:eastAsia="Noto Serif CJK SC"/>
      <w:color w:val="000000"/>
      <w:sz w:val="2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Liberation Serif" w:hAnsi="Liberation Serif" w:eastAsia="Noto Serif CJK SC"/>
      <w:b/>
      <w:color w:val="000000"/>
      <w:sz w:val="22"/>
    </w:rPr>
  </w:style>
  <w:style w:customStyle="1" w:styleId="Definition" w:type="paragraph">
    <w:name w:val="Definition"/>
    <w:basedOn w:val="Normal"/>
    <w:rPr>
      <w:rFonts w:ascii="Liberation Serif" w:hAnsi="Liberation Serif" w:eastAsia="Noto Serif CJK SC"/>
      <w:color w:val="000000"/>
      <w:sz w:val="22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Liberation Serif" w:hAnsi="Liberation Serif" w:eastAsia="Noto Serif CJK SC"/>
      <w:i/>
      <w:color w:val="000000"/>
      <w:sz w:val="22"/>
    </w:rPr>
  </w:style>
  <w:style w:customStyle="1" w:styleId="TableCaption" w:type="paragraph">
    <w:name w:val="Table Caption"/>
    <w:basedOn w:val="Caption"/>
    <w:pPr>
      <w:keepNext/>
    </w:pPr>
    <w:rPr>
      <w:rFonts w:ascii="Liberation Serif" w:hAnsi="Liberation Serif" w:eastAsia="Noto Serif CJK SC"/>
      <w:color w:val="000000"/>
      <w:sz w:val="22"/>
    </w:rPr>
  </w:style>
  <w:style w:customStyle="1" w:styleId="ImageCaption" w:type="paragraph">
    <w:name w:val="Image Caption"/>
    <w:basedOn w:val="Caption"/>
    <w:rPr>
      <w:rFonts w:ascii="Liberation Serif" w:hAnsi="Liberation Serif" w:eastAsia="Noto Serif CJK SC"/>
      <w:color w:val="000000"/>
      <w:sz w:val="22"/>
    </w:rPr>
  </w:style>
  <w:style w:customStyle="1" w:styleId="Figure" w:type="paragraph">
    <w:name w:val="Figure"/>
    <w:basedOn w:val="Normal"/>
    <w:rPr>
      <w:rFonts w:ascii="Liberation Serif" w:hAnsi="Liberation Serif" w:eastAsia="Noto Serif CJK SC"/>
      <w:color w:val="000000"/>
      <w:sz w:val="22"/>
    </w:rPr>
  </w:style>
  <w:style w:customStyle="1" w:styleId="CaptionedFigure" w:type="paragraph">
    <w:name w:val="Captioned Figure"/>
    <w:basedOn w:val="Figure"/>
    <w:pPr>
      <w:keepNext/>
    </w:pPr>
    <w:rPr>
      <w:rFonts w:ascii="Liberation Serif" w:hAnsi="Liberation Serif" w:eastAsia="Noto Serif CJK SC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Liberation Serif" w:hAnsi="Liberation Serif" w:eastAsia="Noto Serif CJK SC"/>
      <w:b w:val="0"/>
      <w:bCs w:val="0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Serif" w:hAnsi="Liberation Serif" w:eastAsia="Noto Serif CJK SC"/>
      <w:color w:val="000000"/>
      <w:sz w:val="22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 Q2最终方法说明</dc:title>
  <dc:creator/>
  <cp:keywords/>
  <dcterms:created xsi:type="dcterms:W3CDTF">2026-09-12T04:48:08Z</dcterms:created>
  <dcterms:modified xsi:type="dcterms:W3CDTF">2026-09-12T04:48:08Z</dcterms:modified>
  <dc:subject>储能调度模型及正式实验结果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