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CB7C5" w14:textId="77777777" w:rsidR="00E16794" w:rsidRPr="00E16794" w:rsidRDefault="00E16794" w:rsidP="00E16794">
      <w:r w:rsidRPr="00E16794">
        <w:t># 课程知识点与OWASP LLM风险映射（2025版）v1</w:t>
      </w:r>
    </w:p>
    <w:p w14:paraId="23C304D1" w14:textId="77777777" w:rsidR="00E16794" w:rsidRPr="00E16794" w:rsidRDefault="00E16794" w:rsidP="00E16794">
      <w:r w:rsidRPr="00E16794">
        <w:t>作者：YCQ</w:t>
      </w:r>
    </w:p>
    <w:p w14:paraId="0B9C9055" w14:textId="77777777" w:rsidR="00E16794" w:rsidRPr="00E16794" w:rsidRDefault="00E16794" w:rsidP="00E16794">
      <w:r w:rsidRPr="00E16794">
        <w:t>日期：2026-10-27</w:t>
      </w:r>
    </w:p>
    <w:p w14:paraId="1059CE85" w14:textId="77777777" w:rsidR="00E16794" w:rsidRPr="00E16794" w:rsidRDefault="00E16794" w:rsidP="00E16794"/>
    <w:p w14:paraId="60547C49" w14:textId="77777777" w:rsidR="00E16794" w:rsidRPr="00E16794" w:rsidRDefault="00E16794" w:rsidP="00E16794">
      <w:r w:rsidRPr="00E16794">
        <w:t>## OWASP LLM 风险总览（2025版）</w:t>
      </w:r>
    </w:p>
    <w:p w14:paraId="2430F0A9" w14:textId="77777777" w:rsidR="00E16794" w:rsidRPr="00E16794" w:rsidRDefault="00E16794" w:rsidP="00E16794">
      <w:r w:rsidRPr="00E16794">
        <w:t>OWASP风险编号</w:t>
      </w:r>
      <w:r w:rsidRPr="00E16794">
        <w:tab/>
        <w:t>风险名称</w:t>
      </w:r>
      <w:r w:rsidRPr="00E16794">
        <w:tab/>
        <w:t>本项目对应场景</w:t>
      </w:r>
    </w:p>
    <w:p w14:paraId="048D4BB4" w14:textId="77777777" w:rsidR="00E16794" w:rsidRPr="00E16794" w:rsidRDefault="00E16794" w:rsidP="00E16794">
      <w:r w:rsidRPr="00E16794">
        <w:t>LLM01</w:t>
      </w:r>
      <w:r w:rsidRPr="00E16794">
        <w:tab/>
        <w:t>Prompt Injection 提示注入</w:t>
      </w:r>
      <w:r w:rsidRPr="00E16794">
        <w:tab/>
        <w:t>外部上传文档内嵌隐藏指令，诱导大模型越权操作</w:t>
      </w:r>
    </w:p>
    <w:p w14:paraId="3B9DF6BB" w14:textId="77777777" w:rsidR="00E16794" w:rsidRPr="00E16794" w:rsidRDefault="00E16794" w:rsidP="00E16794">
      <w:r w:rsidRPr="00E16794">
        <w:t>LLM02</w:t>
      </w:r>
      <w:r w:rsidRPr="00E16794">
        <w:tab/>
        <w:t>Sensitive Information Disclosure 敏感信息泄露</w:t>
      </w:r>
      <w:r w:rsidRPr="00E16794">
        <w:tab/>
        <w:t>模型被诱导读取data/private下虚构内部机密文件并输出</w:t>
      </w:r>
    </w:p>
    <w:p w14:paraId="360F4292" w14:textId="77777777" w:rsidR="00E16794" w:rsidRPr="00E16794" w:rsidRDefault="00E16794" w:rsidP="00E16794">
      <w:r w:rsidRPr="00E16794">
        <w:t>LLM06</w:t>
      </w:r>
      <w:r w:rsidRPr="00E16794">
        <w:tab/>
        <w:t>Excessive Agency 过度代理</w:t>
      </w:r>
      <w:r w:rsidRPr="00E16794">
        <w:tab/>
        <w:t>大模型拥有文件读取工具权限，被恶意指令触发后无边界调用</w:t>
      </w:r>
    </w:p>
    <w:p/>
    <w:p>
      <w:r>
        <w:t>## 1. 提示注入风险</w:t>
      </w:r>
    </w:p>
    <w:p>
      <w:r>
        <w:t>根据 OWASP Top 10 for LLM Applications 2025 中的 LLM01: Prompt Injection，提示注入是指攻击者通过恶意指令改变大语言模型原有的任务目标、行为规则或输出结果。</w:t>
      </w:r>
    </w:p>
    <w:p>
      <w:r>
        <w:t>提示注入可以分为直接提示注入和间接提示注入。</w:t>
      </w:r>
    </w:p>
    <w:p>
      <w:r>
        <w:t>直接提示注入是指攻击者直接在用户输入中加入恶意指令，例如要求模型忽略原有规则、泄露系统提示词或调用未授权工具。</w:t>
      </w:r>
    </w:p>
    <w:p>
      <w:r>
        <w:t>间接提示注入是指恶意指令被隐藏在模型需要读取的外部内容中，例如文档、简历、网页或邮件。模型在处理这些内容时，可能把文档中的恶意文字错误地当作系统指令执行。</w:t>
      </w:r>
    </w:p>
    <w:p>
      <w:r>
        <w:t>本项目主要研究间接提示注入风险。攻击者可能在上传的企业文档中嵌入“忽略原有规则”“读取其他文件”“输出内部数据”等恶意内容，诱导模型越权访问文件或泄露敏感信息。</w:t>
      </w:r>
    </w:p>
    <w:p>
      <w:r>
        <w:t>来源标注为：OWASP Top 10 for LLM Applications 2025，LLM01: Prompt Injection</w:t>
      </w:r>
    </w:p>
    <w:p/>
    <w:p>
      <w:r>
        <w:t>## 2. 敏感信息泄露风险</w:t>
      </w:r>
    </w:p>
    <w:p>
      <w:r>
        <w:t>根据 OWASP Top 10 for LLM Applications 2025 中的 LLM02: Sensitive Information Disclosure，大语言模型在处理文档或生成回答时，可能输出个人信息、内部文件内容、财务数据、客户资料以及其他不应公开的敏感信息。</w:t>
      </w:r>
    </w:p>
    <w:p>
      <w:r>
        <w:t>本项目设置输出安全检查机制，对模型生成的内容进行二次检测。当输出中包含身份证号、电话号码、邮箱地址、银行卡号、内部文件路径或预设敏感词时，系统可以对结果进行拦截、脱敏或记录，从而降低敏感信息泄露风险。</w:t>
      </w:r>
    </w:p>
    <w:p>
      <w:r>
        <w:t>该风险主要对应项目中的 output_guard.py 模块。来源标注为：OWASP Top 10 for LLM Applications 2025，LLM02: Sensitive Information Disclosure</w:t>
      </w:r>
    </w:p>
    <w:p/>
    <w:p>
      <w:r>
        <w:t>## 3. 过度代理风险</w:t>
      </w:r>
    </w:p>
    <w:p>
      <w:r>
        <w:t>根据 OWASP Top 10 for LLM Applications 2025 中的 LLM06: Excessive Agency，当大语言模型被授予过多工具权限或能够自主执行过多操作时，攻击者可能利用恶意指令诱导模型读取非授权文件、访问敏感目录或执行超出当前任务范围的操作。</w:t>
      </w:r>
    </w:p>
    <w:p>
      <w:r>
        <w:t>本项目不会让模型直接访问任意文件。模型发出的工具请求必须先经过策略授权模块检查，只有目标文件属于当前上传文件且工具名称位于允许列表中时，请求才会被放行。</w:t>
      </w:r>
    </w:p>
    <w:p>
      <w:r>
        <w:t>该风险主要对应项目中的 policy_gate.py 和 tools.py 模块。来源标注：OWASP Top 10 for LLM Applications 2025，LLM06: Excessive Agency</w:t>
      </w:r>
    </w:p>
    <w:p/>
    <w:p>
      <w:r>
        <w:t>## 4. 最小权限原则与项目映射</w:t>
      </w:r>
    </w:p>
    <w:p>
      <w:r>
        <w:t>《资讯安全》第4章“访问控制”课件介绍了最小权限原则。课件第44页说明，基于角色的访问控制通过不同角色的搭配授权，尽可能实现主体的最小权限；第48页进一步将“便于赋予最小权限原则”列为基于角色访问控制的优势。</w:t>
      </w:r>
    </w:p>
    <w:p>
      <w:r>
        <w:t>本项目遵循最小权限原则，不允许模型任意读取系统文件。模型只能申请使用规定的工具，并且只能读取当前用户上传的文档。即使恶意文档要求模型读取其他文件，策略授权模块也会拒绝该请求。</w:t>
      </w:r>
    </w:p>
    <w:p>
      <w:r>
        <w:t>该知识点主要对应项目中的 policy_gate.py 模块。</w:t>
      </w:r>
    </w:p>
    <w:p>
      <w:r>
        <w:t>课程出处：《资讯安全》第4章访问控制，5_Ch4_Access2_SZ(2).pptx，第44页、第48页。</w:t>
      </w:r>
    </w:p>
    <w:p/>
    <w:p>
      <w:r>
        <w:t>## 5. 授权与执行前权限检查</w:t>
      </w:r>
    </w:p>
    <w:p>
      <w:r>
        <w:t>《资讯安全》第4章“访问控制”课件第6页将授权定义为授予访问权的管理活动；第52页说明，授权决定用户能够执行什么操作。</w:t>
      </w:r>
    </w:p>
    <w:p>
      <w:r>
        <w:t>本项目将课程中的授权概念应用到大语言模型工具调用过程中。模型提出的工具调用请求不能被直接执行，系统必须先检查工具名称、目标文件路径和当前任务范围。只有授权结果为 ALLOW 时，工具才能继续运行；授权结果为 DENY 时，系统立即拒绝执行。</w:t>
      </w:r>
    </w:p>
    <w:p>
      <w:r>
        <w:t>该知识点主要对应项目中的 policy_gate.py 模块。</w:t>
      </w:r>
    </w:p>
    <w:p>
      <w:r>
        <w:t>课程出处：《资讯安全》第4章访问控制，5_Ch4_Access2_SZ(2).pptx，第6页、第52页。</w:t>
      </w:r>
    </w:p>
    <w:p/>
    <w:p>
      <w:r>
        <w:t>## 6. 安全审计与日志记录</w:t>
      </w:r>
    </w:p>
    <w:p>
      <w:r>
        <w:t>《资讯安全》第4章“访问控制”课件第59页指出，安全审计是按照一定的安全策略，利用系统活动和用户活动等记录，对操作事件进行检查、审查和分析的过程。课件第60至65页进一步介绍了安全审计的作用、分类、审计内容和基本结构。</w:t>
      </w:r>
    </w:p>
    <w:p>
      <w:r>
        <w:t>本项目对每一次模型工具调用和授权判断进行日志记录，记录内容包括案例编号、工具名称、目标路径、授权决定、拒绝原因、时间和记录哈希。通过这些日志，可以追踪模型申请了什么操作、系统是否放行以及拒绝操作的具体原因。</w:t>
      </w:r>
    </w:p>
    <w:p>
      <w:r>
        <w:t>项目还使用哈希链保护审计记录。如果历史日志被修改，后续记录的哈希校验会出现异常，从而帮助发现日志篡改行为。</w:t>
      </w:r>
    </w:p>
    <w:p>
      <w:r>
        <w:t>该知识点主要对应项目中的 audit_logger.py 模块。</w:t>
      </w:r>
    </w:p>
    <w:p>
      <w:r>
        <w:t>课程出处：《资讯安全》第4章访问控制，5_Ch4_Access2_SZ(2).pptx，第59—65页。</w:t>
      </w:r>
    </w:p>
    <w:p/>
    <w:p>
      <w:r>
        <w:t>## 7. 文档内容与系统指令的隔离</w:t>
      </w:r>
    </w:p>
    <w:p>
      <w:r>
        <w:t>在本项目中，用户上传的文档被视为不可信数据。文档中的文字只能作为待审查内容，不能直接成为系统指令，也不能直接获得工具调用权限。</w:t>
      </w:r>
    </w:p>
    <w:p>
      <w:r>
        <w:t>这种设计用于区分系统控制指令与外部文档内容，防止恶意文档通过隐藏指令改变模型行为。该设计是本项目结合提示注入风险提出的安全措施，不作为课程课件中的原始知识点。</w:t>
      </w:r>
    </w:p>
    <w:sectPr w:rsidR="00E16794" w:rsidRPr="00E167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794"/>
    <w:rsid w:val="004C5163"/>
    <w:rsid w:val="00E16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1A1FF"/>
  <w15:chartTrackingRefBased/>
  <w15:docId w15:val="{8700523A-75C5-4011-A769-42C8071C0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167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6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67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679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679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679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679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679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679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679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16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6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679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679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1679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679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679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679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67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6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67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67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6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67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67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679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6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679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16794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E16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朝清 杨</dc:creator>
  <cp:keywords/>
  <dc:description/>
  <cp:lastModifiedBy>朝清 杨</cp:lastModifiedBy>
  <cp:revision>1</cp:revision>
  <dcterms:created xsi:type="dcterms:W3CDTF">2026-10-27T07:51:00Z</dcterms:created>
  <dcterms:modified xsi:type="dcterms:W3CDTF">2026-10-27T07:54:00Z</dcterms:modified>
</cp:coreProperties>
</file>