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外部数据平台 2.0</w:t>
        <w:br/>
        <w:t>开发手册</w:t>
      </w:r>
    </w:p>
    <w:p>
      <w:pPr>
        <w:jc w:val="center"/>
      </w:pPr>
      <w:r>
        <w:rPr>
          <w:rFonts w:ascii="Arial" w:hAnsi="Arial" w:eastAsia="Heiti SC"/>
          <w:b w:val="0"/>
          <w:color w:val="000000"/>
          <w:sz w:val="24"/>
        </w:rPr>
        <w:t>面向首次参与项目的开发、测试、发布与运维人员</w:t>
      </w:r>
    </w:p>
    <w:p>
      <w:pPr>
        <w:spacing w:before="1800"/>
        <w:jc w:val="center"/>
      </w:pPr>
      <w:r>
        <w:rPr>
          <w:rFonts w:ascii="Arial" w:hAnsi="Arial" w:eastAsia="Heiti SC"/>
          <w:b w:val="0"/>
          <w:color w:val="000000"/>
          <w:sz w:val="22"/>
        </w:rPr>
        <w:t>版本：V1.0</w:t>
        <w:br/>
        <w:t>代码基线：2026-10-09</w:t>
        <w:br/>
        <w:t>运行基线：JDK 17 / Spring Boot 3.3.4 / Vue 3 / MySQL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打开 Word 后，在目录区域右键选择“更新域”，即可生成带页码的完整目录。</w:t>
      </w:r>
    </w:p>
    <w:p>
      <w:r>
        <w:fldChar w:fldCharType="begin"/>
        <w:instrText xml:space="preserve">TOC \o "1-3" \h \z \u</w:instrText>
        <w:fldChar w:fldCharType="separate"/>
        <w:t>目录将在 Word 中更新后显示</w:t>
        <w:fldChar w:fldCharType="end"/>
      </w:r>
    </w:p>
    <w:p>
      <w:pPr>
        <w:pStyle w:val="Heading1"/>
      </w:pPr>
      <w:r>
        <w:t>1 文档目标与阅读方式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本手册以当前仓库实际代码为唯一基线，帮助第一次接触项目的开发人员理解工程边界，完成本地启动、配置化接口开发、独立数据应用开发、测试、上线、授权、回滚与排障。它不是产品宣传材料，也不把预留设计写成已完成功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94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读者</w:t>
            </w:r>
          </w:p>
        </w:tc>
        <w:tc>
          <w:tcPr>
            <w:tcW w:type="dxa" w:w="288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建议先读</w:t>
            </w:r>
          </w:p>
        </w:tc>
        <w:tc>
          <w:tcPr>
            <w:tcW w:type="dxa" w:w="489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应掌握结果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首次入组开发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第2～8章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能导入工程、启动服务、定位请求链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接口配置人员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第9～12章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能接入资源 API、开发标准服务并上线授权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Java 开发人员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第13～16章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能新增独立数据应用和扩展安全算法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测试人员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第17～19章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能完成分层验证和端到端验收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发布运维人员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第20～23章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能部署、回滚、监控并判断故障边界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本手册中的“配置热更新”指发布后的执行计划和动态路由在运行中刷新，不表示任何 Java 代码修改都无需发布。</w:t>
      </w:r>
    </w:p>
    <w:p>
      <w:pPr>
        <w:pStyle w:val="Heading1"/>
      </w:pPr>
      <w:r>
        <w:t>2 十分钟理解整体架构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EDSP 2.0 是面向全行的外部数据接入与标准服务平台。调用方将 XML 请求发送到 ESB；Adapter 解析 apiCode 和业务体，转换为 JSON 后进入 Gateway；Gateway 完成认证、授权和动态路由；目标数据应用在自身 JVM 内执行字段转换、安全处理、上游调用和响应标准化；最终返回统一 JSON。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115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层次</w:t>
            </w:r>
          </w:p>
        </w:tc>
        <w:tc>
          <w:tcPr>
            <w:tcW w:type="dxa" w:w="22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部署模块</w:t>
            </w:r>
          </w:p>
        </w:tc>
        <w:tc>
          <w:tcPr>
            <w:tcW w:type="dxa" w:w="38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核心职责</w:t>
            </w:r>
          </w:p>
        </w:tc>
        <w:tc>
          <w:tcPr>
            <w:tcW w:type="dxa" w:w="244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明确不做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接入层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jsnx-edsp-esb-adapter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ESB XML 解析、模拟请求/响应队列、JSON 转发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不做业务字段映射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统一入口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jsnx-edsp-data-gateway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认证、API 授权、入口日志、apiCode+Method+Path 动态路由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不执行上游业务编排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控制面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jsnx-edsp-data-admin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资源、接口、映射、发布、授权、计费规则和发布快照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不承接生产请求转换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数据面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每个 jsnx-edsp-data-* 应用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本地计划、请求转换、安全、上游调用、响应转换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数据应用之间不互相依赖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观测面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jsnx-edsp-data-observability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调用日志、节点日志、监控与计量明细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异步失败不得阻断主链路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可选能力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jsnx-edsp-capability-runtime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复杂或高变化能力的远程执行预留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普通调用不经过该服务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080760" cy="540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完整调用链路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0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Heiti SC"/>
          <w:b w:val="0"/>
          <w:color w:val="000000"/>
          <w:sz w:val="18"/>
        </w:rPr>
        <w:t>图 2-1  当前实现的完整请求、控制与日志链路</w:t>
      </w:r>
    </w:p>
    <w:p>
      <w:pPr>
        <w:pStyle w:val="Heading1"/>
      </w:pPr>
      <w:r>
        <w:t>3 仓库结构与 IDE 导入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demo/</w:t>
        <w:br/>
        <w:t>├── jsnx-edsp-platform-backend/   # 后端 Maven 聚合工程</w:t>
        <w:br/>
        <w:t>├── jsnx-edsp-platform-frontend/  # 平台 Vue 3 前端</w:t>
        <w:br/>
        <w:t>├── jsnx-edsp-vendor-backend/     # 上游供应商模拟后端</w:t>
        <w:br/>
        <w:t>├── jsnx-edsp-vendor-frontend/    # 上游供应商模拟前端</w:t>
        <w:br/>
        <w:t>└── jsnx-edsp-deployment/         # 启停脚本、日志、PID、文档与样例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在 IntelliJ IDEA 中直接打开 jsnx-edsp-platform-backend/pom.xml；Project SDK 与 Maven Runner 均选择 JDK 17。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前端建议在 VS Code/WebStorm 单独打开 jsnx-edsp-platform-frontend，不要把 node_modules 加入 Java 工程。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供应商模拟工程与平台工程独立，避免把模拟代码误打入平台生产包。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部署工程只放运维资产，不承载业务 Java 源码。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当前 Git 根目录是 demo。所有代码和正式文档变更应在该仓库中提交；编辑器临时文件和 Word 锁文件不应提交。</w:t>
      </w:r>
    </w:p>
    <w:p>
      <w:pPr>
        <w:pStyle w:val="Heading1"/>
      </w:pPr>
      <w:r>
        <w:t>4 技术栈与本地前置条件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51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类别</w:t>
            </w:r>
          </w:p>
        </w:tc>
        <w:tc>
          <w:tcPr>
            <w:tcW w:type="dxa" w:w="36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当前基线</w:t>
            </w:r>
          </w:p>
        </w:tc>
        <w:tc>
          <w:tcPr>
            <w:tcW w:type="dxa" w:w="460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开发要求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Java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JDK 17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不得使用 JDK 21 专属语法或 API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后端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Spring Boot 3.3.4 / Spring Cloud 2023.0.3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使用 Jakarta API，保持父 POM 统一版本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网关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Spring Cloud Gateway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响应式链路不得执行阻塞 JDBC 或长时间同步任务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配置治理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Nacos / Sentinel 依赖已保留，本地默认关闭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生产启用前需联调命名空间、鉴权与降级策略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数据库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MySQL，库名 edsp_demo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Schema 由 Admin 的 db/schema.sql 管理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Vue 3 + TypeScript + Element Plus + Vite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Node/npm 版本遵循 package-lock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部署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普通 JVM + F5/VIP，无容器/K8s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每个服务独立端口、日志、PID 与发布单元</w:t>
            </w:r>
          </w:p>
        </w:tc>
      </w:tr>
    </w:tbl>
    <w:p>
      <w:pPr>
        <w:spacing w:after="20"/>
      </w:pP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java -version</w:t>
        <w:br/>
        <w:t>mvn -version</w:t>
        <w:br/>
        <w:t>node -v</w:t>
        <w:br/>
        <w:t>npm -v</w:t>
        <w:br/>
        <w:t>mysql -h 127.0.0.1 -P 3306 -uroot</w:t>
      </w:r>
    </w:p>
    <w:p>
      <w:pPr>
        <w:pStyle w:val="Heading1"/>
      </w:pPr>
      <w:r>
        <w:t>5 后端模块责任矩阵</w:t>
      </w:r>
    </w:p>
    <w:p>
      <w:pPr>
        <w:pStyle w:val="Heading2"/>
      </w:pPr>
      <w:r>
        <w:t>5.1 公共组件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244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模块</w:t>
            </w:r>
          </w:p>
        </w:tc>
        <w:tc>
          <w:tcPr>
            <w:tcW w:type="dxa" w:w="381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实际职责</w:t>
            </w:r>
          </w:p>
        </w:tc>
        <w:tc>
          <w:tcPr>
            <w:tcW w:type="dxa" w:w="20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主要使用方</w:t>
            </w:r>
          </w:p>
        </w:tc>
        <w:tc>
          <w:tcPr>
            <w:tcW w:type="dxa" w:w="136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部署形态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jsnx-edsp-contracts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稳定的跨模块 DTO 与服务契约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SDK、数据应用、能力服务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jsnx-edsp-client-sdk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数据应用本地计划加载、上游客户端、标准执行器和发布入口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所有独立数据应用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jsnx-edsp-plan-core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PlanSnapshot、映射计划与安全计划装载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client-sdk、可选能力服务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jsnx-edsp-transform-core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字段路径读取、写入和转换规则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client-sdk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jsnx-edsp-crypto-core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AES/SM2/SM4 等加解密与密钥引用解析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client-sdk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jsnx-edsp-signature-core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HMAC/RSA/国密签名能力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client-sdk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jsnx-edsp-response-core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统一响应结构与返回码处理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执行链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jsnx-edsp-log-core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Trace、脱敏、异步日志缓冲与投递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Gateway、观测相关模块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jsnx-edsp-platform-core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Admin 领域模型、配置、发布、授权与数据库服务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Admin、Observability</w:t>
            </w:r>
          </w:p>
        </w:tc>
        <w:tc>
          <w:tcPr>
            <w:tcW w:type="dxa" w:w="13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普通 JAR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公共组件不是九个都让数据应用直接依赖。数据应用 POM 只直接声明 contracts 与 client-sdk，后者按实现需要传递依赖底层 core。微服务之间禁止通过 Maven 依赖彼此实现。</w:t>
      </w:r>
    </w:p>
    <w:p>
      <w:pPr>
        <w:pStyle w:val="Heading2"/>
      </w:pPr>
      <w:r>
        <w:t>5.2 独立部署服务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22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108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默认端口</w:t>
            </w:r>
          </w:p>
        </w:tc>
        <w:tc>
          <w:tcPr>
            <w:tcW w:type="dxa" w:w="266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主要入口</w:t>
            </w:r>
          </w:p>
        </w:tc>
        <w:tc>
          <w:tcPr>
            <w:tcW w:type="dxa" w:w="374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持久化/依赖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8080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所有发布后的标准 API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本地不可变路由快照；同步调用 Admin 鉴权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8081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/api/** 与内部路由/计划接口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MySQL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Observability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8083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调用日志、监控、事件接收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MySQL；本地 HTTP 模拟 Kafka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ESB Adapter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8084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/esb/queue/request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内存模拟队列；调用 Admin 与 Gateway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Capability Runtime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8091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/internal/capability/**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可选，不在普通链路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Enterprise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8181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/internal/adapter/published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 计划、供应商接口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Credit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8182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/internal/adapter/published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 计划、供应商接口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Antifraud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8183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/internal/adapter/published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 计划、供应商接口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LHZX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8191</w:t>
            </w:r>
          </w:p>
        </w:tc>
        <w:tc>
          <w:tcPr>
            <w:tcW w:type="dxa" w:w="26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/internal/adapter/published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 计划、供应商接口</w:t>
            </w:r>
          </w:p>
        </w:tc>
      </w:tr>
    </w:tbl>
    <w:p>
      <w:pPr>
        <w:spacing w:after="20"/>
      </w:pPr>
    </w:p>
    <w:p>
      <w:pPr>
        <w:pStyle w:val="Heading1"/>
      </w:pPr>
      <w:r>
        <w:t>6 前端与供应商模拟工程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252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工程</w:t>
            </w:r>
          </w:p>
        </w:tc>
        <w:tc>
          <w:tcPr>
            <w:tcW w:type="dxa" w:w="33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职责</w:t>
            </w:r>
          </w:p>
        </w:tc>
        <w:tc>
          <w:tcPr>
            <w:tcW w:type="dxa" w:w="381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开发注意事项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jsnx-edsp-platform-frontend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平台管理界面：资源、标准服务、发布、授权、日志与监控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API 集中在 src/api.ts；主页面当前集中在 App.vue，新增功能应逐步拆组件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jsnx-edsp-vendor-backend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可配置资源与 API，并按数据库真实记录返回命中/未命中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仅用于本地联调，不应成为平台生产依赖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jsnx-edsp-vendor-frontend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供应商侧配置和数据维护界面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端口 5190，与平台 5173 独立</w:t>
            </w:r>
          </w:p>
        </w:tc>
      </w:tr>
    </w:tbl>
    <w:p>
      <w:pPr>
        <w:spacing w:after="20"/>
      </w:pPr>
    </w:p>
    <w:p>
      <w:pPr>
        <w:pStyle w:val="Heading1"/>
      </w:pPr>
      <w:r>
        <w:t>7 主请求执行链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调用系统向 ESB 发送 XML，至少携带 apiCode、environment、traceId 和 body。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ESB Adapter 将 XML 解析为 JSON；未显式提供路径时，通过 Admin 解析已发布的服务路径。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Adapter 向 Gateway 发送请求，并设置 X-Api-Code、X-App-Id、X-Api-Key、X-Environment 和 Trace 头。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Gateway 校验本地凭证，再向 Admin 检查调用系统、接口、环境、有效期和日配额授权。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5. </w:t>
      </w:r>
      <w:r>
        <w:rPr>
          <w:rFonts w:ascii="Arial" w:hAnsi="Arial" w:eastAsia="Heiti SC"/>
          <w:b w:val="0"/>
          <w:color w:val="000000"/>
          <w:sz w:val="20"/>
        </w:rPr>
        <w:t>Gateway 用 X-Api-Code + HTTP Method + URL Path 在本地不可变路由表中精确匹配。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6. </w:t>
      </w:r>
      <w:r>
        <w:rPr>
          <w:rFonts w:ascii="Arial" w:hAnsi="Arial" w:eastAsia="Heiti SC"/>
          <w:b w:val="0"/>
          <w:color w:val="000000"/>
          <w:sz w:val="20"/>
        </w:rPr>
        <w:t>Gateway 转发到 runtime_url/internal/adapter/published，并附带 X-Route-Version 与 X-Data-Application。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7. </w:t>
      </w:r>
      <w:r>
        <w:rPr>
          <w:rFonts w:ascii="Arial" w:hAnsi="Arial" w:eastAsia="Heiti SC"/>
          <w:b w:val="0"/>
          <w:color w:val="000000"/>
          <w:sz w:val="20"/>
        </w:rPr>
        <w:t>数据应用选择与 Gateway 版本一致的 PlanSnapshot，完成请求映射和安全处理。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8. </w:t>
      </w:r>
      <w:r>
        <w:rPr>
          <w:rFonts w:ascii="Arial" w:hAnsi="Arial" w:eastAsia="Heiti SC"/>
          <w:b w:val="0"/>
          <w:color w:val="000000"/>
          <w:sz w:val="20"/>
        </w:rPr>
        <w:t>通用上游客户端按发布计划调用供应商；当前通用执行器以 POST JSON 为主要实现。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9. </w:t>
      </w:r>
      <w:r>
        <w:rPr>
          <w:rFonts w:ascii="Arial" w:hAnsi="Arial" w:eastAsia="Heiti SC"/>
          <w:b w:val="0"/>
          <w:color w:val="000000"/>
          <w:sz w:val="20"/>
        </w:rPr>
        <w:t>数据应用从可配置 vendorCodePath 提取供应商码值，映射统一状态，再执行响应字段转换。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10. </w:t>
      </w:r>
      <w:r>
        <w:rPr>
          <w:rFonts w:ascii="Arial" w:hAnsi="Arial" w:eastAsia="Heiti SC"/>
          <w:b w:val="0"/>
          <w:color w:val="000000"/>
          <w:sz w:val="20"/>
        </w:rPr>
        <w:t>统一 JSON 经 Gateway、Adapter 和响应队列返回调用系统；不是 XML 响应。</w:t>
      </w:r>
    </w:p>
    <w:p>
      <w:pPr>
        <w:pStyle w:val="Heading1"/>
      </w:pPr>
      <w:r>
        <w:t>8 路由和执行计划为何能不停机更新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/>
          <w:cantSplit/>
        </w:trPr>
        <w:tc>
          <w:tcPr>
            <w:tcW w:type="dxa" w:w="151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对象</w:t>
            </w:r>
          </w:p>
        </w:tc>
        <w:tc>
          <w:tcPr>
            <w:tcW w:type="dxa" w:w="295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持久化来源</w:t>
            </w:r>
          </w:p>
        </w:tc>
        <w:tc>
          <w:tcPr>
            <w:tcW w:type="dxa" w:w="252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运行时副本</w:t>
            </w:r>
          </w:p>
        </w:tc>
        <w:tc>
          <w:tcPr>
            <w:tcW w:type="dxa" w:w="187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更新机制</w:t>
            </w:r>
          </w:p>
        </w:tc>
        <w:tc>
          <w:tcPr>
            <w:tcW w:type="dxa" w:w="15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失败行为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发布路由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published_route + data_source.runtime_url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AtomicReference&lt;Snapshot&gt;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上线主动刷新；每5秒修复拉取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保留 last-good 快照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执行计划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release_plan_snapshot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各数据应用按接口 AtomicReference&lt;PlanSnapshot&gt;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发布通知；首次请求/版本不符时拉取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版本不符拒绝，不静默跑旧契约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开发草稿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api_interface 及配置子表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无生产执行副本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页面保存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不影响线上版本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内存不是唯一数据源。Gateway 或数据应用进程重启后，会从 Admin/MySQL 中的已发布路由和快照恢复，因此不需要为了恢复配置而重新编译。内存副本用于高性能读和请求版本隔离。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// 数据应用的核心语义（简化）</w:t>
        <w:br/>
        <w:t>PlanSnapshot selected = localPlanRuntime.current(apiCode, expectedRouteVersion);</w:t>
        <w:br/>
        <w:t>// 新发布计划以 AtomicReference 原子替换；在途请求仍持有旧对象。</w:t>
      </w:r>
    </w:p>
    <w:p>
      <w:pPr>
        <w:pStyle w:val="Heading1"/>
      </w:pPr>
      <w:r>
        <w:t>9 先判断：配置开发还是 Java 开发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316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需求变化</w:t>
            </w:r>
          </w:p>
        </w:tc>
        <w:tc>
          <w:tcPr>
            <w:tcW w:type="dxa" w:w="93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改代码</w:t>
            </w:r>
          </w:p>
        </w:tc>
        <w:tc>
          <w:tcPr>
            <w:tcW w:type="dxa" w:w="172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重启/部署</w:t>
            </w:r>
          </w:p>
        </w:tc>
        <w:tc>
          <w:tcPr>
            <w:tcW w:type="dxa" w:w="38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正确处理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既有数据应用下新增接口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页面建资源 API、标准服务并发布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供应商 URL 或接口级超时变化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修改草稿并发布新版本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请求/响应字段和枚举映射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配置映射并发布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返回码字段路径或码值变化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配置 vendorCodePath 与码值映射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已注册算法的参数/密钥引用变化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通常否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调整配置，密钥由受控环境注入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 Java 算法或新协议实现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受影响应用滚动发布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实现 SPI/客户端并完成安全评审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新增独立数据应用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是，一次性骨架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只启动新应用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复制骨架、注册 runtime_url、发布接口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SDK/core 缺陷修复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所有受影响应用分批滚动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先兼容修复、灰度、再扩大</w:t>
            </w:r>
          </w:p>
        </w:tc>
      </w:tr>
    </w:tbl>
    <w:p>
      <w:pPr>
        <w:spacing w:after="20"/>
      </w:pPr>
    </w:p>
    <w:p>
      <w:pPr>
        <w:pStyle w:val="Heading1"/>
      </w:pPr>
      <w:r>
        <w:t>10 本地构建、启动与停止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cd /Users/tommy/Documents/外部数据/demo/jsnx-edsp-deployment</w:t>
        <w:br/>
        <w:t>./bin/start-demo.sh</w:t>
        <w:br/>
        <w:t># 完整演示（载入样例并执行链路）</w:t>
        <w:br/>
        <w:t>./bin/run-full-demo.sh</w:t>
        <w:br/>
        <w:t># 停止全部</w:t>
        <w:br/>
        <w:t>./bin/stop-demo.sh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start-demo.sh 默认只建表，不自动灌入平台演示数据。它启动供应商模拟端和平台端；start-platform.sh 会检查 JDK 17、MySQL、Maven、Node、固定端口，并在无后端运行时构建。检测到平台后端已运行时会跳过数据库初始化和 Maven 构建，避免覆盖正在加载的 JAR。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316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脚本</w:t>
            </w:r>
          </w:p>
        </w:tc>
        <w:tc>
          <w:tcPr>
            <w:tcW w:type="dxa" w:w="453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01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是否重置数据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start-demo.sh / stop-demo.sh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整套供应商与平台启停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start-platform.sh / stop-platform.sh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仅平台启停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启动时空库建表，不主动删数据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reload-integration-stack.sh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重建并重启 Admin、数据应用、Adapter、Gateway 等联调栈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restart-admin.sh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仅重启 Admin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reset-test-data.sh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清理测试业务数据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是，慎用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verify-demo.sh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健康、全链路和落库验收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可能产生验证记录</w:t>
            </w:r>
          </w:p>
        </w:tc>
      </w:tr>
    </w:tbl>
    <w:p>
      <w:pPr>
        <w:spacing w:after="20"/>
      </w:pP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单独构建一个数据应用及其依赖</w:t>
        <w:br/>
        <w:t>cd ../jsnx-edsp-platform-backend</w:t>
        <w:br/>
        <w:t>export JAVA_HOME=$(/usr/libexec/java_home -v 17)</w:t>
        <w:br/>
        <w:t>mvn -pl data-applications/jsnx-edsp-data-source-lhzx -am clean package -DskipTests</w:t>
      </w:r>
    </w:p>
    <w:p>
      <w:pPr>
        <w:pStyle w:val="Heading1"/>
      </w:pPr>
      <w:r>
        <w:t>11 配置化新增接口：准备阶段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开始前准备供应商接口文档、真实但脱敏的请求/响应样例、成功/未命中/失败码值、超时要求、认证与签名规则、所属数据源以及行内标准接口契约。没有这些输入时，不要先在页面随意创建字段。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5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468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产物</w:t>
            </w:r>
          </w:p>
        </w:tc>
        <w:tc>
          <w:tcPr>
            <w:tcW w:type="dxa" w:w="345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完成标准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资源提供商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稳定 provider_code 和管理资料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供应商可识别，联系人与合同边界明确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数据源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source_code、endpoint_url、timeout、application_name、runtime_url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目标数据应用已部署并健康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资源 API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供应商方法、路径、请求/响应样例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保存为 READY，可真实联调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标准服务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interface_code、对外路径、标准契约、映射、安全与码值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配置校验通过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发布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release_plan_snapshot 与 published_route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 和数据应用获得新版本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授权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client + authorization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环境、有效期和配额均满足</w:t>
            </w:r>
          </w:p>
        </w:tc>
      </w:tr>
    </w:tbl>
    <w:p>
      <w:pPr>
        <w:spacing w:after="20"/>
      </w:pPr>
    </w:p>
    <w:p>
      <w:pPr>
        <w:pStyle w:val="Heading1"/>
      </w:pPr>
      <w:r>
        <w:t>12 配置化接口开发：逐步操作</w:t>
      </w:r>
    </w:p>
    <w:p>
      <w:pPr>
        <w:pStyle w:val="Heading2"/>
      </w:pPr>
      <w:r>
        <w:t>12.1 接入供应商能力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在资源方管理建立资源提供商，编码创建后保持稳定。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建立数据源，填写供应商基础地址 endpoint_url、默认超时、数据应用名和 runtime_url。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在上游能力接入创建资源 API 草稿，填写供应商路径、请求方法、请求样例与响应样例。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保存上游配置。只有已保存/READY 的资源 API 才会出现在标准服务开发中；草稿不展示。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5. </w:t>
      </w:r>
      <w:r>
        <w:rPr>
          <w:rFonts w:ascii="Arial" w:hAnsi="Arial" w:eastAsia="Heiti SC"/>
          <w:b w:val="0"/>
          <w:color w:val="000000"/>
          <w:sz w:val="20"/>
        </w:rPr>
        <w:t>使用“验证上游接口”直接验证供应商契约。这里尚未应用平台标准映射，入参必须是供应商原始字段。</w:t>
      </w:r>
    </w:p>
    <w:p>
      <w:pPr>
        <w:pStyle w:val="Heading2"/>
      </w:pPr>
      <w:r>
        <w:t>12.2 建立平台标准服务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选择已保存资源 API 创建标准服务，填写唯一 interface_code、对外 service_path 和方法。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定义平台交付给行内调用方的标准请求和标准响应样例。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配置请求映射：行内标准字段是来源，供应商请求字段是目标。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配置响应映射：供应商返回字段是来源，行内标准响应字段是目标。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5. </w:t>
      </w:r>
      <w:r>
        <w:rPr>
          <w:rFonts w:ascii="Arial" w:hAnsi="Arial" w:eastAsia="Heiti SC"/>
          <w:b w:val="0"/>
          <w:color w:val="000000"/>
          <w:sz w:val="20"/>
        </w:rPr>
        <w:t>配置 vendorCodePath，例如 result.code、status 或 header.retCode；不同接口可以不同。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6. </w:t>
      </w:r>
      <w:r>
        <w:rPr>
          <w:rFonts w:ascii="Arial" w:hAnsi="Arial" w:eastAsia="Heiti SC"/>
          <w:b w:val="0"/>
          <w:color w:val="000000"/>
          <w:sz w:val="20"/>
        </w:rPr>
        <w:t>配置供应商原始码值到 standardCode、resultStatus、billable 的映射。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7. </w:t>
      </w:r>
      <w:r>
        <w:rPr>
          <w:rFonts w:ascii="Arial" w:hAnsi="Arial" w:eastAsia="Heiti SC"/>
          <w:b w:val="0"/>
          <w:color w:val="000000"/>
          <w:sz w:val="20"/>
        </w:rPr>
        <w:t>按需配置签名/加密算法和密钥引用，不在数据库中保存明文密钥。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8. </w:t>
      </w:r>
      <w:r>
        <w:rPr>
          <w:rFonts w:ascii="Arial" w:hAnsi="Arial" w:eastAsia="Heiti SC"/>
          <w:b w:val="0"/>
          <w:color w:val="000000"/>
          <w:sz w:val="20"/>
        </w:rPr>
        <w:t>保存标准服务草稿并执行配置校验。草稿链路测试是补充验证，不与上线形成强依赖。</w:t>
      </w:r>
    </w:p>
    <w:p>
      <w:pPr>
        <w:pStyle w:val="Heading2"/>
      </w:pPr>
      <w:r>
        <w:t>12.3 透传模式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请求方向没有任何映射行时，执行器保留原请求对象；响应方向没有映射行时，保留供应商业务对象。无需创建一对一映射行。只要某方向启用了映射，该方向就按配置结果生成对象，未配置字段不会自动透传。</w:t>
      </w:r>
    </w:p>
    <w:p>
      <w:pPr>
        <w:pStyle w:val="Heading2"/>
      </w:pPr>
      <w:r>
        <w:t>12.4 复杂 JSON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对象嵌套可使用点路径，例如 company.legalPerson.name。数组处理必须以当前路径解析器的实际能力和测试为准，不要把完整 JSONPath 表达式支持作为默认假设。数组、动态键、多层异构结构或 XML 特殊命名空间应增加合同测试；超出通用转换能力时使用自定义扩展或专用客户端。</w:t>
      </w:r>
    </w:p>
    <w:p>
      <w:pPr>
        <w:pStyle w:val="Heading1"/>
      </w:pPr>
      <w:r>
        <w:t>13 字段映射、码值与安全配置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144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配置</w:t>
            </w:r>
          </w:p>
        </w:tc>
        <w:tc>
          <w:tcPr>
            <w:tcW w:type="dxa" w:w="230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输入方向</w:t>
            </w:r>
          </w:p>
        </w:tc>
        <w:tc>
          <w:tcPr>
            <w:tcW w:type="dxa" w:w="252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示例</w:t>
            </w:r>
          </w:p>
        </w:tc>
        <w:tc>
          <w:tcPr>
            <w:tcW w:type="dxa" w:w="345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常见错误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直接映射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请求：标准→供应商；响应：供应商→标准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companyCode → query_key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把响应方向写反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枚举转换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来源原值→目标标准值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供应商 1 → 标准 M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左右值颠倒或未保存抽屉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默认值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来源缺失时补充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query_reason=业务查询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把默认值误当字段映射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返回码路径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从供应商完整响应读取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result.code / status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硬编码认为所有接口都是 result.code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结果状态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供应商码值→HIT/MISS/ERROR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0000→HIT，1001→MISS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把 HTTP 200 等同于业务命中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参与计量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码值映射结果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仅 HIT 计量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将异步明细当作最终财务账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通用安全算法包括 AES-256-GCM、HMAC-SHA256、SM4-GCM、SM2、HMAC-SM3、SM2-SM3 和 RSA-SHA256。页面算法列表来自后台注册表；新增 Java 算法必须实现 SecurityAlgorithm SPI、注册扩展 JAR、补充测试并滚动发布受影响数据应用。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密钥引用示例（页面只保存引用）</w:t>
        <w:br/>
        <w:t>config://edsp.security.keys.lhzx-encryption</w:t>
        <w:br/>
        <w:t>config://edsp.security.keys.lhzx-signing</w:t>
        <w:br/>
        <w:br/>
        <w:t># 本地通过环境变量注入；生产应接行内密钥系统/受控 Nacos</w:t>
        <w:br/>
        <w:t>export EDSP_LHZX_ENCRYPTION_KEY='&lt;base64-secret&gt;'</w:t>
        <w:br/>
        <w:t>export EDSP_LHZX_SIGNING_KEY='&lt;base64-secret&gt;'</w:t>
      </w:r>
    </w:p>
    <w:p>
      <w:pPr>
        <w:pStyle w:val="Heading1"/>
      </w:pPr>
      <w:r>
        <w:t>14 新增独立数据应用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只有在需要独立故障边界、独立容量、独立发布节奏或特殊协议实现时，才新增数据应用。一个数据应用可承载同一隔离域下多个资源 API，不要求每个接口一个 JVM，也不要求每个业务新增 Router 应用。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复制最接近的骨架，例如 data-applications/jsnx-edsp-data-source-lhzx，并重命名目录、artifactId、启动类包名与 spring.application.name。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POM 直接依赖 jsnx-edsp-contracts、jsnx-edsp-client-sdk、spring-boot-starter-web、actuator 和所需治理依赖。禁止依赖另一个数据应用。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在父 pom.xml 的 modules 中登记新模块；端口只用于本地，生产通过 SERVER_PORT 注入。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配置 edsp.admin-url、edsp.observability-url 与受控密钥引用。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5. </w:t>
      </w:r>
      <w:r>
        <w:rPr>
          <w:rFonts w:ascii="Arial" w:hAnsi="Arial" w:eastAsia="Heiti SC"/>
          <w:b w:val="0"/>
          <w:color w:val="000000"/>
          <w:sz w:val="20"/>
        </w:rPr>
        <w:t>保留 SDK 自动提供的 POST /internal/adapter/published 入口。Gateway 不需要新增固定 RouteDefinition。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6. </w:t>
      </w:r>
      <w:r>
        <w:rPr>
          <w:rFonts w:ascii="Arial" w:hAnsi="Arial" w:eastAsia="Heiti SC"/>
          <w:b w:val="0"/>
          <w:color w:val="000000"/>
          <w:sz w:val="20"/>
        </w:rPr>
        <w:t>若无特殊逻辑，不编写业务 Controller；通过 Admin 页面配置发布计划即可。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7. </w:t>
      </w:r>
      <w:r>
        <w:rPr>
          <w:rFonts w:ascii="Arial" w:hAnsi="Arial" w:eastAsia="Heiti SC"/>
          <w:b w:val="0"/>
          <w:color w:val="000000"/>
          <w:sz w:val="20"/>
        </w:rPr>
        <w:t>若存在特殊算法/协议，通过 SPI 或应用内专用实现扩展，并保证通用接口仍可调用。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8. </w:t>
      </w:r>
      <w:r>
        <w:rPr>
          <w:rFonts w:ascii="Arial" w:hAnsi="Arial" w:eastAsia="Heiti SC"/>
          <w:b w:val="0"/>
          <w:color w:val="000000"/>
          <w:sz w:val="20"/>
        </w:rPr>
        <w:t>构建、启动并确认 /actuator/health；将 F5/VIP 地址写入 data_source.runtime_url。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9. </w:t>
      </w:r>
      <w:r>
        <w:rPr>
          <w:rFonts w:ascii="Arial" w:hAnsi="Arial" w:eastAsia="Heiti SC"/>
          <w:b w:val="0"/>
          <w:color w:val="000000"/>
          <w:sz w:val="20"/>
        </w:rPr>
        <w:t>配置并发布接口，检查 Admin 的 published_route 与 Gateway 路由快照，再授权测试。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application.yml 最小示例</w:t>
        <w:br/>
        <w:t>server.port: ${SERVER_PORT:8201}</w:t>
        <w:br/>
        <w:t>spring:</w:t>
        <w:br/>
        <w:t xml:space="preserve">  application.name: jsnx-edsp-data-source-credit-v2</w:t>
        <w:br/>
        <w:t xml:space="preserve">  config.import: ${SPRING_CONFIG_IMPORT:optional:nacos:jsnx-edsp-data-source-credit-v2.yaml}</w:t>
        <w:br/>
        <w:t>edsp:</w:t>
        <w:br/>
        <w:t xml:space="preserve">  admin-url: ${ADMIN_URL:http://127.0.0.1:8081}</w:t>
        <w:br/>
        <w:t xml:space="preserve">  observability-url: ${OBSERVABILITY_URL:http://127.0.0.1:8083}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构建新应用及依赖</w:t>
        <w:br/>
        <w:t>mvn -pl data-applications/jsnx-edsp-data-source-credit-v2 -am clean package</w:t>
        <w:br/>
        <w:br/>
        <w:t># 启动后只登记该应用，不重启其他数据应用</w:t>
        <w:br/>
        <w:t>java -jar target/jsnx-edsp-data-source-credit-v2-2.0.0-SNAPSHOT.jar</w:t>
      </w:r>
    </w:p>
    <w:p>
      <w:pPr>
        <w:pStyle w:val="Heading1"/>
      </w:pPr>
      <w:r>
        <w:t>15 自定义 Java 能力开发</w:t>
      </w:r>
    </w:p>
    <w:p>
      <w:pPr>
        <w:pStyle w:val="Heading2"/>
      </w:pPr>
      <w:r>
        <w:t>15.1 何时需要自定义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供应商使用平台未注册的加密、签名或验签算法。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上游协议不是当前通用 POST JSON，例如专用 SOAP、文件交换或特殊双向认证。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字段转换包含复杂数组聚合、跨字段计算或需外部字典。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上游交互需要多步会话、Token 刷新或强状态机。</w:t>
      </w:r>
    </w:p>
    <w:p>
      <w:pPr>
        <w:pStyle w:val="Heading2"/>
      </w:pPr>
      <w:r>
        <w:t>15.2 设计原则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优先实现稳定 SPI，由数据应用选择实现；不要把供应商专属逻辑塞入 Gateway。自定义实现必须有算法标识、参数 Schema、密钥引用规则、线程安全声明、超时与异常契约。新增实现不能破坏已有标识的语义。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20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扩展类型</w:t>
            </w:r>
          </w:p>
        </w:tc>
        <w:tc>
          <w:tcPr>
            <w:tcW w:type="dxa" w:w="40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放置位置</w:t>
            </w:r>
          </w:p>
        </w:tc>
        <w:tc>
          <w:tcPr>
            <w:tcW w:type="dxa" w:w="36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发布影响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通用新算法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独立扩展 JAR 或对应 core 的 SPI 实现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使用该算法的数据应用滚动发布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单供应商专用算法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对应独立数据应用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仅该应用发布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高变化复杂公共能力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评估 capability-runtime 远程服务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增加网络依赖，需独立 SLA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入口认证/路由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Gateway 专用扩展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Gateway 集群滚动发布</w:t>
            </w:r>
          </w:p>
        </w:tc>
      </w:tr>
    </w:tbl>
    <w:p>
      <w:pPr>
        <w:spacing w:after="20"/>
      </w:pPr>
    </w:p>
    <w:p>
      <w:pPr>
        <w:pStyle w:val="Heading1"/>
      </w:pPr>
      <w:r>
        <w:t>16 关键代码导航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295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要理解的行为</w:t>
            </w:r>
          </w:p>
        </w:tc>
        <w:tc>
          <w:tcPr>
            <w:tcW w:type="dxa" w:w="676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代码入口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 动态路由快照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platform-services/jsnx-edsp-data-gateway/.../PublishedRouteRegistry.java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 目标 URI 改写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.../DynamicDataApplicationRoutingFilter.java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调用方认证与授权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.../ExternalApiAuthFilter.java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 异步日志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.../GatewayLogGlobalFilter.java 与 jsnx-edsp-log-core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发布、下线、快照、刷新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common-components/jsnx-edsp-platform-core/.../InterfaceService.java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 HTTP API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platform-services/jsnx-edsp-data-admin/.../ApiController.java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数据应用本地计划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common-components/jsnx-edsp-client-sdk/.../LocalPlanRuntime.java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统一执行器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.../StandardDataApplicationExecutor.java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数据应用发布入口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.../PublishedDataApplicationController.java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数据库结构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platform-services/jsnx-edsp-data-admin/src/main/resources/db/schema.sql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前端 API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jsnx-edsp-platform-frontend/src/api.ts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前端主工作台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jsnx-edsp-platform-frontend/src/App.vue 与 resource-workbench.css</w:t>
            </w:r>
          </w:p>
        </w:tc>
      </w:tr>
    </w:tbl>
    <w:p>
      <w:pPr>
        <w:spacing w:after="20"/>
      </w:pPr>
    </w:p>
    <w:p>
      <w:pPr>
        <w:pStyle w:val="Heading1"/>
      </w:pPr>
      <w:r>
        <w:t>17 测试策略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5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层级</w:t>
            </w:r>
          </w:p>
        </w:tc>
        <w:tc>
          <w:tcPr>
            <w:tcW w:type="dxa" w:w="468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必须覆盖</w:t>
            </w:r>
          </w:p>
        </w:tc>
        <w:tc>
          <w:tcPr>
            <w:tcW w:type="dxa" w:w="345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单元测试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字段路径、枚举、码值、安全算法、路由匹配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边界、空值和异常分支均覆盖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契约测试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标准请求/响应与供应商请求/响应样例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发布快照生成结果稳定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应用测试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expectedVersion、应用归属、上游超时与错误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旧版本不误执行；错误可追踪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 测试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认证、授权、三元组路由、Admin 不可用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拒绝码准确；last-good 路由仍可读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集成测试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Admin+Gateway+数据应用+供应商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真实 HTTP 调用和落库正确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ESB 全链路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XML→Adapter→Gateway→应用→供应商→JSON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traceId 一致且每节点可定位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容量与故障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峰值、并发、慢上游、Kafka/日志服务故障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主链路 SLA 和隔离策略满足</w:t>
            </w:r>
          </w:p>
        </w:tc>
      </w:tr>
    </w:tbl>
    <w:p>
      <w:pPr>
        <w:spacing w:after="20"/>
      </w:pP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后端完整测试</w:t>
        <w:br/>
        <w:t>cd jsnx-edsp-platform-backend</w:t>
        <w:br/>
        <w:t>mvn test</w:t>
        <w:br/>
        <w:br/>
        <w:t># 单模块及依赖测试</w:t>
        <w:br/>
        <w:t>mvn -pl common-components/jsnx-edsp-platform-core -am test</w:t>
        <w:br/>
        <w:br/>
        <w:t># 前端静态构建</w:t>
        <w:br/>
        <w:t>cd ../jsnx-edsp-platform-frontend</w:t>
        <w:br/>
        <w:t>npm ci</w:t>
        <w:br/>
        <w:t>npm run build</w:t>
      </w:r>
    </w:p>
    <w:p>
      <w:pPr>
        <w:pStyle w:val="Heading1"/>
      </w:pPr>
      <w:r>
        <w:t>18 三类联调与 Postman 测试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18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测试类型</w:t>
            </w:r>
          </w:p>
        </w:tc>
        <w:tc>
          <w:tcPr>
            <w:tcW w:type="dxa" w:w="33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链路</w:t>
            </w:r>
          </w:p>
        </w:tc>
        <w:tc>
          <w:tcPr>
            <w:tcW w:type="dxa" w:w="216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适用时间</w:t>
            </w:r>
          </w:p>
        </w:tc>
        <w:tc>
          <w:tcPr>
            <w:tcW w:type="dxa" w:w="237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是否需要发布/授权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上游接口验证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数据应用/管理端→供应商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资源 API 保存后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不需要平台发布授权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草稿链路测试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标准请求→草稿计划→供应商→标准响应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标准服务开发中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不要求上线；是可选补充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线上入口验收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XML→ESB→Gateway→线上计划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发布与授权后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必须已上线且已授权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Postman 直接调用 Gateway 时，URL 必须等于已发布 service_path，HTTP 方法必须一致，X-Api-Code 必须等于已发布接口编码。任意一项不一致都会 404。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POST http://127.0.0.1:8080/api/v1/lhzx-query-01/01</w:t>
        <w:br/>
        <w:t>Content-Type: application/json</w:t>
        <w:br/>
        <w:t>X-App-Id: POSTMAN_TEST</w:t>
        <w:br/>
        <w:t>X-Api-Key: demo-secret-key</w:t>
        <w:br/>
        <w:t>X-Api-Code: LHZX_QUERY_01_SERVICE_01</w:t>
        <w:br/>
        <w:t>X-Environment: TEST</w:t>
        <w:br/>
        <w:t>X-Trace-Id: POSTMAN-LHZX-001</w:t>
        <w:br/>
        <w:br/>
        <w:t>{</w:t>
        <w:br/>
        <w:t xml:space="preserve">  "query_key": "DEMO-001",</w:t>
        <w:br/>
        <w:t xml:space="preserve">  "query_reason": "业务查询"</w:t>
        <w:br/>
        <w:t>}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若从 Adapter 测试，则 POST /esb/queue/request、Content-Type 为 application/xml，并使用 XML body。当前本地请求-响应队列等待 10 秒，Admin/Gateway 下游超时均被限制在此时间内。</w:t>
      </w:r>
    </w:p>
    <w:p>
      <w:pPr>
        <w:pStyle w:val="Heading1"/>
      </w:pPr>
      <w:r>
        <w:t>19 发布、版本、下线与授权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开发草稿和线上版本是两个状态轴。保存草稿不应自动增加线上版本；发布时生成不可变 release_plan_snapshot，并更新 published_route。接口下线删除生产路由，但保留开发草稿和历史快照。下线后仍可继续编辑，再发布新版本或恢复旧快照。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/>
          <w:cantSplit/>
        </w:trPr>
        <w:tc>
          <w:tcPr>
            <w:tcW w:type="dxa" w:w="129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动作</w:t>
            </w:r>
          </w:p>
        </w:tc>
        <w:tc>
          <w:tcPr>
            <w:tcW w:type="dxa" w:w="172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草稿</w:t>
            </w:r>
          </w:p>
        </w:tc>
        <w:tc>
          <w:tcPr>
            <w:tcW w:type="dxa" w:w="165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线上路由</w:t>
            </w:r>
          </w:p>
        </w:tc>
        <w:tc>
          <w:tcPr>
            <w:tcW w:type="dxa" w:w="309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版本/历史</w:t>
            </w:r>
          </w:p>
        </w:tc>
        <w:tc>
          <w:tcPr>
            <w:tcW w:type="dxa" w:w="194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是否影响调用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保存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更新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不变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不创建线上版本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配置校验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只读校验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不变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记录校验结果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草稿测试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使用当前草稿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不变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不要求成为发布前置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直接上线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保留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新增/切换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生成新快照和发布记录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新请求使用新版本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下线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保留可编辑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删除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保留历史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停止线上入口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恢复历史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不等于覆盖草稿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按选择快照恢复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新增生命周期记录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新请求切回选中契约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接口上线后，在 API 访问授权中先维护调用系统 api_client，再按机构/系统、环境、有效期和日配额批量授权。Gateway 的固定 demo-secret-key 仅代表本地凭证校验，生产必须替换为行内 IAM/密钥管理机制。</w:t>
      </w:r>
    </w:p>
    <w:p>
      <w:pPr>
        <w:pStyle w:val="Heading1"/>
      </w:pPr>
      <w:r>
        <w:t>20 生产部署与扩容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本项目不依赖 Docker 或 Kubernetes。每个服务以普通 JVM 部署到行内服务器，使用 F5/VIP 暴露稳定地址。新增实例由发布平台/运维脚本启动，再加入 VIP 池；页面中的 instance_count 只是元数据，不会自动创建进程。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/>
          <w:cantSplit/>
        </w:trPr>
        <w:tc>
          <w:tcPr>
            <w:tcW w:type="dxa" w:w="18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20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建议最小部署</w:t>
            </w:r>
          </w:p>
        </w:tc>
        <w:tc>
          <w:tcPr>
            <w:tcW w:type="dxa" w:w="216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负载方式</w:t>
            </w:r>
          </w:p>
        </w:tc>
        <w:tc>
          <w:tcPr>
            <w:tcW w:type="dxa" w:w="367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状态与注意事项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Gateway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至少2实例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入口 F5/VIP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各实例本地路由快照；同步授权依赖 Admin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至少2实例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管理/内部 VIP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共享 MySQL；发布操作需保证幂等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ESB Adapter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按队列分区与并发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ESB 消费组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本地模拟队列必须替换为真实 ESB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每个隔离域至少2实例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每应用独立 F5/VIP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runtime_url 指向 VIP，不写单机地址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Observability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至少2实例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事件消费组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日志失败可丢，但不能阻断 Gateway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MySQL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行内高可用方案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数据库代理/VIP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需备份、恢复演练与变更审计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日调用量 1000 万约为平均 116 次/秒，只能用于粗略规模判断。容量设计必须以峰值 QPS、P99、并发连接、报文大小、上游超时比例和日志吞吐进行压测。</w:t>
      </w:r>
    </w:p>
    <w:p>
      <w:pPr>
        <w:pStyle w:val="Heading1"/>
      </w:pPr>
      <w:r>
        <w:t>21 滚动发布与回滚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1. </w:t>
      </w:r>
      <w:r>
        <w:rPr>
          <w:rFonts w:ascii="Arial" w:hAnsi="Arial" w:eastAsia="Heiti SC"/>
          <w:b w:val="0"/>
          <w:color w:val="000000"/>
          <w:sz w:val="20"/>
        </w:rPr>
        <w:t>配置变更：保存草稿、校验、可选测试、发布；观察 Gateway 路由版本和数据应用计划版本；无需重启。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2. </w:t>
      </w:r>
      <w:r>
        <w:rPr>
          <w:rFonts w:ascii="Arial" w:hAnsi="Arial" w:eastAsia="Heiti SC"/>
          <w:b w:val="0"/>
          <w:color w:val="000000"/>
          <w:sz w:val="20"/>
        </w:rPr>
        <w:t>数据应用代码变更：从 VIP 摘除一个实例，停止、替换 JAR、启动、健康检查、链路验证，再加入 VIP；逐实例执行。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3. </w:t>
      </w:r>
      <w:r>
        <w:rPr>
          <w:rFonts w:ascii="Arial" w:hAnsi="Arial" w:eastAsia="Heiti SC"/>
          <w:b w:val="0"/>
          <w:color w:val="000000"/>
          <w:sz w:val="20"/>
        </w:rPr>
        <w:t>Gateway 代码变更：确保至少一个实例服务，按同样方式逐实例滚动。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4. </w:t>
      </w:r>
      <w:r>
        <w:rPr>
          <w:rFonts w:ascii="Arial" w:hAnsi="Arial" w:eastAsia="Heiti SC"/>
          <w:b w:val="0"/>
          <w:color w:val="000000"/>
          <w:sz w:val="20"/>
        </w:rPr>
        <w:t>配置回滚：选择已验证的历史发布快照恢复，不通过手工 SQL 拼接。</w:t>
      </w:r>
    </w:p>
    <w:p>
      <w:pPr>
        <w:spacing w:after="40"/>
      </w:pPr>
      <w:r>
        <w:rPr>
          <w:rFonts w:ascii="Arial" w:hAnsi="Arial" w:eastAsia="Heiti SC"/>
          <w:b/>
          <w:color w:val="000000"/>
          <w:sz w:val="20"/>
        </w:rPr>
        <w:t xml:space="preserve">5. </w:t>
      </w:r>
      <w:r>
        <w:rPr>
          <w:rFonts w:ascii="Arial" w:hAnsi="Arial" w:eastAsia="Heiti SC"/>
          <w:b w:val="0"/>
          <w:color w:val="000000"/>
          <w:sz w:val="20"/>
        </w:rPr>
        <w:t>代码回滚：保留上一版本 JAR 与配置，摘流后回退；数据库变更必须向前兼容并提供回退脚本。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SDK/core 缺陷修复会影响所有使用该依赖的数据应用。应保持契约向后兼容，先在一个低风险应用灰度，再分批升级；不要一次性同时重启 50 个应用。对高变化能力，应评估远程 capability 服务，但要接受额外网络故障点。</w:t>
      </w:r>
    </w:p>
    <w:p>
      <w:pPr>
        <w:pStyle w:val="Heading1"/>
      </w:pPr>
      <w:r>
        <w:t>22 日志、监控与故障隔离</w:t>
      </w:r>
    </w:p>
    <w:p>
      <w:pPr>
        <w:spacing w:after="100" w:line="276" w:lineRule="auto"/>
      </w:pPr>
      <w:r>
        <w:rPr>
          <w:rFonts w:ascii="Arial" w:hAnsi="Arial" w:eastAsia="Heiti SC"/>
          <w:b w:val="0"/>
          <w:color w:val="000000"/>
          <w:sz w:val="21"/>
        </w:rPr>
        <w:t>Gateway 日志使用有界队列，Kafka/观测服务不可用时允许丢失日志，不能拖垮主请求。这个策略满足“可丢日志、不可挂 Gateway”，但日志不完整时不能用于最终财务结算。数据应用事件执行器仍需在生产前确认有界化。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51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观测对象</w:t>
            </w:r>
          </w:p>
        </w:tc>
        <w:tc>
          <w:tcPr>
            <w:tcW w:type="dxa" w:w="439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关键字段/指标</w:t>
            </w:r>
          </w:p>
        </w:tc>
        <w:tc>
          <w:tcPr>
            <w:tcW w:type="dxa" w:w="381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6"/>
              </w:rPr>
              <w:t>定位方法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入口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traceId、apiCode、clientId、path、HTTP code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先确认认证、授权、三元组路由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数据应用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application、routeVersion、planVersion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判断归属或版本是否不一致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转换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脱敏前后结构、规则标识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按节点入参与出参对比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上游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URL、HTTP 状态、业务码、耗时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区分网络失败与业务未命中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响应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standardCode、resultStatus、billable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检查码值路径和映射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异步日志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队列深度、丢弃数、发送失败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6"/>
              </w:rPr>
              <w:t>不能只看业务成功率</w:t>
            </w:r>
          </w:p>
        </w:tc>
      </w:tr>
    </w:tbl>
    <w:p>
      <w:pPr>
        <w:spacing w:after="20"/>
      </w:pPr>
    </w:p>
    <w:p>
      <w:pPr>
        <w:pStyle w:val="Heading1"/>
      </w:pPr>
      <w:r>
        <w:t>23 常见故障排查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259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现象</w:t>
            </w:r>
          </w:p>
        </w:tc>
        <w:tc>
          <w:tcPr>
            <w:tcW w:type="dxa" w:w="36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优先检查</w:t>
            </w:r>
          </w:p>
        </w:tc>
        <w:tc>
          <w:tcPr>
            <w:tcW w:type="dxa" w:w="352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404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apiCode、Method、Path 与 published_route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三项必须同时匹配；刷新路由并检查重复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403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api_client、api_authorization、环境、有效期、日配额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补授权，不要绕过过滤器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503 未登记地址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data_source.runtime_url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登记目标应用 F5/VIP 并确认健康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授权中心暂不可用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Admin 健康与 Gateway→Admin 网络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恢复 Admin；当前鉴权不是完全自治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执行计划版本不一致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published_route.route_version 与发布快照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刷新对应应用；禁止强行跑旧计划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供应商缺少必填字段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请求方向映射、透传、标准样例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确认来源/目标方向；检查默认值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上游 HTTP 400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节点中的实际上游请求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按供应商原始契约修正映射或样例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返回始终 ERROR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vendorCodePath 和 response_code_mapping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按真实响应路径读取业务码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ESB 等待超时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Adapter、Gateway、数据应用、供应商日志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按 traceId 找最末成功节点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页面 404 /api/resource-apis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admin 路由与 Admin 版本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确认 Gateway/Admin 同一代码版本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端口占用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lsof -nP -iTCP:&lt;port&gt; -sTCP:LISTEN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停止正确 PID；不要执行 java PID ...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Observability 健康超时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服务日志与 Logback 类依赖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修复当前 ThrowableProxy 类加载问题后再验收</w:t>
            </w:r>
          </w:p>
        </w:tc>
      </w:tr>
    </w:tbl>
    <w:p>
      <w:pPr>
        <w:spacing w:after="20"/>
      </w:pPr>
    </w:p>
    <w:p>
      <w:pPr>
        <w:pStyle w:val="Heading1"/>
      </w:pPr>
      <w:r>
        <w:t>24 数据库核心表导航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244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表</w:t>
            </w:r>
          </w:p>
        </w:tc>
        <w:tc>
          <w:tcPr>
            <w:tcW w:type="dxa" w:w="374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用途</w:t>
            </w:r>
          </w:p>
        </w:tc>
        <w:tc>
          <w:tcPr>
            <w:tcW w:type="dxa" w:w="352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关键关系/说明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data_provider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资源提供商主数据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一对多 data_source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provider_account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资源方账号与权限资料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当前不是完整生产 IAM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data_source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数据源、供应商地址、超时、应用和 runtime_url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路由到独立应用的基础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resource_api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供应商原始 API 契约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READY 后供标准服务引用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api_interface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平台标准服务草稿与当前状态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interface_code 唯一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field_mapping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请求/响应字段转换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按接口和方向区分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api_security_policy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加密、签名和密钥引用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禁止明文密钥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response_code_mapping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供应商码值到标准状态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结合可配置 vendorCodePath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release_plan_snapshot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不可变发布执行计划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重启恢复与历史回滚来源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published_route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当前线上动态路由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接口、方法、Path、版本和数据源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release_record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发布历史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区分每次上线版本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interface_lifecycle_record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上线、下线、恢复等生命周期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审计入口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api_client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调用系统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授权外键来源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api_authorization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 授权、环境、有效期与配额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实时校验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billing_rule / usage_record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计量规则与调用明细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异步日志不等于最终结算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api_call_node_log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链路节点入出参与状态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必须脱敏</w:t>
            </w:r>
          </w:p>
        </w:tc>
      </w:tr>
    </w:tbl>
    <w:p>
      <w:pPr>
        <w:spacing w:after="20"/>
      </w:pPr>
    </w:p>
    <w:p>
      <w:pPr>
        <w:pStyle w:val="Heading1"/>
      </w:pPr>
      <w:r>
        <w:t>25 当前商用差距与上线前必做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5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事项</w:t>
            </w:r>
          </w:p>
        </w:tc>
        <w:tc>
          <w:tcPr>
            <w:tcW w:type="dxa" w:w="38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当前状态</w:t>
            </w:r>
          </w:p>
        </w:tc>
        <w:tc>
          <w:tcPr>
            <w:tcW w:type="dxa" w:w="424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5"/>
              </w:rPr>
              <w:t>商用前要求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身份认证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admin/admin123 与共享 demo-secret-key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接入行内 IAM、密钥轮换、最小权限和审计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控制面依赖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Gateway 每次授权同步调用 Admin；Adapter 可能查 Admin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授权本地快照/缓存与失效机制，明确降级策略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ESB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内存模拟请求响应队列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对接真实 ESB 队列、重试、去重、死信与关联 ID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日志传输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HTTP 模拟 Kafka；允许丢失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真实 Kafka、有界缓冲、监控丢弃、敏感信息治理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观测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部分节点耗时为模拟值；存在 Logback 类问题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真实埋点、修复依赖、压测日志链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上游协议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通用执行器主要为 POST JSON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方法/协议能力与页面配置保持一致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数据库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schema.sql 启动式结构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Flyway/Liquibase、变更评审、备份与回滚演练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容量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本地功能验证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峰值压测、故障注入、线程池/连接池与超时预算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安全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支持算法和引用机制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5"/>
              </w:rPr>
              <w:t>国密合规验证、KMS/HSM、脱敏、双人复核</w:t>
            </w:r>
          </w:p>
        </w:tc>
      </w:tr>
    </w:tbl>
    <w:p>
      <w:pPr>
        <w:spacing w:after="20"/>
      </w:pPr>
    </w:p>
    <w:p>
      <w:pPr>
        <w:pStyle w:val="Heading1"/>
      </w:pPr>
      <w:r>
        <w:t>26 开发与发布检查清单</w:t>
      </w:r>
    </w:p>
    <w:p>
      <w:pPr>
        <w:pStyle w:val="Heading2"/>
      </w:pPr>
      <w:r>
        <w:t>26.1 提交代码前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已判断配置开发还是 Java 开发，没有把供应商逻辑放进 Gateway。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JDK 17 编译通过，相关单元测试和合同测试通过。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没有提交密钥、真实敏感报文、PID、日志、node_modules 或 Word 临时文件。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数据库变更向前兼容，并有升级与回退说明。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异常均带 traceId，日志字段已脱敏，异步失败不阻塞主链路。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README、接口样例和本手册相关章节已同步。</w:t>
      </w:r>
    </w:p>
    <w:p>
      <w:pPr>
        <w:pStyle w:val="Heading2"/>
      </w:pPr>
      <w:r>
        <w:t>26.2 接口上线前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资源 API 已保存，供应商成功/未命中/失败场景至少各验证一次。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请求与响应映射方向正确；透传方向没有多余一对一映射。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vendorCodePath 按实际响应配置，码值映射覆盖未知值。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安全算法、密钥引用、超时和脱敏策略已复核。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配置校验通过；草稿链路测试按风险执行但不作为硬编码上线依赖。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上线后 published_route、Gateway 路由版本、数据应用计划版本一致。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调用系统已授权，Postman/ESB 线上入口验收通过。</w:t>
      </w:r>
    </w:p>
    <w:p>
      <w:pPr>
        <w:pStyle w:val="Heading2"/>
      </w:pPr>
      <w:r>
        <w:t>26.3 生产发布前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变更窗口、负责人、回滚触发条件和上一版本制品已确认。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普通 JVM 与 F5/VIP 滚动步骤已演练，不依赖容器平台。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峰值容量、P99、慢上游、Admin/Kafka/观测故障均已验证。</w:t>
      </w:r>
    </w:p>
    <w:p>
      <w:pPr>
        <w:pStyle w:val="ListBullet"/>
        <w:spacing w:after="40"/>
      </w:pPr>
      <w:r>
        <w:rPr>
          <w:rFonts w:ascii="Arial" w:hAnsi="Arial" w:eastAsia="Heiti SC"/>
          <w:b w:val="0"/>
          <w:color w:val="000000"/>
          <w:sz w:val="20"/>
        </w:rPr>
        <w:t>□ 监控、告警、值班、日志保留与数据安全策略已生效。</w:t>
      </w:r>
    </w:p>
    <w:p>
      <w:pPr>
        <w:pStyle w:val="Heading1"/>
      </w:pPr>
      <w:r>
        <w:t>27 新手第一周建议路径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100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天</w:t>
            </w:r>
          </w:p>
        </w:tc>
        <w:tc>
          <w:tcPr>
            <w:tcW w:type="dxa" w:w="22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648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练习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第1天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启动并理解链路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启动全栈，分别访问 5173/5190，查看各服务日志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第2天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掌握资源与标准服务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创建一个资源 API 和透传标准服务，不发布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第3天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掌握映射与码值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增加请求、响应、枚举和自定义返回码路径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第4天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掌握发布授权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上线、批量授权、Postman 与 ESB 测试、下线恢复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第5天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掌握代码边界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跟踪 Gateway→LocalPlanRuntime→上游→CompleteResponse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第6天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掌握数据应用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复制骨架到临时分支，新增端口并运行合同测试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第7天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掌握排障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模拟错误授权、路由缺失、上游400、超时和日志服务不可用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常用路径与命令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平台后端</w:t>
        <w:br/>
        <w:t>/Users/tommy/Documents/外部数据/demo/jsnx-edsp-platform-backend</w:t>
        <w:br/>
        <w:t># 平台前端</w:t>
        <w:br/>
        <w:t>/Users/tommy/Documents/外部数据/demo/jsnx-edsp-platform-frontend</w:t>
        <w:br/>
        <w:t># 部署与日志</w:t>
        <w:br/>
        <w:t>/Users/tommy/Documents/外部数据/demo/jsnx-edsp-deployment</w:t>
        <w:br/>
        <w:t># 运行日志</w:t>
        <w:br/>
        <w:t>/Users/tommy/Documents/外部数据/demo/jsnx-edsp-deployment/var/logs</w:t>
        <w:br/>
        <w:t># PID</w:t>
        <w:br/>
        <w:t>/Users/tommy/Documents/外部数据/demo/jsnx-edsp-deployment/var/run</w:t>
      </w:r>
    </w:p>
    <w:p>
      <w:pPr>
        <w:keepLines/>
        <w:spacing w:before="60" w:after="120"/>
        <w:ind w:left="216" w:right="216"/>
        <w:shd w:fill="F3F3F3"/>
      </w:pPr>
      <w:r>
        <w:rPr>
          <w:rFonts w:ascii="Menlo" w:hAnsi="Menlo" w:eastAsia="PingFang SC"/>
          <w:b w:val="0"/>
          <w:color w:val="000000"/>
          <w:sz w:val="17"/>
        </w:rPr>
        <w:t># 查看端口进程</w:t>
        <w:br/>
        <w:t>lsof -nP -iTCP:8080 -sTCP:LISTEN</w:t>
        <w:br/>
        <w:t># 查看健康</w:t>
        <w:br/>
        <w:t>curl -s http://127.0.0.1:8080/actuator/health</w:t>
        <w:br/>
        <w:t># 查看数据库路由</w:t>
        <w:br/>
        <w:t>mysql -h 127.0.0.1 -P 3306 -uroot edsp_demo \</w:t>
        <w:br/>
        <w:t xml:space="preserve">  -e "SELECT interface_code,http_method,service_path,route_version,data_source_id FROM published_route;"</w:t>
        <w:br/>
        <w:t># Git 检查</w:t>
        <w:br/>
        <w:t>git status --short</w:t>
        <w:br/>
        <w:t>git diff --check</w:t>
      </w:r>
    </w:p>
    <w:p>
      <w:pPr>
        <w:pStyle w:val="Heading1"/>
      </w:pPr>
      <w:r>
        <w:t>附录 B 术语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208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术语</w:t>
            </w:r>
          </w:p>
        </w:tc>
        <w:tc>
          <w:tcPr>
            <w:tcW w:type="dxa" w:w="76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000000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资源提供商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向银行提供外部数据能力的机构，旧称数据服务商。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数据源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供应商下具备独立地址、超时、隔离应用和运行地址的一组能力。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资源 API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供应商原始接口契约，是标准服务开发的基准。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标准服务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平台面向行内系统发布的稳定 API 契约。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PlanSnapshot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某一发布版本不可变的上游地址、映射、安全、码值和超时计划。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runtime_url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Gateway 转发到独立数据应用的运行地址，生产应填写 VIP。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endpoint_url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数据应用请求供应商的上游基础地址。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HIT/MISS/ERROR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命中数据、正常未命中、业务或技术失败三类标准结果。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配置热更新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Heiti SC"/>
                <w:b w:val="0"/>
                <w:color w:val="000000"/>
                <w:sz w:val="17"/>
              </w:rPr>
              <w:t>不重启 JVM，通过发布快照和原子切换让新请求使用新计划。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b w:val="0"/>
        <w:color w:val="000000"/>
        <w:sz w:val="18"/>
      </w:rPr>
      <w:t xml:space="preserve">第 </w:t>
    </w:r>
    <w:fldSimple w:instr="PAGE"/>
    <w:r>
      <w:rPr>
        <w:rFonts w:ascii="Arial" w:hAnsi="Arial" w:eastAsia="Heiti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120" w:line="276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76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外部数据平台 2.0 开发手册</dc:title>
  <dc:subject>模块职责、新接口开发、独立数据应用、测试、发布、授权、部署和排障</dc:subject>
  <dc:creator>外部数据平台项目组</dc:creator>
  <cp:keywords>EDSP, JDK17, Spring Cloud Gateway, 数据应用, 开发手册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