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外部数据平台产品功能介绍</w:t>
      </w:r>
    </w:p>
    <w:p>
      <w:r>
        <w:t>外部数据平台 2.0　代码基线 2026年10月9日</w:t>
      </w:r>
    </w:p>
    <w:p>
      <w:r>
        <w:t>本产品用于将多个外部资源提供商的接口接入、封装为行内标准服务，并向获授权的行内系统提供调用能力。本文面向业务负责人、产品经理和接入团队，说明功能边界、业务流程和交付能力。</w:t>
      </w:r>
    </w:p>
    <w:p>
      <w:pPr>
        <w:pStyle w:val="Heading1"/>
      </w:pPr>
      <w:r>
        <w:t>1 产品定位与服务对象</w:t>
      </w:r>
    </w:p>
    <w:p>
      <w:r>
        <w:t>平台统一管理资源接口与标准接口，降低新增接口及字段变更时的重复开发工作。平台维护对外标准契约，数据源应用在各自独立 JVM 中执行请求映射、签名加密和响应标准化。配置支持发布后动态生效；新增 Java 扩展算法仍需部署代码。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工作职责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资源接入人员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维护资源方与上游 API，核对契约并联调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服务开发人员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定义行内标准契约，配置映射、安全策略和返回码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发布与授权人员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发布、下线、恢复版本，为机构和系统授权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运营运维人员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核对调用结果、计量记录和异常链路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行内调用系统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按标准接口文档发送 XML 请求至 ESB，消费 JSON 响应</w:t>
            </w:r>
          </w:p>
        </w:tc>
      </w:tr>
    </w:tbl>
    <w:p>
      <w:pPr>
        <w:spacing w:after="40"/>
      </w:pPr>
    </w:p>
    <w:p>
      <w:pPr>
        <w:pStyle w:val="Heading1"/>
      </w:pPr>
      <w:r>
        <w:t>2 功能模块全景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608"/>
        <w:gridCol w:w="367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运营总览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全平台接口、资源、调用与计量概览；图表悬停查看统计信息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指标源于已落库记录，异步日志丢失会影响统计完整性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资源目录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发现独立供应商开放的数据源与 API，接入并创建资源草稿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资源导入不代表已发布或已授权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资源方管理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维护提供商编码、名称、合同、联系人、接入日期及账号权限资料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账号权限资料不等同于完整生产 IAM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上游能力接入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维护资源 API 的地址、方法、请求响应样例和超时；实际调用上游验证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草稿可保存；只有 READY 资源可用于标准服务开发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标准服务开发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引用资源 API，定义对外接口编码、路径、标准请求、映射、返回码、安全策略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请求与响应独立配置，无映射时该方向透传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服务发布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配置校验、直接上线、历史快照、下线、恢复线上版本和归档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链路测试可选；上线与下线均保留历史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API 访问授权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维护机构与调用系统，对接口进行单项或批量授权，配置环境、有效期和日配额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凭证校验与 API 授权不同；两项均通过才能调用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计量管理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维护接口单价、命中计量条件，查询明细、金额和结果分布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现有异步日志可丢失，不是金融级最终结算账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链路追踪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按调用记录和 Trace ID 查看成功失败、节点入出参和状态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全链路节点测量仍有模拟值，见详设边界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运行监控</w:t>
            </w:r>
          </w:p>
        </w:tc>
        <w:tc>
          <w:tcPr>
            <w:tcW w:type="dxa" w:w="46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调用量、成功失败、耗时趋势、节点概况与告警展示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不是主机监控或全功能 APM</w:t>
            </w:r>
          </w:p>
        </w:tc>
      </w:tr>
    </w:tbl>
    <w:p>
      <w:pPr>
        <w:spacing w:after="40"/>
      </w:pPr>
    </w:p>
    <w:p>
      <w:pPr>
        <w:pStyle w:val="Heading1"/>
      </w:pPr>
      <w:r>
        <w:t>3 资源与标准服务的关系</w:t>
      </w:r>
    </w:p>
    <w:p>
      <w:r>
        <w:t>一个资源提供商包含多个数据源，一个数据源包含多个资源 API。标准服务通过 resource_api_id 关联资源 API；该字段没有唯一约束，因此同一资源 API 可被不同标准服务复用。每个标准服务具有唯一 interface_code，调用报文中的 apiCode 使用这个标准服务编码。</w:t>
      </w:r>
    </w:p>
    <w:p>
      <w:r>
        <w:t>资源 API 保存供应商请求与返回的基准样例；标准服务持有契约副本、映射、安全策略和发布版本。上游变更后，通过同步资源契约显式更新草稿。已发布快照不随资源样例编辑而变化。</w:t>
      </w:r>
    </w:p>
    <w:p>
      <w:pPr>
        <w:pStyle w:val="Heading1"/>
      </w:pPr>
      <w:r>
        <w:t>4 配置化开发能力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请求转换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行内标准字段 → 供应商请求字段，支持默认值、必填及转换规则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响应转换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供应商返回字段 → 行内标准字段；与请求方向分别配置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透传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某个方向无映射时保留原始对象结构；统一响应外层仍由平台生成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字段规则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直接映射、常量、大小写、枚举、日期、安全转换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统一码值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配置供应商码值路径，例如 status.code；映射到标准码与 HIT / MISS / ERROR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安全策略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选择注册算法与密钥引用；支持国密和 Java SPI 扩展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超时继承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默认采用数据源超时，可为单个接口覆盖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复杂报文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对象、嵌套路径与数组路径能力按当前解析器验证；不承诺任意 JSONPath 或任意 XML 数组自动识别</w:t>
            </w:r>
          </w:p>
        </w:tc>
      </w:tr>
    </w:tbl>
    <w:p>
      <w:pPr>
        <w:spacing w:after="40"/>
      </w:pPr>
    </w:p>
    <w:p>
      <w:pPr>
        <w:pStyle w:val="Heading1"/>
      </w:pPr>
      <w:r>
        <w:t>5 开发发布与授权流程</w:t>
      </w:r>
    </w:p>
    <w:p>
      <w:r>
        <w:t>资源建草稿 → 保存上游配置 → 可选上游联调 → 基于资源创建标准服务 → 配置并保存 → 可选草稿链路测试 → 配置校验与上线 → 调用系统授权 → 可选线上入口验收。审批记录和接口保留为扩展，当前主流程可直接上线。</w:t>
      </w:r>
    </w:p>
    <w:p>
      <w:r>
        <w:t>开发与线上运行彼此分开：线上 V2 可以同时存在 V3 草稿。下线只停止线上请求，草稿继续开发。恢复 V2 与发布 V3 分别使用旧快照与新配置；保存不会自动恢复生产流量。</w:t>
      </w:r>
    </w:p>
    <w:p>
      <w:pPr>
        <w:pStyle w:val="Heading1"/>
      </w:pPr>
      <w:r>
        <w:t>6 端到端业务调用</w:t>
      </w:r>
    </w:p>
    <w:p>
      <w:r>
        <w:drawing>
          <wp:inline xmlns:a="http://schemas.openxmlformats.org/drawingml/2006/main" xmlns:pic="http://schemas.openxmlformats.org/drawingml/2006/picture">
            <wp:extent cx="5669280" cy="503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完整调用链路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 当前能力与交付边界</w:t>
      </w:r>
    </w:p>
    <w:p>
      <w:r>
        <w:t>当前本地版本使用 MySQL、独立 Spring Boot 服务与 Vue 3 页面，无容器依赖。ESB 采用内存队列模拟，异步事件采用 HTTP 模拟 Kafka。Nacos、Sentinel 和 Kafka 有接入配置，默认未开启；Router 仅预留契约。</w:t>
      </w:r>
    </w:p>
    <w:p>
      <w:r>
        <w:t>商用交付前须补齐生产认证授权、行内 ESB 适配、真实节点测量、数据脱敏与权限校验、事件队列有界化、数据库变更管理以及容量验收。产品支持配置发布不代表代码已经完成银行生产验收。日千万次约等于平均 116 次每秒，不能代替峰值压测、故障演练和容量规划。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cstheme="majorBidi"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