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外部数据平台使用手册</w:t>
      </w:r>
    </w:p>
    <w:p>
      <w:r>
        <w:t>外部数据平台 2.0　代码基线 2026年10月9日</w:t>
      </w:r>
    </w:p>
    <w:p>
      <w:r>
        <w:t>本手册面向首次接入和开发人员，以资源 API 接入、标准服务封装、上线授权和排障为主线。操作前应准备供应商接口文档、脱敏请求响应样例、运行地址与调用系统资料。示例编码仅用于说明，不代表数据库已有对应配置。</w:t>
      </w:r>
    </w:p>
    <w:p>
      <w:pPr>
        <w:pStyle w:val="Heading1"/>
      </w:pPr>
      <w:r>
        <w:t>1 启动与登录</w:t>
      </w:r>
    </w:p>
    <w:p>
      <w:r>
        <w:t>部署目录为 jsnx-edsp-deployment。确认 JDK 17 和本地 MySQL 可用后执行 ./bin/start-demo.sh。平台页面为 http://127.0.0.1:5173/，供应商独立页面为 http://127.0.0.1:5190/。当前开发登录账号 admin，密码 admin123；此固定登录机制仅供本地验证。</w:t>
      </w:r>
    </w:p>
    <w:p>
      <w:r>
        <w:t>停止使用 ./bin/stop-demo.sh。后端代码更新可使用 ./bin/reload-integration-stack.sh 重载联调栈，该脚本不重置数据。不要在正常使用时执行 reset-test-data.sh。修改前端样式后 Vite 会热更新；静态部署需要重新构建并替换 dist。</w:t>
      </w:r>
    </w:p>
    <w:p>
      <w:pPr>
        <w:pStyle w:val="Heading1"/>
      </w:pPr>
      <w:r>
        <w:t>2 页面导航与操作约定</w:t>
      </w:r>
    </w:p>
    <w:p>
      <w:r>
        <w:t>侧边菜单按全局视图、数据服务和运行管理分组，可收起分组及整个侧栏。接口资源目录按数据源折叠，选择 API 后在右侧编辑。离开有未保存修改的页面时，选择继续编辑或明确放弃。保存只保存开发态配置，上线才切换线上版本。</w:t>
      </w:r>
    </w:p>
    <w:p>
      <w:pPr>
        <w:pStyle w:val="Heading1"/>
      </w:pPr>
      <w:r>
        <w:t>3 准备上游供应商与资源</w:t>
      </w:r>
    </w:p>
    <w:p>
      <w:pPr>
        <w:pStyle w:val="Heading2"/>
      </w:pPr>
      <w:r>
        <w:t>3.1 建立资源提供商</w:t>
      </w:r>
    </w:p>
    <w:p>
      <w:r>
        <w:t>进入资源方管理，新增或编辑提供商编码、名称、联系方式、合同及接入属性。提供商编码应稳定，避免把接口编码当成提供商编码。</w:t>
      </w:r>
    </w:p>
    <w:p>
      <w:pPr>
        <w:pStyle w:val="Heading2"/>
      </w:pPr>
      <w:r>
        <w:t>3.2 建立数据源</w:t>
      </w:r>
    </w:p>
    <w:p>
      <w:r>
        <w:t>建立数据源编码、基础 URL 和默认超时，并登记所属独立应用 application_name 与 runtime_url。runtime_url 是数据应用地址，如 http://127.0.0.1:8191；endpoint_url 是供应商基础地址，两者不可混用。实例数字段不负责启动进程。</w:t>
      </w:r>
    </w:p>
    <w:p>
      <w:pPr>
        <w:pStyle w:val="Heading2"/>
      </w:pPr>
      <w:r>
        <w:t>3.3 创建上游 API</w:t>
      </w:r>
    </w:p>
    <w:p>
      <w:r>
        <w:t>进入上游能力接入，选择数据源创建草稿，填写供应商路径、请求样例和返回样例。默认继承数据源配置；仅需特殊地址或超时的接口使用覆盖配置。也可从资源目录选择供应商能力后接入并创建草稿。</w:t>
      </w:r>
    </w:p>
    <w:p>
      <w:pPr>
        <w:pStyle w:val="Heading2"/>
      </w:pPr>
      <w:r>
        <w:t>3.4 保存和验证</w:t>
      </w:r>
    </w:p>
    <w:p>
      <w:r>
        <w:t>点击保存上游配置，接口成为 READY，才可在标准服务开发中选择。点击验证上游接口时必须按供应商要求输入参数。若供应商要求 query_key，传 company_code 不会自动替代；标准映射属于下一阶段。</w:t>
      </w:r>
    </w:p>
    <w:p>
      <w:pPr>
        <w:pStyle w:val="Heading2"/>
      </w:pPr>
      <w:r>
        <w:t>3.5 核对真实数据</w:t>
      </w:r>
    </w:p>
    <w:p>
      <w:r>
        <w:t>供应商模拟服务支持按数据库中的企业记录查询，校验失败、命中和未命中应分别验证。新增 API 定义不会自动生成真实企业记录。</w:t>
      </w:r>
    </w:p>
    <w:p>
      <w:pPr>
        <w:pStyle w:val="Heading1"/>
      </w:pPr>
      <w:r>
        <w:t>4 创建标准服务</w:t>
      </w:r>
    </w:p>
    <w:p>
      <w:r>
        <w:t>进入标准服务开发，选择已保存的资源 API 创建服务，填写唯一服务编码、服务名称、对外路径和 HTTP 方法。ESB 和当前通用执行链使用 POST JSON，其他方法需确认对应运行实现，不应仅凭页面可选就认定支持。</w:t>
      </w:r>
    </w:p>
    <w:p>
      <w:r>
        <w:t>明确行内系统调用的标准请求与响应契约。供应商字段本身已符合标准时，保留请求方向和响应方向的无映射状态即可。透传表示业务对象不逐项转换，最终仍有 code、message、resultStatus、traceId、data 的平台统一外层。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864"/>
        <w:gridCol w:w="2016"/>
        <w:gridCol w:w="2016"/>
        <w:gridCol w:w="5184"/>
      </w:tblGrid>
      <w:tr>
        <w:trPr>
          <w:cantSplit/>
          <w:tblHeader/>
        </w:trPr>
        <w:tc>
          <w:tcPr>
            <w:tcW w:type="dxa" w:w="8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方向</w:t>
            </w:r>
          </w:p>
        </w:tc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来源</w:t>
            </w:r>
          </w:p>
        </w:tc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目标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示例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请求</w:t>
            </w:r>
          </w:p>
        </w:tc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行内标准请求</w:t>
            </w:r>
          </w:p>
        </w:tc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供应商请求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companyCode → query_key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响应</w:t>
            </w:r>
          </w:p>
        </w:tc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供应商响应</w:t>
            </w:r>
          </w:p>
        </w:tc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行内标准响应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result.company_name → companyName</w:t>
            </w:r>
          </w:p>
        </w:tc>
      </w:tr>
      <w:tr>
        <w:trPr>
          <w:cantSplit/>
        </w:trPr>
        <w:tc>
          <w:tcPr>
            <w:tcW w:type="dxa" w:w="86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响应枚举</w:t>
            </w:r>
          </w:p>
        </w:tc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供应商原始值</w:t>
            </w:r>
          </w:p>
        </w:tc>
        <w:tc>
          <w:tcPr>
            <w:tcW w:type="dxa" w:w="201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行内标准值</w:t>
            </w:r>
          </w:p>
        </w:tc>
        <w:tc>
          <w:tcPr>
            <w:tcW w:type="dxa" w:w="518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sex_code 的 1 → M，2 → F</w:t>
            </w:r>
          </w:p>
        </w:tc>
      </w:tr>
    </w:tbl>
    <w:p>
      <w:pPr>
        <w:spacing w:after="40"/>
      </w:pPr>
    </w:p>
    <w:p>
      <w:pPr>
        <w:pStyle w:val="Heading2"/>
      </w:pPr>
      <w:r>
        <w:t>4.1 编辑字段映射</w:t>
      </w:r>
    </w:p>
    <w:p>
      <w:r>
        <w:t>粘贴标准请求或供应商响应 JSON 样例，使用样例导入字段生成映射行，再确认来源路径与目标路径。请求和响应可独立选择透传或转换。新增行需要填写完整路径；启用映射后只输出配置的目标字段，未配置字段不会自动追加。</w:t>
      </w:r>
    </w:p>
    <w:p>
      <w:pPr>
        <w:pStyle w:val="Heading2"/>
      </w:pPr>
      <w:r>
        <w:t>4.2 配置枚举和日期</w:t>
      </w:r>
    </w:p>
    <w:p>
      <w:r>
        <w:t>枚举抽屉左侧填写实际来源值，右侧填写目标标准值；保存抽屉后还需保存字段标准化。未知枚举可配置默认值。日期填写来源格式与目标格式，例如 yyyy-MM-dd → yyyyMMdd，错误格式会导致运行异常。</w:t>
      </w:r>
    </w:p>
    <w:p>
      <w:pPr>
        <w:pStyle w:val="Heading2"/>
      </w:pPr>
      <w:r>
        <w:t>4.3 返回码</w:t>
      </w:r>
    </w:p>
    <w:p>
      <w:r>
        <w:t>填写供应商码值取值路径，如 result.code 或 status.code，再添加原始码与平台码。HIT 表示命中业务数据，MISS 表示正常未命中，ERROR 表示业务或供应商错误。HTTP 200 不保证 HIT。参与计量控制是否生成计费金额，允许重试是策略标记，不能据此认定已经执行自动重试。</w:t>
      </w:r>
    </w:p>
    <w:p>
      <w:pPr>
        <w:pStyle w:val="Heading2"/>
      </w:pPr>
      <w:r>
        <w:t>4.4 签名与加密</w:t>
      </w:r>
    </w:p>
    <w:p>
      <w:r>
        <w:t>从后台注册算法目录选择算法，填写受控密钥引用和必要参数，按供应商签名规范确认字段顺序、字符集和编码。密钥引用可采用 config://、env://、sys://。新增自定义算法需要实现 Java SPI 并部署扩展 JAR；页面配置不能创建任意 Java 算法。</w:t>
      </w:r>
    </w:p>
    <w:p>
      <w:pPr>
        <w:pStyle w:val="Heading2"/>
      </w:pPr>
      <w:r>
        <w:t>4.5 保存和测试</w:t>
      </w:r>
    </w:p>
    <w:p>
      <w:r>
        <w:t>保存后可执行配置校验，检查映射及样例契约。草稿链路测试为可选测试功能，会真实调用上游，但不经过 ESB 和 Gateway。修改上游契约后点击同步资源契约，再核对标准请求和映射；同步不改变线上版本。</w:t>
      </w:r>
    </w:p>
    <w:p>
      <w:pPr>
        <w:pStyle w:val="Heading1"/>
      </w:pPr>
      <w:r>
        <w:t>5 上线下线与版本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操作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首次反复保存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current_version 为 1，published_version 为空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首次上线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线上 V1，生成发布快照与路由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修改已上线服务并保存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形成 V2 草稿，线上仍 V1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继续保存同一草稿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V2 不因保存次数增加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下线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停止线上流量，仍可编辑草稿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恢复线上 V1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恢复旧快照，不发布 V2 草稿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上线草稿 V2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通过配置校验后发布 V2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删除或归档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未发布草稿可删除；有历史的接口先下线再归档，日志与发布记录保留</w:t>
            </w:r>
          </w:p>
        </w:tc>
      </w:tr>
    </w:tbl>
    <w:p>
      <w:pPr>
        <w:spacing w:after="40"/>
      </w:pPr>
    </w:p>
    <w:p>
      <w:r>
        <w:t>服务发布页面查看当前草稿与已发布版本。没有链路测试记录不阻止上线，但静态配置校验失败仍应修复。历史审批功能不是当前主流程的前置条件。</w:t>
      </w:r>
    </w:p>
    <w:p>
      <w:pPr>
        <w:pStyle w:val="Heading1"/>
      </w:pPr>
      <w:r>
        <w:t>6 调用系统与批量授权</w:t>
      </w:r>
    </w:p>
    <w:p>
      <w:r>
        <w:t>进入 API 访问授权，先建立调用系统及法人机构信息，再选择接口设置环境、起止日期和日配额。批量操作前使用数据源和搜索筛选，核对已选集合及数量，再保存。确认调用请求的 X-App-Id 与 client_code 完全一致，environment 与授权环境一致。</w:t>
      </w:r>
    </w:p>
    <w:p>
      <w:r>
        <w:t>配置调用系统不等于完成凭证发放。当前 Gateway 开发凭证为配置项 edsp.auth.bootstrap-api-key；正式环境需对接独立的调用方凭证体系。下线后授权记录保留，但无法调用；恢复线上后有效授权可继续使用。</w:t>
      </w:r>
    </w:p>
    <w:p>
      <w:pPr>
        <w:pStyle w:val="Heading1"/>
      </w:pPr>
      <w:r>
        <w:t>7 Postman 完整链路验收</w:t>
      </w:r>
    </w:p>
    <w:p>
      <w:r>
        <w:t>先完成上线、运行地址登记及授权，再使用 POST http://127.0.0.1:8084/esb/queue/request。每次调用使用不同 Trace ID，避免 usage_record 唯一键将多次调用合并。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04"/>
        <w:gridCol w:w="7776"/>
      </w:tblGrid>
      <w:tr>
        <w:trPr>
          <w:cantSplit/>
          <w:tblHeader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请求头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填写内容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Content-Type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application/xml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X-App-Id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已授权的 client_code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X-Api-Key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当前环境配置的调用凭证</w:t>
            </w:r>
          </w:p>
        </w:tc>
      </w:tr>
      <w:tr>
        <w:trPr>
          <w:cantSplit/>
        </w:trPr>
        <w:tc>
          <w:tcPr>
            <w:tcW w:type="dxa" w:w="23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X-Trace-Id</w:t>
            </w:r>
          </w:p>
        </w:tc>
        <w:tc>
          <w:tcPr>
            <w:tcW w:type="dxa" w:w="77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POSTMAN-20261009-0001，每次递增或使用 UUID</w:t>
            </w:r>
          </w:p>
        </w:tc>
      </w:tr>
    </w:tbl>
    <w:p>
      <w:pPr>
        <w:spacing w:after="40"/>
      </w:pPr>
    </w:p>
    <w:p>
      <w:r>
        <w:t>请求示例，替换 apiCode 为已上线的标准服务编码，body 使用该服务标准请求字段：</w:t>
      </w:r>
    </w:p>
    <w:p>
      <w:r>
        <w:t>&lt;request&gt;</w:t>
        <w:br/>
        <w:t xml:space="preserve">  &lt;apiCode&gt;COMPANY_QUERY_SERVICE&lt;/apiCode&gt;</w:t>
        <w:br/>
        <w:t xml:space="preserve">  &lt;environment&gt;TEST&lt;/environment&gt;</w:t>
        <w:br/>
        <w:t xml:space="preserve">  &lt;body&gt;</w:t>
        <w:br/>
        <w:t xml:space="preserve">    &lt;companyCode&gt;DEMO-001&lt;/companyCode&gt;</w:t>
        <w:br/>
        <w:t xml:space="preserve">  &lt;/body&gt;</w:t>
        <w:br/>
        <w:t>&lt;/request&gt;</w:t>
      </w:r>
    </w:p>
    <w:p>
      <w:r>
        <w:t>预期响应结构：{"code":"EXT-SUCCESS","message":"查询成功","resultStatus":"HIT","traceId":"...","data":{...}}。实际标准码和 data 以已发布配置为准；未命中应检查 MISS，不能仅检查 HTTP 状态。</w:t>
      </w:r>
    </w:p>
    <w:p>
      <w:pPr>
        <w:pStyle w:val="Heading1"/>
      </w:pPr>
      <w:r>
        <w:t>8 调用追踪与计量核对</w:t>
      </w:r>
    </w:p>
    <w:p>
      <w:r>
        <w:t>在链路追踪按 Trace ID 查记录，点击节点查看输入输出。依次确认 ESB 解析参数、Gateway 目标、实际供应商请求和响应转换结果。日志异步入库，短时查不到可稍后刷新；传输故障允许丢日志，不保证每笔都有完整节点。计量管理按接口规则显示单价和金额，最终结算需可靠数据渠道。</w:t>
      </w:r>
    </w:p>
    <w:p>
      <w:pPr>
        <w:pStyle w:val="Heading1"/>
      </w:pPr>
      <w:r>
        <w:t>9 常见问题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2376"/>
        <w:gridCol w:w="7704"/>
      </w:tblGrid>
      <w:tr>
        <w:trPr>
          <w:cantSplit/>
          <w:tblHeader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现象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  <w:shd w:fill="EEEEEE"/>
          </w:tcPr>
          <w:p>
            <w:pPr>
              <w:spacing w:after="40" w:line="252" w:lineRule="auto"/>
            </w:pPr>
            <w:r>
              <w:rPr>
                <w:b/>
                <w:sz w:val="18"/>
              </w:rPr>
              <w:t>检查顺序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保存按钮不可用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确认当前资源与编辑内容已加载，检查必填字段和网络错误；已下线不应禁止保存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供应商 400 缺少字段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先看实际上游请求，再对比已保存资源契约；确认请求映射方向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Gateway 403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调用系统、接口、环境、有效期、启用状态和日配额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Gateway 503 无运行地址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data_source.runtime_url 与实际应用端口、application_name 归属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ESB 等待超时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查看 Adapter、Gateway、上游耗时；外层超时应覆盖内层与处理余量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路由不存在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确认上线及 published_route；检查 code、HTTP 方法和路径一致性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上线提示缺字段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同步上游契约，检查映射后的实际字段及默认值；测试不替代静态校验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页面已变但接口仍旧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确认重载了对应后端 JAR；页面热更新不会重启 Java</w:t>
            </w:r>
          </w:p>
        </w:tc>
      </w:tr>
      <w:tr>
        <w:trPr>
          <w:cantSplit/>
        </w:trPr>
        <w:tc>
          <w:tcPr>
            <w:tcW w:type="dxa" w:w="2376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新配置未生效</w:t>
            </w:r>
          </w:p>
        </w:tc>
        <w:tc>
          <w:tcPr>
            <w:tcW w:type="dxa" w:w="770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40" w:line="252" w:lineRule="auto"/>
            </w:pPr>
            <w:r>
              <w:rPr>
                <w:b w:val="0"/>
                <w:sz w:val="18"/>
              </w:rPr>
              <w:t>确认保存后已上线；查看 route_version、发布快照和数据应用选中版本</w:t>
            </w:r>
          </w:p>
        </w:tc>
      </w:tr>
    </w:tbl>
    <w:p>
      <w:pPr>
        <w:spacing w:after="40"/>
      </w:pP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 w:eastAsia="Heiti SC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276" w:lineRule="auto"/>
      <w:outlineLvl w:val="0"/>
    </w:pPr>
    <w:rPr>
      <w:rFonts w:cstheme="majorBidi" w:ascii="Arial" w:hAnsi="Arial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6" w:lineRule="auto"/>
      <w:outlineLvl w:val="1"/>
    </w:pPr>
    <w:rPr>
      <w:rFonts w:cstheme="majorBidi" w:ascii="Arial" w:hAnsi="Arial" w:eastAsia="Heiti SC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6" w:lineRule="auto"/>
      <w:outlineLvl w:val="2"/>
    </w:pPr>
    <w:rPr>
      <w:rFonts w:cstheme="majorBidi" w:ascii="Arial" w:hAnsi="Arial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76" w:lineRule="auto"/>
      <w:contextualSpacing/>
    </w:pPr>
    <w:rPr>
      <w:rFonts w:cstheme="majorBidi" w:ascii="Arial" w:hAnsi="Arial" w:eastAsia="Heiti SC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