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rial" w:hAnsi="Arial" w:eastAsia="Noto Sans CJK SC"/>
          <w:b/>
          <w:color w:val="1F4E79"/>
          <w:sz w:val="60"/>
        </w:rPr>
        <w:t>实习工作总结</w:t>
      </w:r>
    </w:p>
    <w:p>
      <w:pPr>
        <w:spacing w:before="200"/>
        <w:jc w:val="center"/>
      </w:pPr>
      <w:r>
        <w:rPr>
          <w:rFonts w:ascii="Arial" w:hAnsi="Arial" w:eastAsia="Noto Sans CJK SC"/>
          <w:b w:val="0"/>
          <w:color w:val="666666"/>
          <w:sz w:val="26"/>
        </w:rPr>
        <w:t>云原生工程实践 · Kubernetes 自动化 · Go 性能分析 · AI Infra</w:t>
      </w:r>
    </w:p>
    <w:p>
      <w:pPr>
        <w:spacing w:before="360"/>
        <w:jc w:val="center"/>
      </w:pPr>
      <w:r>
        <w:rPr>
          <w:rFonts w:ascii="Arial" w:hAnsi="Arial" w:eastAsia="Noto Sans CJK SC"/>
          <w:b w:val="0"/>
          <w:color w:val="2F75B5"/>
          <w:sz w:val="22"/>
        </w:rPr>
        <w:t>━━━━━━━━━━━━━━━━━━━━━━━━━━━━</w:t>
      </w:r>
    </w:p>
    <w:p>
      <w:pPr>
        <w:spacing w:before="2000"/>
        <w:jc w:val="center"/>
      </w:pPr>
    </w:p>
    <w:p>
      <w:pPr>
        <w:spacing w:after="160"/>
        <w:jc w:val="center"/>
      </w:pPr>
      <w:r>
        <w:rPr>
          <w:rFonts w:ascii="Arial" w:hAnsi="Arial" w:eastAsia="Noto Sans CJK SC"/>
          <w:b/>
          <w:color w:val="1F4E79"/>
          <w:sz w:val="20"/>
        </w:rPr>
        <w:t>实习方向：</w:t>
      </w:r>
      <w:r>
        <w:rPr>
          <w:rFonts w:ascii="Arial" w:hAnsi="Arial" w:eastAsia="Noto Sans CJK SC"/>
          <w:b w:val="0"/>
          <w:color w:val="222222"/>
          <w:sz w:val="20"/>
        </w:rPr>
        <w:t>Kubernetes / Go / pprof / Cgroup / AI Agent Sandbox</w:t>
      </w:r>
    </w:p>
    <w:p>
      <w:pPr>
        <w:spacing w:after="160"/>
        <w:jc w:val="center"/>
      </w:pPr>
      <w:r>
        <w:rPr>
          <w:rFonts w:ascii="Arial" w:hAnsi="Arial" w:eastAsia="Noto Sans CJK SC"/>
          <w:b/>
          <w:color w:val="1F4E79"/>
          <w:sz w:val="20"/>
        </w:rPr>
        <w:t>核心工作：</w:t>
      </w:r>
      <w:r>
        <w:rPr>
          <w:rFonts w:ascii="Arial" w:hAnsi="Arial" w:eastAsia="Noto Sans CJK SC"/>
          <w:b w:val="0"/>
          <w:color w:val="222222"/>
          <w:sz w:val="20"/>
        </w:rPr>
        <w:t>版本分析自动化、性能项目复现优化、微服务与 BMC 实践</w:t>
      </w:r>
    </w:p>
    <w:p>
      <w:pPr>
        <w:spacing w:after="160"/>
        <w:jc w:val="center"/>
      </w:pPr>
      <w:r>
        <w:rPr>
          <w:rFonts w:ascii="Arial" w:hAnsi="Arial" w:eastAsia="Noto Sans CJK SC"/>
          <w:b/>
          <w:color w:val="1F4E79"/>
          <w:sz w:val="20"/>
        </w:rPr>
        <w:t>总结时间：</w:t>
      </w:r>
      <w:r>
        <w:rPr>
          <w:rFonts w:ascii="Arial" w:hAnsi="Arial" w:eastAsia="Noto Sans CJK SC"/>
          <w:b w:val="0"/>
          <w:color w:val="222222"/>
          <w:sz w:val="20"/>
        </w:rPr>
        <w:t>2026 年 9 月</w:t>
      </w:r>
    </w:p>
    <w:p>
      <w:r>
        <w:br w:type="page"/>
      </w:r>
    </w:p>
    <w:p>
      <w:pPr>
        <w:spacing w:after="200"/>
      </w:pPr>
      <w:r>
        <w:rPr>
          <w:rFonts w:ascii="Arial" w:hAnsi="Arial" w:eastAsia="Noto Sans CJK SC"/>
          <w:b/>
          <w:color w:val="1F4E79"/>
          <w:sz w:val="40"/>
        </w:rPr>
        <w:t>目录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一、实习工作概述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二、Kubernetes 版本分析与特性变更自动化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三、Go pprof 项目跨区复现与 Cgroup 兼容优化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四、“访客计数器”微服务与 BMC 部署实践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五、技术学习与专题研究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六、成果输出与竞赛荣誉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七、实习收获与后续提升方向</w:t>
      </w:r>
    </w:p>
    <w:p>
      <w:pPr>
        <w:spacing w:after="80"/>
        <w:ind w:left="283"/>
      </w:pPr>
      <w:r>
        <w:rPr>
          <w:rFonts w:ascii="Arial" w:hAnsi="Arial" w:eastAsia="Noto Sans CJK SC"/>
          <w:b w:val="0"/>
          <w:color w:val="222222"/>
          <w:sz w:val="20"/>
        </w:rPr>
        <w:t>八、心得体会</w:t>
      </w: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工作总结概览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本次实习以云原生工程实践为主线，主要完成 Kubernetes 版本分析自动化、Go pprof 项目跨区复现与 Cgroup 兼容性优化，以及“访客计数器”微服务的容器化和 Kubernetes 部署实践；同时参与微服务器与 BMC 相关实操，并围绕 Go、Kubernetes 控制平面和 AI Agent 安全沙箱开展专题学习。实习过程中注重把实际工作沉淀为 SKILL、README、博客和会议报告，并通过测试记录、运行结果和代码提交对工程结论进行验证。报告将“实际工作”“专题学习”“成果与荣誉”分开呈现，避免将学习内容与项目产出混淆。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09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实际工作 / 学习内容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可验证产出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K8s 版本分析</w:t>
            </w:r>
          </w:p>
        </w:tc>
        <w:tc>
          <w:tcPr>
            <w:tcW w:type="dxa" w:w="4309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将版本资料检索、FeatureGate 事实提取、生成、校验和交付组织为标准化流水线</w:t>
            </w:r>
          </w:p>
        </w:tc>
        <w:tc>
          <w:tcPr>
            <w:tcW w:type="dxa" w:w="3969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发布 1 个 SKILL；双 Sheet XLSX + reference.md + 固定 Tag 源码证据包；8 月 11 日会议报告</w:t>
            </w:r>
          </w:p>
        </w:tc>
      </w:tr>
      <w:tr>
        <w:tc>
          <w:tcPr>
            <w:tcW w:type="dxa" w:w="170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Go pprof</w:t>
            </w:r>
          </w:p>
        </w:tc>
        <w:tc>
          <w:tcPr>
            <w:tcW w:type="dxa" w:w="4309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蓝区服务器复现、跨区代码一致性校验、Cgroup V1/V2 自动识别逻辑优化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build / vet / test 通过；5 个测试包、29 个测试函数 PASS；主程序触发生成 4 个有效 profile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微服务 / K8s</w:t>
            </w:r>
          </w:p>
        </w:tc>
        <w:tc>
          <w:tcPr>
            <w:tcW w:type="dxa" w:w="4309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访客计数器容器化、K8s YAML/Kustomize、Redis StatefulSet、访问与权限验证</w:t>
            </w:r>
          </w:p>
        </w:tc>
        <w:tc>
          <w:tcPr>
            <w:tcW w:type="dxa" w:w="3969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web 2/2、Redis 1/1；ClusterIP/NodePort/Ingress 可访问；探针、metrics、RBAC 等验证通过</w:t>
            </w:r>
          </w:p>
        </w:tc>
      </w:tr>
      <w:tr>
        <w:tc>
          <w:tcPr>
            <w:tcW w:type="dxa" w:w="170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BMC / 服务器</w:t>
            </w:r>
          </w:p>
        </w:tc>
        <w:tc>
          <w:tcPr>
            <w:tcW w:type="dxa" w:w="4309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参与微服务器与 BMC 相关部署实操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建立应用—容器—Kubernetes—服务器硬件的完整运行链路认识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专题学习</w:t>
            </w:r>
          </w:p>
        </w:tc>
        <w:tc>
          <w:tcPr>
            <w:tcW w:type="dxa" w:w="4309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Go、K8s 控制平面、AgentENV、CubeSandbox</w:t>
            </w:r>
          </w:p>
        </w:tc>
        <w:tc>
          <w:tcPr>
            <w:tcW w:type="dxa" w:w="3969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形成云原生到 MicroVM / Agent Sandbox 的知识拓展</w:t>
            </w:r>
          </w:p>
        </w:tc>
      </w:tr>
      <w:tr>
        <w:tc>
          <w:tcPr>
            <w:tcW w:type="dxa" w:w="170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成果与荣誉</w:t>
            </w:r>
          </w:p>
        </w:tc>
        <w:tc>
          <w:tcPr>
            <w:tcW w:type="dxa" w:w="4309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技术输出与软件竞赛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2 篇 W3 博客、1 次会议报告、2026 ICT 软件大赛难题赛道一等奖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一、实习工作概述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1.1 工作主线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实习期间的工作沿着“工程实践 → 自动化沉淀 → 技术拓展 → 成果输出”逐步展开。Kubernetes 版本分析项目侧重把重复性的资料检索与特性分析流程工具化；Go pprof 项目侧重跨环境复现、Cgroup 兼容逻辑优化和协作交付；“访客计数器”项目则把镜像构建、Kubernetes 资源编排和服务验证串成完整部署链路；微服务器与 BMC 实操进一步补充了对实际硬件运行环境的认识。在完成这些实践后，再向 Kubernetes 控制面和 AI Agent Sandbox 等方向拓展学习。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269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6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Noto Sans CJK SC"/>
          <w:b w:val="0"/>
          <w:color w:val="666666"/>
          <w:sz w:val="18"/>
        </w:rPr>
        <w:t>图 1  实习工作主线与成果结构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1.2 工作方法与原则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以可验证事实为先：版本分析优先使用固定 Tag 源码和官方发布资料，性能项目先确认代码与运行环境，再进行逻辑修改。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以工程闭环为目标：不仅完成“代码能运行”，还补充 build / vet / test、运行验证、README 和 Git/MR 协作流程。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以可复用沉淀为结果：将能够固化的流程转化为 SKILL、脚本或文档，并通过博客和会议报告完成阶段性总结，便于后续复查与复用。</w:t>
      </w: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二、Kubernetes 版本分析与特性变更自动化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2.1 背景与问题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Kubernetes 版本升级信息分散在 Release Blog、CHANGELOG、KEP、官方文档以及固定版本源码中。人工整理时，最容易出现三类问题：一是检索范围不稳定，使用 main 分支或非固定资料会导致结果不可复现；二是 FeatureGate 阶段、默认值和锁定状态容易遗漏或混淆；三是自然语言总结容易脱离证据，导致不同人员的分析口径和输出质量不一致。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因此，该项工作的目标不是“让 LLM 自动写一份报告”，而是把版本分析拆解成可重复执行、可校验、可追溯的工程流程：机器事实由源码和官方材料确定，LLM 只参与需要自然语言组织的部分，最终输出同时保留参考网址和源码证据。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2.2 方案设计与实现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228000" cy="2360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skill_pipeline_corr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2360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Noto Sans CJK SC"/>
          <w:b w:val="0"/>
          <w:color w:val="666666"/>
          <w:sz w:val="18"/>
        </w:rPr>
        <w:t>图 2  Kubernetes 版本分析 SKILL 7 阶段流水线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247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核心处理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关键产物 / 约束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1 固定范围</w:t>
            </w:r>
          </w:p>
        </w:tc>
        <w:tc>
          <w:tcPr>
            <w:tcW w:type="dxa" w:w="453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初始化起止版本并固定官方 Tag</w:t>
            </w:r>
          </w:p>
        </w:tc>
        <w:tc>
          <w:tcPr>
            <w:tcW w:type="dxa" w:w="4082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config.json；避免 main 分支持续变化</w:t>
            </w:r>
          </w:p>
        </w:tc>
      </w:tr>
      <w:tr>
        <w:tc>
          <w:tcPr>
            <w:tcW w:type="dxa" w:w="124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2 机器事实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下载固定 Tag 源码、CHANGELOG，解析 kube_features.go</w:t>
            </w:r>
          </w:p>
        </w:tc>
        <w:tc>
          <w:tcPr>
            <w:tcW w:type="dxa" w:w="4082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source-index.json、machine-facts.json；事实不由模型改写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3 发布目录</w:t>
            </w:r>
          </w:p>
        </w:tc>
        <w:tc>
          <w:tcPr>
            <w:tcW w:type="dxa" w:w="453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解析 Release Blog，并按同一特性补充 KEP / 官方文档证据</w:t>
            </w:r>
          </w:p>
        </w:tc>
        <w:tc>
          <w:tcPr>
            <w:tcW w:type="dxa" w:w="4082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release-catalog.json、最小证据卡</w:t>
            </w:r>
          </w:p>
        </w:tc>
      </w:tr>
      <w:tr>
        <w:tc>
          <w:tcPr>
            <w:tcW w:type="dxa" w:w="124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4 生成分析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脚本生成 FeatureGate 结构化文本，LLM 补写版本分析</w:t>
            </w:r>
          </w:p>
        </w:tc>
        <w:tc>
          <w:tcPr>
            <w:tcW w:type="dxa" w:w="4082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analysis.json；先证据、后判断、再成句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5 定向精炼</w:t>
            </w:r>
          </w:p>
        </w:tc>
        <w:tc>
          <w:tcPr>
            <w:tcW w:type="dxa" w:w="453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根据 validation 结果只修问题字段</w:t>
            </w:r>
          </w:p>
        </w:tc>
        <w:tc>
          <w:tcPr>
            <w:tcW w:type="dxa" w:w="4082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避免整表重写造成新错误</w:t>
            </w:r>
          </w:p>
        </w:tc>
      </w:tr>
      <w:tr>
        <w:tc>
          <w:tcPr>
            <w:tcW w:type="dxa" w:w="124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6 文本复查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逐项检查机制、边界、版本、来源与表述完整性</w:t>
            </w:r>
          </w:p>
        </w:tc>
        <w:tc>
          <w:tcPr>
            <w:tcW w:type="dxa" w:w="4082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不足项扩写，证据不足则留空或待核实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7 构建交付</w:t>
            </w:r>
          </w:p>
        </w:tc>
        <w:tc>
          <w:tcPr>
            <w:tcW w:type="dxa" w:w="453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构建并验证双 Sheet XLSX，打包证据</w:t>
            </w:r>
          </w:p>
        </w:tc>
        <w:tc>
          <w:tcPr>
            <w:tcW w:type="dxa" w:w="4082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版本分析 / 特性变更.xlsx + reference.md + features.go 证据包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2.3 关键实现特点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固定来源：以官方 Tag 为版本边界，记录来源 URL 与 SHA-256，使后续分析能够复现。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事实与表达解耦：FeatureGate 阶段、默认值、锁定等状态从源码解析；自然语言分析不能反向覆盖机器事实。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证据分层：Release Blog 用于版本主体事实，机制或边界不足时再补充同项 KEP、官方文档或固定 Tag 资料。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按问题定向迭代：验证结果指向具体字段，优先修订事实不一致、文本过短或泛化表述，避免无差别重写。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交付结构统一：最终结果既有便于阅读的双 Sheet XLSX，也有 reference.md 和固定版本 features.go，便于审核与追溯。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2.4 工作结果与价值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该工作最终形成可迁移的 Kubernetes 版本分析 SKILL，把“固定范围—提取事实—组织证据—生成分析—校验复查—构建交付”固化为标准流程。与一次性人工整理相比，价值主要体现在三个方面：减少重复检索和手工整理工作；统一 FeatureGate 状态与文本分析口径；为每个结论保留可回溯的官方来源和源码证据。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1"/>
      </w:tblGrid>
      <w:tr>
        <w:tc>
          <w:tcPr>
            <w:tcW w:type="dxa" w:w="9661"/>
            <w:shd w:fill="EAF2F8"/>
            <w:tcBorders>
              <w:top w:val="single" w:sz="5" w:color="B4C7E7"/>
              <w:left w:val="single" w:sz="16" w:color="2F75B5"/>
              <w:bottom w:val="single" w:sz="5" w:color="B4C7E7"/>
              <w:right w:val="single" w:sz="5" w:color="B4C7E7"/>
            </w:tcBorders>
          </w:tcPr>
          <w:p>
            <w:pPr>
              <w:spacing w:before="60" w:after="60" w:line="312" w:lineRule="auto"/>
            </w:pPr>
            <w:r/>
            <w:r>
              <w:rPr>
                <w:rFonts w:ascii="Arial" w:hAnsi="Arial" w:eastAsia="Noto Sans CJK SC"/>
                <w:b/>
                <w:color w:val="1F4E79"/>
                <w:sz w:val="19"/>
              </w:rPr>
              <w:t xml:space="preserve">阶段成果  </w:t>
            </w:r>
            <w:r>
              <w:rPr>
                <w:rFonts w:ascii="Arial" w:hAnsi="Arial" w:eastAsia="Noto Sans CJK SC"/>
                <w:b w:val="0"/>
                <w:color w:val="222222"/>
                <w:sz w:val="19"/>
              </w:rPr>
              <w:t>2026 年 8 月 11 日完成《K8s版本分析与特性变更的自动化实现》会议报告，并将该流程作为实习期间的重要自动化沉淀。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三、Go pprof 项目跨区复现与 Cgroup 兼容优化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3.1 项目背景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pprof-export 是面向 Go 运行时性能取证的项目，可在内存压力或收到 SIGUSR2 信号时导出 CPU、Heap、Block、Mutex、Goroutine 等 profile，便于离线分析内存泄漏、goroutine 泄漏和 CPU 热点。跨区复现时，除代码一致性外，还必须处理 Linux Cgroup 版本差异；同一套测试逻辑在 Cgroup V1 与 V2 下使用的目录和内存文件并不相同。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3.2 跨区复现与问题定位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665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6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Noto Sans CJK SC"/>
          <w:b w:val="0"/>
          <w:color w:val="666666"/>
          <w:sz w:val="18"/>
        </w:rPr>
        <w:t>图 3  Go pprof 项目跨区复现与优化闭环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代码同步：使用 Beyond Compare 4 对蓝区 / 黄区代码进行一致性校验，先排除代码版本差异。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环境确认：在蓝区服务器核对 Go、Linux、CPU 架构与 Cgroup 信息，确认实际运行环境为 Linux/arm64、Cgroup V1，memory 子系统具备测试所需的写入条件。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问题定位：重点阅读 main.go 与 util/cgroups 逻辑，确认测试 cgroup 在 V1/V2 下的路径、limit、usage、stat、swap 文件均存在差异。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3.3 Cgroup V1/V2 逻辑优化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优化后的 main.go 不再假设单一 Cgroup 目录，而是通过已有的 IsCgroup2UnifiedMode() 判断当前环境，并将两类文件差异封装为 cgroupPaths：V1 使用 /sys/fs/cgroup/memory/test、memory.limit_in_bytes、memory.usage_in_bytes 等路径；V2 使用 /sys/fs/cgroup/test、memory.max、memory.current 等路径。setupCgroup() 根据检测结果创建测试 cgroup、写入内存限制和 cgroup.procs，并把实际 usage / limit / stat 路径注入后续内存压力检测逻辑。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rPr>
          <w:tblHeader w:val="true"/>
        </w:trPr>
        <w:tc>
          <w:tcPr>
            <w:tcW w:type="dxa" w:w="1361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测试目录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limit / usage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stat / swap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Cgroup V1</w:t>
            </w:r>
          </w:p>
        </w:tc>
        <w:tc>
          <w:tcPr>
            <w:tcW w:type="dxa" w:w="283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/sys/fs/cgroup/memory/test</w:t>
            </w:r>
          </w:p>
        </w:tc>
        <w:tc>
          <w:tcPr>
            <w:tcW w:type="dxa" w:w="3402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memory.limit_in_bytes / memory.usage_in_bytes</w:t>
            </w:r>
          </w:p>
        </w:tc>
        <w:tc>
          <w:tcPr>
            <w:tcW w:type="dxa" w:w="238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memory.stat / memory.memsw.limit_in_bytes</w:t>
            </w:r>
          </w:p>
        </w:tc>
      </w:tr>
      <w:tr>
        <w:tc>
          <w:tcPr>
            <w:tcW w:type="dxa" w:w="136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Cgroup V2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/sys/fs/cgroup/test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memory.max / memory.current</w:t>
            </w:r>
          </w:p>
        </w:tc>
        <w:tc>
          <w:tcPr>
            <w:tcW w:type="dxa" w:w="238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memory.stat / memory.swap.max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3.4 验证结果与协作提交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代码修改完成后，对工程进行了编译、静态检查、单元测试和主程序运行验证。现有验证记录能够形成较完整的证据链：Cgroup 限制生效 → 主程序持续分配内存 → 内存压力触发器告警 → exporter 落盘 → 生成的 profile 可被 go tool pprof 正常解析。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go build ./...</w:t>
            </w:r>
          </w:p>
        </w:tc>
        <w:tc>
          <w:tcPr>
            <w:tcW w:type="dxa" w:w="124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通过</w:t>
            </w:r>
          </w:p>
        </w:tc>
        <w:tc>
          <w:tcPr>
            <w:tcW w:type="dxa" w:w="691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所有非测试源码编译成功</w:t>
            </w:r>
          </w:p>
        </w:tc>
      </w:tr>
      <w:tr>
        <w:tc>
          <w:tcPr>
            <w:tcW w:type="dxa" w:w="181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go vet ./...</w:t>
            </w:r>
          </w:p>
        </w:tc>
        <w:tc>
          <w:tcPr>
            <w:tcW w:type="dxa" w:w="124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通过</w:t>
            </w:r>
          </w:p>
        </w:tc>
        <w:tc>
          <w:tcPr>
            <w:tcW w:type="dxa" w:w="691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全部包静态检查无告警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go test ./...</w:t>
            </w:r>
          </w:p>
        </w:tc>
        <w:tc>
          <w:tcPr>
            <w:tcW w:type="dxa" w:w="124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通过</w:t>
            </w:r>
          </w:p>
        </w:tc>
        <w:tc>
          <w:tcPr>
            <w:tcW w:type="dxa" w:w="691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5 个含测试的包、29 个测试函数全部 PASS</w:t>
            </w:r>
          </w:p>
        </w:tc>
      </w:tr>
      <w:tr>
        <w:tc>
          <w:tcPr>
            <w:tcW w:type="dxa" w:w="181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主程序运行</w:t>
            </w:r>
          </w:p>
        </w:tc>
        <w:tc>
          <w:tcPr>
            <w:tcW w:type="dxa" w:w="124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通过</w:t>
            </w:r>
          </w:p>
        </w:tc>
        <w:tc>
          <w:tcPr>
            <w:tcW w:type="dxa" w:w="691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自动识别为 Cgroup V1；内存压力触发 2 次，生成 2 批共 4 个 Heap/Goroutine profile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profile 解析</w:t>
            </w:r>
          </w:p>
        </w:tc>
        <w:tc>
          <w:tcPr>
            <w:tcW w:type="dxa" w:w="124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通过</w:t>
            </w:r>
          </w:p>
        </w:tc>
        <w:tc>
          <w:tcPr>
            <w:tcW w:type="dxa" w:w="691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go tool pprof 可正常解析，数据与内存分配行为一致</w:t>
            </w:r>
          </w:p>
        </w:tc>
      </w:tr>
    </w:tbl>
    <w:p>
      <w:pPr>
        <w:spacing w:after="0"/>
      </w:pP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在工程闭环方面，同时完善 README 中的运行方法和 Cgroup 兼容说明，使用 Git 完成代码提交，并按团队流程通过 MR 方式提交变更评审。该项工作使我认识到，跨区复现并不只是“把代码跑起来”，还需要先排除代码差异和环境差异，再通过编译、静态检查、单元测试及运行结果证明修改有效，最后以规范文档和代码评审完成交付。</w:t>
      </w: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四、“访客计数器”微服务与 BMC 部署实践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4.1 微服务容器化与 Kubernetes 部署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为把 Kubernetes 资源对象从概念学习转化为可运行系统，以“访客计数器”作为完整实践场景，并结合 AI 辅助完成应用代码和部署配置。重点工作是将服务从本地代码推进到集群运行：编写并验证 Dockerfile，构建容器镜像，通过 Kubernetes YAML / Kustomize 组织工作负载、网络、配置、存储和权限资源，使用 Redis 保存访问计数，最终在 kind 集群中完成部署、访问与运行验证。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59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Noto Sans CJK SC"/>
          <w:b w:val="0"/>
          <w:color w:val="666666"/>
          <w:sz w:val="18"/>
        </w:rPr>
        <w:t>图 4  “访客计数器”从代码到 Kubernetes 运行的部署链路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4.2 配置覆盖与实际验证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该实践不是分别编写孤立的 YAML，而是围绕同一服务场景串联 Deployment、StatefulSet、Service、Ingress、ConfigMap、Secret、PVC、HPA、RBAC、NetworkPolicy、Job、CronJob、DaemonSet，以及 readiness/liveness probe、initContainer、sidecar、Downward API 等机制；同时通过 setup-kind.sh、build.sh、deploy.sh、verify.sh 与 cleanup.sh 将集群准备、镜像构建、资源部署、结果验证和环境清理组织成可重复执行的操作链路。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0"/>
        <w:gridCol w:w="4830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8164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实际结果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工作负载</w:t>
            </w:r>
          </w:p>
        </w:tc>
        <w:tc>
          <w:tcPr>
            <w:tcW w:type="dxa" w:w="816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web Deployment 2/2 Ready；Redis StatefulSet 1/1 Ready；DaemonSet、Job、CronJob 均能按配置运行</w:t>
            </w:r>
          </w:p>
        </w:tc>
      </w:tr>
      <w:tr>
        <w:tc>
          <w:tcPr>
            <w:tcW w:type="dxa" w:w="181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服务访问</w:t>
            </w:r>
          </w:p>
        </w:tc>
        <w:tc>
          <w:tcPr>
            <w:tcW w:type="dxa" w:w="816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ClusterIP、NodePort 与 Ingress 均完成访问验证；web Service 端点可负载到 2 个 Pod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健康检查</w:t>
            </w:r>
          </w:p>
        </w:tc>
        <w:tc>
          <w:tcPr>
            <w:tcW w:type="dxa" w:w="816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/healthz 返回 alive；/readyz 返回 ready 且 redis=true</w:t>
            </w:r>
          </w:p>
        </w:tc>
      </w:tr>
      <w:tr>
        <w:tc>
          <w:tcPr>
            <w:tcW w:type="dxa" w:w="181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指标输出</w:t>
            </w:r>
          </w:p>
        </w:tc>
        <w:tc>
          <w:tcPr>
            <w:tcW w:type="dxa" w:w="816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/metrics 可输出 learn_visits_total、learn_http_requests_total 等指标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存储</w:t>
            </w:r>
          </w:p>
        </w:tc>
        <w:tc>
          <w:tcPr>
            <w:tcW w:type="dxa" w:w="816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Redis 的 volumeClaimTemplate 对应 PVC Bound，用于数据持久化</w:t>
            </w:r>
          </w:p>
        </w:tc>
      </w:tr>
      <w:tr>
        <w:tc>
          <w:tcPr>
            <w:tcW w:type="dxa" w:w="181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权限</w:t>
            </w:r>
          </w:p>
        </w:tc>
        <w:tc>
          <w:tcPr>
            <w:tcW w:type="dxa" w:w="816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reader ServiceAccount 可读取 Pod，但删除 Pod 被 RBAC 正确拒绝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网络与运维</w:t>
            </w:r>
          </w:p>
        </w:tc>
        <w:tc>
          <w:tcPr>
            <w:tcW w:type="dxa" w:w="816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完成 NetworkPolicy、HPA、滚动更新历史和 sidecar 日志等配置与状态检查；HPA 在当前验证环境中完成资源配置检查，不将其表述为已完成压力扩缩容验证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1"/>
      </w:tblGrid>
      <w:tr>
        <w:tc>
          <w:tcPr>
            <w:tcW w:type="dxa" w:w="9661"/>
            <w:shd w:fill="EAF2F8"/>
            <w:tcBorders>
              <w:top w:val="single" w:sz="5" w:color="B4C7E7"/>
              <w:left w:val="single" w:sz="16" w:color="2F75B5"/>
              <w:bottom w:val="single" w:sz="5" w:color="B4C7E7"/>
              <w:right w:val="single" w:sz="5" w:color="B4C7E7"/>
            </w:tcBorders>
          </w:tcPr>
          <w:p>
            <w:pPr>
              <w:spacing w:before="60" w:after="60" w:line="312" w:lineRule="auto"/>
            </w:pPr>
            <w:r/>
            <w:r>
              <w:rPr>
                <w:rFonts w:ascii="Arial" w:hAnsi="Arial" w:eastAsia="Noto Sans CJK SC"/>
                <w:b/>
                <w:color w:val="1F4E79"/>
                <w:sz w:val="19"/>
              </w:rPr>
              <w:t xml:space="preserve">项目结果  </w:t>
            </w:r>
            <w:r>
              <w:rPr>
                <w:rFonts w:ascii="Arial" w:hAnsi="Arial" w:eastAsia="Noto Sans CJK SC"/>
                <w:b w:val="0"/>
                <w:color w:val="222222"/>
                <w:sz w:val="19"/>
              </w:rPr>
              <w:t>跑通“代码开发 → 镜像构建 → K8s 资源编排 → 服务暴露 → 运行验证”的完整软件部署闭环，并将项目开源至 GitHub。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4.3 微服务器与 BMC 硬件部署实操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除软件侧实践外，实习期间还参与了微服务器和 BMC 相关部署实操，接触服务器硬件管理与实际部署环境。通过这一过程，对“应用—容器—Kubernetes—服务器硬件”的运行链路有了更直观的认识，也意识到实际部署和故障排查需要结合硬件状态、操作系统环境与上层服务综合判断，而不能只停留在 Pod 或容器层面。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1"/>
      </w:tblGrid>
      <w:tr>
        <w:tc>
          <w:tcPr>
            <w:tcW w:type="dxa" w:w="9661"/>
            <w:shd w:fill="F2F2F2"/>
            <w:tcBorders>
              <w:top w:val="single" w:sz="5" w:color="B4C7E7"/>
              <w:left w:val="single" w:sz="16" w:color="2F75B5"/>
              <w:bottom w:val="single" w:sz="5" w:color="B4C7E7"/>
              <w:right w:val="single" w:sz="5" w:color="B4C7E7"/>
            </w:tcBorders>
          </w:tcPr>
          <w:p>
            <w:pPr>
              <w:spacing w:before="60" w:after="60" w:line="312" w:lineRule="auto"/>
            </w:pPr>
            <w:r/>
            <w:r>
              <w:rPr>
                <w:rFonts w:ascii="Arial" w:hAnsi="Arial" w:eastAsia="Noto Sans CJK SC"/>
                <w:b/>
                <w:color w:val="1F4E79"/>
                <w:sz w:val="19"/>
              </w:rPr>
              <w:t xml:space="preserve">说明  </w:t>
            </w:r>
            <w:r>
              <w:rPr>
                <w:rFonts w:ascii="Arial" w:hAnsi="Arial" w:eastAsia="Noto Sans CJK SC"/>
                <w:b w:val="0"/>
                <w:color w:val="222222"/>
                <w:sz w:val="19"/>
              </w:rPr>
              <w:t>现有材料未记录具体服务器型号、BMC 配置参数和完整操作步骤，因此本总结仅保留实际参与范围，不补写无法核实的硬件细节。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五、技术学习与专题研究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5.1 云原生基础能力</w:t>
      </w:r>
    </w:p>
    <w:p>
      <w:pPr>
        <w:pStyle w:val="Heading3"/>
        <w:keepNext/>
        <w:spacing w:before="160" w:after="80"/>
      </w:pPr>
      <w:r>
        <w:rPr>
          <w:rFonts w:ascii="Arial" w:hAnsi="Arial" w:eastAsia="Noto Sans CJK SC"/>
          <w:b/>
          <w:color w:val="2F75B5"/>
          <w:sz w:val="23"/>
        </w:rPr>
        <w:t>5.1.1 Go 与 Linux 运行时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通过 pprof 项目，将 Go 工程结构、模块管理、编译测试与 runtime/pprof 性能分析联系到 Linux 运行环境。重点理解了 Heap、Goroutine、CPU 等 profile 的用途，以及 Go 程序在 Cgroup 内存限制下如何读取 usage / limit / stat 并基于阈值触发取证。相比只学习语言语法，这一阶段更关注“程序如何在真实操作系统环境中运行”。</w:t>
      </w:r>
    </w:p>
    <w:p>
      <w:pPr>
        <w:pStyle w:val="Heading3"/>
        <w:keepNext/>
        <w:spacing w:before="160" w:after="80"/>
      </w:pPr>
      <w:r>
        <w:rPr>
          <w:rFonts w:ascii="Arial" w:hAnsi="Arial" w:eastAsia="Noto Sans CJK SC"/>
          <w:b/>
          <w:color w:val="2F75B5"/>
          <w:sz w:val="23"/>
        </w:rPr>
        <w:t>5.1.2 Kubernetes 控制平面与版本机制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Kubernetes 学习分为应用侧和控制面两条线。应用侧通过访客计数器项目掌握工作负载、网络、配置、存储、安全与运维对象；控制面侧重点理解 API Server、Scheduler、Controller Manager、etcd 的职责，以及声明式 API 从提交、调度到控制器持续协调状态的基本过程。通过版本分析 SKILL，又进一步理解 FeatureGate、Alpha/Beta/Stable 阶段与版本升级之间的关系。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5.2 AI Agent 安全沙箱机制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在完成云原生基础实践后，进一步通过架构文档、README 与项目资料专题学习 AgentENV 和 CubeSandbox。本部分属于技术拓展学习，不作为实际项目产出。学习重点是从计算隔离、镜像与存储、生命周期、网络控制和调度管理等维度理解 Agent Sandbox Runtime：AI Agent 可能需要执行不完全可信代码，并频繁创建、销毁、暂停或恢复运行环境，因此沙箱既要提供更强的隔离能力，也要兼顾启动、快照和克隆效率。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4224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AgentENV</w:t>
            </w:r>
          </w:p>
        </w:tc>
        <w:tc>
          <w:tcPr>
            <w:tcW w:type="dxa" w:w="4224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CubeSandbox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定位</w:t>
            </w:r>
          </w:p>
        </w:tc>
        <w:tc>
          <w:tcPr>
            <w:tcW w:type="dxa" w:w="422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分布式 Agent Sandbox Runtime</w:t>
            </w:r>
          </w:p>
        </w:tc>
        <w:tc>
          <w:tcPr>
            <w:tcW w:type="dxa" w:w="422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面向 AI Agent 的 MicroVM 沙箱基础设施</w:t>
            </w:r>
          </w:p>
        </w:tc>
      </w:tr>
      <w:tr>
        <w:tc>
          <w:tcPr>
            <w:tcW w:type="dxa" w:w="153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计算隔离</w:t>
            </w:r>
          </w:p>
        </w:tc>
        <w:tc>
          <w:tcPr>
            <w:tcW w:type="dxa" w:w="422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Firecracker microVM</w:t>
            </w:r>
          </w:p>
        </w:tc>
        <w:tc>
          <w:tcPr>
            <w:tcW w:type="dxa" w:w="422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KVM MicroVM / RustVMM 体系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接口兼容</w:t>
            </w:r>
          </w:p>
        </w:tc>
        <w:tc>
          <w:tcPr>
            <w:tcW w:type="dxa" w:w="422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E2B-compatible API</w:t>
            </w:r>
          </w:p>
        </w:tc>
        <w:tc>
          <w:tcPr>
            <w:tcW w:type="dxa" w:w="422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兼容 E2B SDK / API 使用方式</w:t>
            </w:r>
          </w:p>
        </w:tc>
      </w:tr>
      <w:tr>
        <w:tc>
          <w:tcPr>
            <w:tcW w:type="dxa" w:w="153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存储/快照</w:t>
            </w:r>
          </w:p>
        </w:tc>
        <w:tc>
          <w:tcPr>
            <w:tcW w:type="dxa" w:w="422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OverlayBD + ublk；OCI 镜像按需加载；Snapshot / Fork</w:t>
            </w:r>
          </w:p>
        </w:tc>
        <w:tc>
          <w:tcPr>
            <w:tcW w:type="dxa" w:w="422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CoW / reflink 思路；强调快速 Snapshot / Clone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网络关注</w:t>
            </w:r>
          </w:p>
        </w:tc>
        <w:tc>
          <w:tcPr>
            <w:tcW w:type="dxa" w:w="422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沙箱生命周期、节点调度与规模化运行</w:t>
            </w:r>
          </w:p>
        </w:tc>
        <w:tc>
          <w:tcPr>
            <w:tcW w:type="dxa" w:w="4224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eBPF 转发、出网控制与安全审计</w:t>
            </w:r>
          </w:p>
        </w:tc>
      </w:tr>
      <w:tr>
        <w:tc>
          <w:tcPr>
            <w:tcW w:type="dxa" w:w="1531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学习重点</w:t>
            </w:r>
          </w:p>
        </w:tc>
        <w:tc>
          <w:tcPr>
            <w:tcW w:type="dxa" w:w="422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Agentic RL、Benchmark/Eval、大量短生命周期 Sandbox</w:t>
            </w:r>
          </w:p>
        </w:tc>
        <w:tc>
          <w:tcPr>
            <w:tcW w:type="dxa" w:w="4224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Agent 执行隔离、受控网络访问、快速克隆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1"/>
      </w:tblGrid>
      <w:tr>
        <w:tc>
          <w:tcPr>
            <w:tcW w:type="dxa" w:w="9661"/>
            <w:shd w:fill="EAF2F8"/>
            <w:tcBorders>
              <w:top w:val="single" w:sz="5" w:color="B4C7E7"/>
              <w:left w:val="single" w:sz="16" w:color="2F75B5"/>
              <w:bottom w:val="single" w:sz="5" w:color="B4C7E7"/>
              <w:right w:val="single" w:sz="5" w:color="B4C7E7"/>
            </w:tcBorders>
          </w:tcPr>
          <w:p>
            <w:pPr>
              <w:spacing w:before="60" w:after="60" w:line="312" w:lineRule="auto"/>
            </w:pPr>
            <w:r/>
            <w:r>
              <w:rPr>
                <w:rFonts w:ascii="Arial" w:hAnsi="Arial" w:eastAsia="Noto Sans CJK SC"/>
                <w:b/>
                <w:color w:val="1F4E79"/>
                <w:sz w:val="19"/>
              </w:rPr>
              <w:t xml:space="preserve">学习收获  </w:t>
            </w:r>
            <w:r>
              <w:rPr>
                <w:rFonts w:ascii="Arial" w:hAnsi="Arial" w:eastAsia="Noto Sans CJK SC"/>
                <w:b w:val="0"/>
                <w:color w:val="222222"/>
                <w:sz w:val="19"/>
              </w:rPr>
              <w:t>技术视角从容器级隔离拓展到 MicroVM 级隔离，并开始按“计算—存储—网络—控制面”四个维度分析 AI Infra。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六、成果输出与竞赛荣誉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6.1 技术输出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在完成具体工作的同时，也对能够复用的过程进行整理和沉淀。SKILL 用于固化自动化流程，README 用于补充运行和兼容说明，W3 博客用于总结技术学习，会议报告用于对方案和实现进行集中分享。这些输出使实习工作不仅停留在单次任务完成，也形成了可继续复查和复用的阶段性成果。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737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内容与价值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◆</w:t>
            </w:r>
          </w:p>
        </w:tc>
        <w:tc>
          <w:tcPr>
            <w:tcW w:type="dxa" w:w="300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Kubernetes 版本分析 SKILL</w:t>
            </w:r>
          </w:p>
        </w:tc>
        <w:tc>
          <w:tcPr>
            <w:tcW w:type="dxa" w:w="6236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将版本分析、证据治理、文本生成与校验流程工具化，支持迁移复用</w:t>
            </w:r>
          </w:p>
        </w:tc>
      </w:tr>
      <w:tr>
        <w:tc>
          <w:tcPr>
            <w:tcW w:type="dxa" w:w="73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◆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2 篇 W3 博客</w:t>
            </w:r>
          </w:p>
        </w:tc>
        <w:tc>
          <w:tcPr>
            <w:tcW w:type="dxa" w:w="6236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对实习期间的技术学习和实践经验进行书面沉淀</w:t>
            </w:r>
          </w:p>
        </w:tc>
      </w:tr>
      <w:tr>
        <w:tc>
          <w:tcPr>
            <w:tcW w:type="dxa" w:w="73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◆</w:t>
            </w:r>
          </w:p>
        </w:tc>
        <w:tc>
          <w:tcPr>
            <w:tcW w:type="dxa" w:w="300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1 次会议报告</w:t>
            </w:r>
          </w:p>
        </w:tc>
        <w:tc>
          <w:tcPr>
            <w:tcW w:type="dxa" w:w="6236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2026 年 8 月 11 日完成《K8s版本分析与特性变更的自动化实现》分享</w:t>
            </w:r>
          </w:p>
        </w:tc>
      </w:tr>
      <w:tr>
        <w:tc>
          <w:tcPr>
            <w:tcW w:type="dxa" w:w="73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◆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1 个 GitHub 开源项目</w:t>
            </w:r>
          </w:p>
        </w:tc>
        <w:tc>
          <w:tcPr>
            <w:tcW w:type="dxa" w:w="6236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发布“访客计数器”Kubernetes 学习与部署实践项目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6.2 竞赛与荣誉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0"/>
        <w:gridCol w:w="3220"/>
        <w:gridCol w:w="3220"/>
      </w:tblGrid>
      <w:tr>
        <w:trPr>
          <w:tblHeader w:val="true"/>
        </w:trPr>
        <w:tc>
          <w:tcPr>
            <w:tcW w:type="dxa" w:w="3515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876"/>
            <w:shd w:fill="1F4E7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2026 ICT 软件大赛难题赛道</w:t>
            </w:r>
          </w:p>
        </w:tc>
        <w:tc>
          <w:tcPr>
            <w:tcW w:type="dxa" w:w="158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一等奖</w:t>
            </w:r>
          </w:p>
        </w:tc>
        <w:tc>
          <w:tcPr>
            <w:tcW w:type="dxa" w:w="4876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形成实习阶段的重要竞赛成果</w:t>
            </w:r>
          </w:p>
        </w:tc>
      </w:tr>
      <w:tr>
        <w:tc>
          <w:tcPr>
            <w:tcW w:type="dxa" w:w="3515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Hackathon 软件难题挑战赛预赛</w:t>
            </w:r>
          </w:p>
        </w:tc>
        <w:tc>
          <w:tcPr>
            <w:tcW w:type="dxa" w:w="1587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参与</w:t>
            </w:r>
          </w:p>
        </w:tc>
        <w:tc>
          <w:tcPr>
            <w:tcW w:type="dxa" w:w="4876"/>
            <w:vAlign w:val="center"/>
            <w:shd w:fill="F7F9FB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在时间约束下进行问题分析、方案尝试与快速迭代</w:t>
            </w:r>
          </w:p>
        </w:tc>
      </w:tr>
      <w:tr>
        <w:tc>
          <w:tcPr>
            <w:tcW w:type="dxa" w:w="3515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222222"/>
                <w:sz w:val="17"/>
              </w:rPr>
              <w:t>高精度 4Bit 数值转换算法大赛</w:t>
            </w:r>
          </w:p>
        </w:tc>
        <w:tc>
          <w:tcPr>
            <w:tcW w:type="dxa" w:w="1587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参与</w:t>
            </w:r>
          </w:p>
        </w:tc>
        <w:tc>
          <w:tcPr>
            <w:tcW w:type="dxa" w:w="4876"/>
            <w:vAlign w:val="center"/>
            <w:tcBorders>
              <w:top w:val="single" w:sz="4" w:color="B4C7E7"/>
              <w:left w:val="single" w:sz="4" w:color="B4C7E7"/>
              <w:bottom w:val="single" w:sz="4" w:color="B4C7E7"/>
              <w:right w:val="single" w:sz="4" w:color="B4C7E7"/>
            </w:tcBorders>
          </w:tcPr>
          <w:p>
            <w:pPr>
              <w:spacing w:after="0" w:line="288" w:lineRule="auto"/>
            </w:pPr>
            <w:r/>
            <w:r>
              <w:rPr>
                <w:rFonts w:ascii="Arial" w:hAnsi="Arial" w:eastAsia="Noto Sans CJK SC"/>
                <w:b w:val="0"/>
                <w:color w:val="222222"/>
                <w:sz w:val="17"/>
              </w:rPr>
              <w:t>补充算法实现、精度验证与优化实践</w:t>
            </w:r>
          </w:p>
        </w:tc>
      </w:tr>
    </w:tbl>
    <w:p>
      <w:pPr>
        <w:spacing w:after="0"/>
      </w:pP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竞赛部分与实习工作分开呈现：一等奖属于阶段性荣誉；另外两项虽未获奖，但作为补充实践，训练了在有限时间内快速理解题目、验证方案和迭代实现的能力。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6.3 实习成果清单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1"/>
      </w:tblGrid>
      <w:tr>
        <w:tc>
          <w:tcPr>
            <w:tcW w:type="dxa" w:w="9661"/>
            <w:shd w:fill="EAF2F8"/>
            <w:tcBorders>
              <w:top w:val="single" w:sz="5" w:color="B4C7E7"/>
              <w:left w:val="single" w:sz="16" w:color="2F75B5"/>
              <w:bottom w:val="single" w:sz="5" w:color="B4C7E7"/>
              <w:right w:val="single" w:sz="5" w:color="B4C7E7"/>
            </w:tcBorders>
          </w:tcPr>
          <w:p>
            <w:pPr>
              <w:spacing w:before="60" w:after="60" w:line="312" w:lineRule="auto"/>
            </w:pPr>
            <w:r/>
            <w:r>
              <w:rPr>
                <w:rFonts w:ascii="Arial" w:hAnsi="Arial" w:eastAsia="Noto Sans CJK SC"/>
                <w:b/>
                <w:color w:val="1F4E79"/>
                <w:sz w:val="19"/>
              </w:rPr>
              <w:t xml:space="preserve">成果汇总  </w:t>
            </w:r>
            <w:r>
              <w:rPr>
                <w:rFonts w:ascii="Arial" w:hAnsi="Arial" w:eastAsia="Noto Sans CJK SC"/>
                <w:b w:val="0"/>
                <w:color w:val="222222"/>
                <w:sz w:val="19"/>
              </w:rPr>
              <w:t>1 个发布的 K8s 版本分析 SKILL · 2 篇 W3 博客 · 1 次会议报告 · 1 个 GitHub 实践项目 · 1 个 ICT 软件大赛一等奖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七、实习收获与后续提升方向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7.1 实习收获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回顾整个实习阶段，最明显的提升是逐步形成“确认事实与环境—实施修改或部署—通过结果验证—沉淀文档与方法”的工作方式。K8s 版本分析让我认识到，自动化首先要明确事实边界和证据来源；pprof 项目让我理解跨环境复现必须同时验证代码、操作系统和 Cgroup；“访客计数器”实践则把 Kubernetes 的多个资源对象串成能够实际访问和验证的服务链路。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技术层面：形成 Go / Linux / Cgroup、Docker / Kubernetes、MicroVM / Agent Sandbox 的连续知识链路。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工程层面：能够完成环境复现、代码阅读与修改、build / vet / test、运行验证、README 完善和 Git/MR 协作。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方法层面：更加重视固定输入、保留证据、分阶段验证和定向迭代，而不是一次性完成结果。</w:t>
      </w:r>
    </w:p>
    <w:p>
      <w:pPr>
        <w:pStyle w:val="ListBullet"/>
        <w:spacing w:after="60" w:line="324" w:lineRule="auto"/>
        <w:ind w:left="425" w:hanging="198"/>
      </w:pPr>
      <w:r>
        <w:rPr>
          <w:rFonts w:ascii="Arial" w:hAnsi="Arial" w:eastAsia="Noto Sans CJK SC"/>
          <w:b w:val="0"/>
          <w:color w:val="222222"/>
          <w:sz w:val="20"/>
        </w:rPr>
        <w:t>表达层面：通过 SKILL 文档、W3 博客和会议报告，把实现过程转化为可复用、可讲清楚的技术资产。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7.2 后续提升方向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后续提升将重点放在技术深度和独立解决问题能力两个方面。Kubernetes 方向继续深入 Scheduler、Controller、CNI/CSI 及常见故障排查；Go 方向继续强化 pprof、trace、并发与系统性能分析；AI Infra 方向围绕 Firecracker、Snapshot、OverlayBD、eBPF 网络控制等机制开展源码阅读和小型可复现实验。与此同时，需要继续提高面对陌生项目时的代码阅读、问题拆解、实验设计和结果复盘能力，逐步从“能够复现和局部优化”提升到“能够独立提出方案并完成工程验证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61"/>
      </w:tblGrid>
      <w:tr>
        <w:tc>
          <w:tcPr>
            <w:tcW w:type="dxa" w:w="9661"/>
            <w:shd w:fill="EAF2F8"/>
            <w:tcBorders>
              <w:top w:val="single" w:sz="5" w:color="B4C7E7"/>
              <w:left w:val="single" w:sz="16" w:color="2F75B5"/>
              <w:bottom w:val="single" w:sz="5" w:color="B4C7E7"/>
              <w:right w:val="single" w:sz="5" w:color="B4C7E7"/>
            </w:tcBorders>
          </w:tcPr>
          <w:p>
            <w:pPr>
              <w:spacing w:before="60" w:after="60" w:line="312" w:lineRule="auto"/>
            </w:pPr>
            <w:r/>
            <w:r>
              <w:rPr>
                <w:rFonts w:ascii="Arial" w:hAnsi="Arial" w:eastAsia="Noto Sans CJK SC"/>
                <w:b/>
                <w:color w:val="1F4E79"/>
                <w:sz w:val="19"/>
              </w:rPr>
              <w:t xml:space="preserve">总结  </w:t>
            </w:r>
            <w:r>
              <w:rPr>
                <w:rFonts w:ascii="Arial" w:hAnsi="Arial" w:eastAsia="Noto Sans CJK SC"/>
                <w:b w:val="0"/>
                <w:color w:val="222222"/>
                <w:sz w:val="19"/>
              </w:rPr>
              <w:t>本次实习完成了从基础学习到工程实践、从问题处理到方法沉淀的阶段性转变。后续将继续以真实问题和可验证结果为驱动，深化云原生与 AI Infra 方向的系统能力。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rPr>
          <w:rFonts w:ascii="Arial" w:hAnsi="Arial" w:eastAsia="Noto Sans CJK SC"/>
          <w:b/>
          <w:color w:val="1F4E79"/>
          <w:sz w:val="34"/>
        </w:rPr>
        <w:t>八、心得体会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8.1 对工程实践的认识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这段实习让我更加清楚地认识到，工程工作与课堂学习最大的区别在于“结果必须能够被验证”。知道一个概念、读懂一段代码并不等于真正解决了问题。无论是 pprof 项目的跨区复现，还是 Kubernetes 微服务部署，都需要先确认运行环境和前置条件，再通过日志、测试命令、资源状态和实际访问结果逐项验证。只有当问题能够复现、修改能够解释、结果能够重复，工作才真正形成闭环。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这一认识也改变了我处理问题的方式。遇到异常时，不再优先依赖经验猜测，而是先区分代码、配置和环境三个层面，建立最小验证路径，再逐步缩小问题范围。pprof 项目中的代码一致性校验、Cgroup 版本识别以及 build / vet / test 验证，使我体会到“先排除变量，再修改实现”比直接尝试修改更可靠。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8.2 对自动化与技术沉淀的认识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Kubernetes 版本分析 SKILL 是本次实习中对我影响较大的一项工作。最初我更关注如何提高资料整理速度，随着实现深入，我逐渐认识到自动化的价值并不是简单减少人工操作，而是把输入范围、事实来源、处理步骤、校验规则和交付格式明确下来，使同类任务可以稳定复用。尤其在引入 LLM 后，机器事实与自然语言表达必须分离，生成内容需要受证据约束，这让我对“AI 辅助工程”有了更加实际的理解。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同时，我也更加重视 README、博客和会议报告等输出。整理文档的过程会迫使自己重新检查实现逻辑、边界条件和结论依据，很多理解不充分的地方往往是在尝试“讲清楚”时暴露出来。因此，技术沉淀不仅是项目结束后的记录，也是对工作质量的一次反向检查。</w:t>
      </w:r>
    </w:p>
    <w:p>
      <w:pPr>
        <w:pStyle w:val="Heading2"/>
        <w:keepNext/>
        <w:spacing w:before="160" w:after="80"/>
      </w:pPr>
      <w:r>
        <w:rPr>
          <w:rFonts w:ascii="Arial" w:hAnsi="Arial" w:eastAsia="Noto Sans CJK SC"/>
          <w:b/>
          <w:color w:val="1F4E79"/>
          <w:sz w:val="26"/>
        </w:rPr>
        <w:t>8.3 对学习与职业发展的认识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实习期间接触的内容从 Go、Linux、Cgroup 延伸到 Docker、Kubernetes，再进一步学习 MicroVM 和 Agent Sandbox。这个过程让我认识到，云原生和 AI Infra 并不是彼此割裂的知识点，而是由操作系统、运行时、容器编排、虚拟化、存储和网络等基础能力逐层连接起来。相比追求短时间掌握更多技术名词，我更需要建立稳定的知识主线，并通过真实项目不断补齐其中的薄弱环节。</w:t>
      </w:r>
    </w:p>
    <w:p>
      <w:pPr>
        <w:spacing w:after="100" w:before="0" w:line="348" w:lineRule="auto"/>
        <w:ind w:firstLine="420"/>
      </w:pPr>
      <w:r>
        <w:rPr>
          <w:rFonts w:ascii="Arial" w:hAnsi="Arial" w:eastAsia="Noto Sans CJK SC"/>
          <w:b w:val="0"/>
          <w:color w:val="222222"/>
          <w:sz w:val="21"/>
        </w:rPr>
        <w:t>此外，代码提交、MR 评审、跨区协作和技术汇报也让我体会到，工程能力不仅包含编码能力，还包括沟通、文档、验证和协作。后续我希望继续保持以真实问题驱动学习的方式：面对新技术先理解它解决什么问题，再通过小型实验验证关键机制，最后尝试在实际项目中使用和复盘。通过这样的循环，逐步提高独立分析问题、设计方案和完成工程落地的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33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999999"/>
        <w:sz w:val="17"/>
      </w:rPr>
      <w:t xml:space="preserve">实习工作总结  |  第 </w:t>
    </w:r>
    <w:r>
      <w:rPr>
        <w:rFonts w:ascii="Arial" w:hAnsi="Arial" w:eastAsia="Noto Sans CJK SC"/>
        <w:b w:val="0"/>
        <w:color w:val="666666"/>
        <w:sz w:val="17"/>
      </w:rPr>
      <w:fldChar w:fldCharType="begin"/>
      <w:instrText xml:space="preserve"> PAGE </w:instrText>
      <w:fldChar w:fldCharType="end"/>
    </w:r>
    <w:r>
      <w:rPr>
        <w:rFonts w:ascii="Arial" w:hAnsi="Arial" w:eastAsia="Noto Sans CJK SC"/>
        <w:b w:val="0"/>
        <w:color w:val="99999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b w:val="0"/>
        <w:color w:val="999999"/>
        <w:sz w:val="17"/>
      </w:rPr>
      <w:t>实习工作总结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实习工作总结</dc:title>
  <dc:subject>云原生、Kubernetes、Go、AI Agent Sandbox 实习工作总结</dc:subject>
  <dc:creator/>
  <cp:keywords>Kubernetes, Go, pprof, Cgroup, AI Infra, Agent Sandbox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