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Calibri" w:hAnsi="Calibri" w:eastAsia="Noto Sans CJK SC"/>
          <w:b/>
          <w:i w:val="0"/>
          <w:color w:val="1F497D"/>
          <w:sz w:val="52"/>
        </w:rPr>
        <w:t>实习报告总结</w:t>
      </w:r>
    </w:p>
    <w:p>
      <w:pPr>
        <w:spacing w:after="40"/>
        <w:jc w:val="center"/>
      </w:pPr>
      <w:r>
        <w:rPr>
          <w:rFonts w:ascii="Calibri" w:hAnsi="Calibri" w:eastAsia="Noto Sans CJK SC"/>
          <w:b w:val="0"/>
          <w:i w:val="0"/>
          <w:color w:val="595959"/>
          <w:sz w:val="26"/>
        </w:rPr>
        <w:t>云原生与 AI Agent 安全方向</w:t>
      </w:r>
    </w:p>
    <w:p>
      <w:pPr>
        <w:spacing w:after="280"/>
        <w:jc w:val="center"/>
      </w:pPr>
      <w:r>
        <w:rPr>
          <w:rFonts w:ascii="Calibri" w:hAnsi="Calibri" w:eastAsia="Noto Sans CJK SC"/>
          <w:b w:val="0"/>
          <w:i w:val="0"/>
          <w:color w:val="787878"/>
          <w:sz w:val="22"/>
        </w:rPr>
        <w:t>2026 年 8 月</w:t>
      </w:r>
    </w:p>
    <w:p>
      <w:pPr>
        <w:spacing w:after="200" w:before="0" w:line="384" w:lineRule="auto"/>
        <w:ind w:firstLine="420"/>
      </w:pPr>
      <w:r>
        <w:rPr>
          <w:rFonts w:ascii="Calibri" w:hAnsi="Calibri" w:eastAsia="Noto Sans CJK SC"/>
          <w:b w:val="0"/>
          <w:i w:val="0"/>
          <w:color w:val="5A5A5A"/>
          <w:sz w:val="21"/>
        </w:rPr>
        <w:t>本次实习聚焦云原生与 AI Agent 安全两大方向，围绕 Kubernetes 版本分析自动化、Go 性能分析库跨区复现优化、微服务全流程部署三条主线展开工程实践。实习期间完成从问题分析、代码实现、跨区协同到成果交付的完整闭环，并于 2026 年 8 月 11 日作专题报告，斩获 2026 ICT 软件大赛难题赛道一等奖。本报告系统呈现各项工作内容、学习成长、产出荣誉与总结展望。</w:t>
      </w:r>
    </w:p>
    <w:p>
      <w:pPr>
        <w:spacing w:before="360" w:after="200" w:line="312" w:lineRule="auto"/>
        <w:pBdr>
          <w:bottom w:val="single" w:sz="6" w:space="4" w:color="1F497D"/>
        </w:pBdr>
      </w:pPr>
      <w:r>
        <w:rPr>
          <w:rFonts w:ascii="Calibri" w:hAnsi="Calibri" w:eastAsia="Noto Sans CJK SC"/>
          <w:b/>
          <w:i w:val="0"/>
          <w:color w:val="1F497D"/>
          <w:sz w:val="32"/>
        </w:rPr>
        <w:t>一、实习概述</w:t>
      </w:r>
    </w:p>
    <w:p>
      <w:pPr>
        <w:spacing w:after="200" w:before="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本次实习聚焦云原生与 AI Agent 安全两大方向，围绕 Kubernetes 版本分析自动化、Go 性能分析库跨区复现、微服务全流程部署三条主线展开工程实践。实习期间完成从问题分析、代码实现、跨区协同到成果交付的完整闭环，并据此在 2026 年 8 月 11 日作《K8s 版本分析与特性变更的自动化实现》专题报告，同时斩获 2026 ICT 软件大赛难题赛道一等奖。</w:t>
      </w:r>
    </w:p>
    <w:p>
      <w:pPr>
        <w:spacing w:before="40" w:after="120"/>
        <w:jc w:val="center"/>
      </w:pPr>
      <w:r>
        <w:rPr>
          <w:rFonts w:ascii="Calibri" w:hAnsi="Calibri" w:eastAsia="Noto Sans CJK SC"/>
          <w:b/>
          <w:i w:val="0"/>
          <w:color w:val="505050"/>
          <w:sz w:val="21"/>
        </w:rPr>
        <w:t>表 1  实习总览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</w:tblPr>
      <w:tblGrid>
        <w:gridCol w:w="4533"/>
        <w:gridCol w:w="4533"/>
      </w:tblGrid>
      <w:tr>
        <w:tc>
          <w:tcPr>
            <w:tcW w:type="dxa" w:w="1984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7087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实习方向</w:t>
            </w:r>
          </w:p>
        </w:tc>
        <w:tc>
          <w:tcPr>
            <w:tcW w:type="dxa" w:w="7087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云原生 / AI Agent 安全</w:t>
            </w:r>
          </w:p>
        </w:tc>
      </w:tr>
      <w:tr>
        <w:tc>
          <w:tcPr>
            <w:tcW w:type="dxa" w:w="1984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核心工作</w:t>
            </w:r>
          </w:p>
        </w:tc>
        <w:tc>
          <w:tcPr>
            <w:tcW w:type="dxa" w:w="7087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K8s 版本分析自动化 · pprof 跨区复现优化 · 微服务全流程部署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报告节点</w:t>
            </w:r>
          </w:p>
        </w:tc>
        <w:tc>
          <w:tcPr>
            <w:tcW w:type="dxa" w:w="7087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2026.8.11 专题报告</w:t>
            </w:r>
          </w:p>
        </w:tc>
      </w:tr>
      <w:tr>
        <w:tc>
          <w:tcPr>
            <w:tcW w:type="dxa" w:w="1984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竞赛荣誉</w:t>
            </w:r>
          </w:p>
        </w:tc>
        <w:tc>
          <w:tcPr>
            <w:tcW w:type="dxa" w:w="7087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2026 ICT 软件大赛难题赛道一等奖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成果落地</w:t>
            </w:r>
          </w:p>
        </w:tc>
        <w:tc>
          <w:tcPr>
            <w:tcW w:type="dxa" w:w="7087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发布 SKILL · 2 篇 W3 博客 · 1 次会议报告 · 1 个一等奖</w:t>
            </w:r>
          </w:p>
        </w:tc>
      </w:tr>
    </w:tbl>
    <w:p>
      <w:pPr>
        <w:spacing w:before="360" w:after="200" w:line="312" w:lineRule="auto"/>
        <w:pBdr>
          <w:bottom w:val="single" w:sz="6" w:space="4" w:color="1F497D"/>
        </w:pBdr>
      </w:pPr>
      <w:r>
        <w:rPr>
          <w:rFonts w:ascii="Calibri" w:hAnsi="Calibri" w:eastAsia="Noto Sans CJK SC"/>
          <w:b/>
          <w:i w:val="0"/>
          <w:color w:val="1F497D"/>
          <w:sz w:val="32"/>
        </w:rPr>
        <w:t>二、实习工作内容</w:t>
      </w:r>
    </w:p>
    <w:p>
      <w:pPr>
        <w:spacing w:before="240" w:after="120" w:line="312" w:lineRule="auto"/>
      </w:pPr>
      <w:r>
        <w:rPr>
          <w:rFonts w:ascii="Calibri" w:hAnsi="Calibri" w:eastAsia="Noto Sans CJK SC"/>
          <w:b/>
          <w:i w:val="0"/>
          <w:color w:val="2F5496"/>
          <w:sz w:val="26"/>
        </w:rPr>
        <w:t>2.1 K8s 版本分析与特性变更的自动化实现</w:t>
      </w:r>
    </w:p>
    <w:p>
      <w:pPr>
        <w:spacing w:after="160" w:before="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 xml:space="preserve">面向 Kubernetes 升级解读与发布研究的实际需求，自主设计并实现了"版本分析 / 特性变更"双 Sheet XLSX 自动生成技能包。该技能以官方固定版本源码与正式发布博客为权威来源，自动提取 FeatureGate 阶段、默认值与锁定变化，并按 </w:t>
      </w:r>
      <w:r>
        <w:rPr>
          <w:rFonts w:ascii="Calibri" w:hAnsi="Calibri" w:eastAsia="Noto Sans CJK SC"/>
          <w:b/>
          <w:i w:val="0"/>
        </w:rPr>
        <w:t>准确性 &gt; 可读性 &gt; 完整度 &gt; 样式</w:t>
      </w:r>
      <w:r>
        <w:rPr>
          <w:rFonts w:ascii="Calibri" w:hAnsi="Calibri" w:eastAsia="Noto Sans CJK SC"/>
          <w:b w:val="0"/>
          <w:i w:val="0"/>
        </w:rPr>
        <w:t xml:space="preserve"> 的质量优先级逐层精炼，最终交付可追溯的双 Sheet 报表与证据包。</w:t>
      </w:r>
    </w:p>
    <w:p>
      <w:pPr>
        <w:spacing w:after="200" w:before="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技能包以 Python 3 标准库脚本驱动，分 0–6 共七个阶段顺序执行，每阶段满足退出条件后进入下一阶段，并支持基于运行目录状态的中断恢复。已成功产出 v1.35–v1.36、v1.37–v1.37 两版本报表，纯标准库实现、无第三方依赖，整目录可迁移至其他 Agent 产品。</w:t>
      </w:r>
    </w:p>
    <w:p>
      <w:pPr>
        <w:spacing w:before="40" w:after="120"/>
        <w:jc w:val="center"/>
      </w:pPr>
      <w:r>
        <w:rPr>
          <w:rFonts w:ascii="Calibri" w:hAnsi="Calibri" w:eastAsia="Noto Sans CJK SC"/>
          <w:b/>
          <w:i w:val="0"/>
          <w:color w:val="505050"/>
          <w:sz w:val="21"/>
        </w:rPr>
        <w:t>图 1  K8s 版本分析 SKILL 逻辑图（阶段 0–6）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420000" cy="5841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_skil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84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该流程的核心设计在于</w:t>
      </w:r>
      <w:r>
        <w:rPr>
          <w:rFonts w:ascii="Calibri" w:hAnsi="Calibri" w:eastAsia="Noto Sans CJK SC"/>
          <w:b/>
          <w:i w:val="0"/>
        </w:rPr>
        <w:t>权威边界严格分离</w:t>
      </w:r>
      <w:r>
        <w:rPr>
          <w:rFonts w:ascii="Calibri" w:hAnsi="Calibri" w:eastAsia="Noto Sans CJK SC"/>
          <w:b w:val="0"/>
          <w:i w:val="0"/>
        </w:rPr>
        <w:t>：版本分析主体取自对应版本正式发行博客，FeatureGate 阶段与默认值取自固定版本源码解析，二者不可相互替代。阶段 3a 由预置字典驱动、零 Token 消耗生成特性变更文本，阶段 3b 与 4.5 仅按版本分批加载、不把源码全文入上下文，兼顾内容质量与 Token 效率。</w:t>
      </w:r>
    </w:p>
    <w:p>
      <w:pPr>
        <w:spacing w:before="240" w:after="120" w:line="312" w:lineRule="auto"/>
      </w:pPr>
      <w:r>
        <w:rPr>
          <w:rFonts w:ascii="Calibri" w:hAnsi="Calibri" w:eastAsia="Noto Sans CJK SC"/>
          <w:b/>
          <w:i w:val="0"/>
          <w:color w:val="2F5496"/>
          <w:sz w:val="26"/>
        </w:rPr>
        <w:t>2.2 Go 性能分析(pprof)项目跨区复现与优化</w:t>
      </w:r>
    </w:p>
    <w:p>
      <w:pPr>
        <w:spacing w:after="160" w:before="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 xml:space="preserve">针对 pprof-export 性能分析库开展跨区（蓝/黄区）复现与优化工作。首先在蓝区服务器复现运行环境，借助 </w:t>
      </w:r>
      <w:r>
        <w:rPr>
          <w:rFonts w:ascii="Calibri" w:hAnsi="Calibri" w:eastAsia="Noto Sans CJK SC"/>
          <w:b/>
          <w:i w:val="0"/>
        </w:rPr>
        <w:t>Beyond Compare 4</w:t>
      </w:r>
      <w:r>
        <w:rPr>
          <w:rFonts w:ascii="Calibri" w:hAnsi="Calibri" w:eastAsia="Noto Sans CJK SC"/>
          <w:b w:val="0"/>
          <w:i w:val="0"/>
        </w:rPr>
        <w:t xml:space="preserve"> 完成跨区代码逐文件一致性校验，确保两端源码对齐；随后改进主程序中 Cgroup V1/V2 自动识别逻辑，并补充 README 规范，熟练使用 Git 完成 CodeHub 的 MR 提案并提交至 GitCode。</w:t>
      </w:r>
    </w:p>
    <w:p>
      <w:pPr>
        <w:spacing w:after="200" w:before="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Cgroup 自动识别的改进是本次工作的核心：通过基于 statfs 的版本探测机制，运行时自动适配 Cgroup V1/V2 路径集合，使库在异构环境下均能正确定位内存 cgroup。实测在 Cgroup V1 环境下完整跑通"内存压力触发 pprof 导出"全流程，验证结果如下表所示。</w:t>
      </w:r>
    </w:p>
    <w:p>
      <w:pPr>
        <w:spacing w:before="40" w:after="120"/>
        <w:jc w:val="center"/>
      </w:pPr>
      <w:r>
        <w:rPr>
          <w:rFonts w:ascii="Calibri" w:hAnsi="Calibri" w:eastAsia="Noto Sans CJK SC"/>
          <w:b/>
          <w:i w:val="0"/>
          <w:color w:val="505050"/>
          <w:sz w:val="21"/>
        </w:rPr>
        <w:t>表 2  pprof 项目跨区复现验证结果</w:t>
      </w:r>
    </w:p>
    <w:p>
      <w:pPr>
        <w:spacing w:after="80" w:before="0" w:line="384" w:lineRule="auto"/>
        <w:jc w:val="center"/>
      </w:pPr>
      <w:r>
        <w:rPr>
          <w:rFonts w:ascii="Calibri" w:hAnsi="Calibri" w:eastAsia="Noto Sans CJK SC"/>
          <w:b w:val="0"/>
          <w:i w:val="0"/>
          <w:color w:val="787878"/>
          <w:sz w:val="19"/>
        </w:rPr>
        <w:t>运行环境：Go 1.25.12 / linux arm64 / Cgroup V1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步骤</w:t>
            </w:r>
          </w:p>
        </w:tc>
        <w:tc>
          <w:tcPr>
            <w:tcW w:type="dxa" w:w="3118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命令</w:t>
            </w:r>
          </w:p>
        </w:tc>
        <w:tc>
          <w:tcPr>
            <w:tcW w:type="dxa" w:w="1587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退出码</w:t>
            </w:r>
          </w:p>
        </w:tc>
        <w:tc>
          <w:tcPr>
            <w:tcW w:type="dxa" w:w="2948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编译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go build ./...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0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通过</w:t>
            </w:r>
          </w:p>
        </w:tc>
      </w:tr>
      <w:tr>
        <w:tc>
          <w:tcPr>
            <w:tcW w:type="dxa" w:w="1417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静态检查</w:t>
            </w:r>
          </w:p>
        </w:tc>
        <w:tc>
          <w:tcPr>
            <w:tcW w:type="dxa" w:w="3118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go vet ./...</w:t>
            </w:r>
          </w:p>
        </w:tc>
        <w:tc>
          <w:tcPr>
            <w:tcW w:type="dxa" w:w="1587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0</w:t>
            </w:r>
          </w:p>
        </w:tc>
        <w:tc>
          <w:tcPr>
            <w:tcW w:type="dxa" w:w="2948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通过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单元测试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go test ./... -v -count=1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0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/>
                <w:i w:val="0"/>
                <w:sz w:val="20"/>
              </w:rPr>
              <w:t>5 个包全部通过，29 个测试函数全 PASS</w:t>
            </w:r>
          </w:p>
        </w:tc>
      </w:tr>
      <w:tr>
        <w:tc>
          <w:tcPr>
            <w:tcW w:type="dxa" w:w="1417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主程序运行</w:t>
            </w:r>
          </w:p>
        </w:tc>
        <w:tc>
          <w:tcPr>
            <w:tcW w:type="dxa" w:w="3118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timeout 40 go run main.go</w:t>
            </w:r>
          </w:p>
        </w:tc>
        <w:tc>
          <w:tcPr>
            <w:tcW w:type="dxa" w:w="1587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1（超时终止）</w:t>
            </w:r>
          </w:p>
        </w:tc>
        <w:tc>
          <w:tcPr>
            <w:tcW w:type="dxa" w:w="2948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内存压力触发器 2 次导出，生成 4 个有效 profile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profile 验证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go tool pprof -top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0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文件有效，主函数内存占用 40960kB</w:t>
            </w:r>
          </w:p>
        </w:tc>
      </w:tr>
    </w:tbl>
    <w:p>
      <w:pPr>
        <w:spacing w:after="200" w:before="8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实测验证了完整证据链闭合：Cgroup 限制 → 内存压力 → 触发器告警 → 导出落盘 → profile 可被分析。15 秒首次触发（达 80% 阈值），2 秒后因增量 11MB 超过增量阈值再次触发，证明 Cgroup 自适应与增量导出机制按预期工作。</w:t>
      </w:r>
    </w:p>
    <w:p>
      <w:pPr>
        <w:spacing w:before="240" w:after="120" w:line="312" w:lineRule="auto"/>
      </w:pPr>
      <w:r>
        <w:rPr>
          <w:rFonts w:ascii="Calibri" w:hAnsi="Calibri" w:eastAsia="Noto Sans CJK SC"/>
          <w:b/>
          <w:i w:val="0"/>
          <w:color w:val="2F5496"/>
          <w:sz w:val="26"/>
        </w:rPr>
        <w:t>2.3 微服务项目与 BMC 硬件部署实操</w:t>
      </w:r>
    </w:p>
    <w:p>
      <w:pPr>
        <w:spacing w:after="160" w:before="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借助 AI 辅助开发"访客计数器"微服务，跑通从代码构建到 K8s 拉起的软件部署全流程，并完成 BMC 硬件部署实操，打通软硬件部署闭环，项目已开源至 GitHub。</w:t>
      </w:r>
    </w:p>
    <w:p>
      <w:pPr>
        <w:spacing w:after="200" w:before="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访客计数器（Web + Redis 后端）以一个连贯的微服务场景覆盖 Kubernetes 绝大多数核心知识点：</w:t>
      </w:r>
      <w:r>
        <w:rPr>
          <w:rFonts w:ascii="Calibri" w:hAnsi="Calibri" w:eastAsia="Noto Sans CJK SC"/>
          <w:b/>
          <w:i w:val="0"/>
        </w:rPr>
        <w:t>14 类 K8s 资源 + 15 个进阶知识点</w:t>
      </w:r>
      <w:r>
        <w:rPr>
          <w:rFonts w:ascii="Calibri" w:hAnsi="Calibri" w:eastAsia="Noto Sans CJK SC"/>
          <w:b w:val="0"/>
          <w:i w:val="0"/>
        </w:rPr>
        <w:t>，涵盖工作负载、网络、配置、存储、弹性、安全、运维与进阶等维度。应用为零第三方依赖 Node.js 服务，无 Redis 时自动降级内存计数，配套 kind 本地集群，开箱即跑。</w:t>
      </w:r>
    </w:p>
    <w:p>
      <w:pPr>
        <w:spacing w:before="40" w:after="120"/>
        <w:jc w:val="center"/>
      </w:pPr>
      <w:r>
        <w:rPr>
          <w:rFonts w:ascii="Calibri" w:hAnsi="Calibri" w:eastAsia="Noto Sans CJK SC"/>
          <w:b/>
          <w:i w:val="0"/>
          <w:color w:val="505050"/>
          <w:sz w:val="21"/>
        </w:rPr>
        <w:t>表 3  软件部署闭环流程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</w:tblPr>
      <w:tblGrid>
        <w:gridCol w:w="3022"/>
        <w:gridCol w:w="3022"/>
        <w:gridCol w:w="3022"/>
      </w:tblGrid>
      <w:tr>
        <w:tc>
          <w:tcPr>
            <w:tcW w:type="dxa" w:w="1984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type="dxa" w:w="4535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脚本 / 操作</w:t>
            </w:r>
          </w:p>
        </w:tc>
        <w:tc>
          <w:tcPr>
            <w:tcW w:type="dxa" w:w="2835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① 建集群 + 插件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setup-kind.sh（创建集群 + metrics-server + ingress）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k8s-learn 集群就绪</w:t>
            </w:r>
          </w:p>
        </w:tc>
      </w:tr>
      <w:tr>
        <w:tc>
          <w:tcPr>
            <w:tcW w:type="dxa" w:w="1984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② 构建并加载镜像</w:t>
            </w:r>
          </w:p>
        </w:tc>
        <w:tc>
          <w:tcPr>
            <w:tcW w:type="dxa" w:w="4535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build.sh（docker build → kind load）</w:t>
            </w:r>
          </w:p>
        </w:tc>
        <w:tc>
          <w:tcPr>
            <w:tcW w:type="dxa" w:w="2835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web 镜像进入 kind 节点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③ 部署资源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deploy.sh（kubectl apply / kustomize）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14 类资源部署至 learn-space</w:t>
            </w:r>
          </w:p>
        </w:tc>
      </w:tr>
      <w:tr>
        <w:tc>
          <w:tcPr>
            <w:tcW w:type="dxa" w:w="1984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④ 验证结果</w:t>
            </w:r>
          </w:p>
        </w:tc>
        <w:tc>
          <w:tcPr>
            <w:tcW w:type="dxa" w:w="4535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verify.sh</w:t>
            </w:r>
          </w:p>
        </w:tc>
        <w:tc>
          <w:tcPr>
            <w:tcW w:type="dxa" w:w="2835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计数器主页 + 健康检查 + 指标输出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⑤ 硬件实操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BMC 硬件部署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软硬件部署闭环打通</w:t>
            </w:r>
          </w:p>
        </w:tc>
      </w:tr>
    </w:tbl>
    <w:p>
      <w:pPr>
        <w:spacing w:after="200" w:before="8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该实践将"代码构建 → 镜像打包 → YAML 编写 → K8s 拉起"四段式交付标准化为可重复脚本，其中 kind 专版的端口映射、metrics-server 证书适配等细节均经实测验证，形成了可迁移的微服务部署范式。</w:t>
      </w:r>
    </w:p>
    <w:p>
      <w:pPr>
        <w:spacing w:before="360" w:after="200" w:line="312" w:lineRule="auto"/>
        <w:pBdr>
          <w:bottom w:val="single" w:sz="6" w:space="4" w:color="1F497D"/>
        </w:pBdr>
      </w:pPr>
      <w:r>
        <w:rPr>
          <w:rFonts w:ascii="Calibri" w:hAnsi="Calibri" w:eastAsia="Noto Sans CJK SC"/>
          <w:b/>
          <w:i w:val="0"/>
          <w:color w:val="1F497D"/>
          <w:sz w:val="32"/>
        </w:rPr>
        <w:t>三、学习与成长</w:t>
      </w:r>
    </w:p>
    <w:p>
      <w:pPr>
        <w:spacing w:before="240" w:after="120" w:line="312" w:lineRule="auto"/>
      </w:pPr>
      <w:r>
        <w:rPr>
          <w:rFonts w:ascii="Calibri" w:hAnsi="Calibri" w:eastAsia="Noto Sans CJK SC"/>
          <w:b/>
          <w:i w:val="0"/>
          <w:color w:val="2F5496"/>
          <w:sz w:val="26"/>
        </w:rPr>
        <w:t>3.1 云原生基础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</w:tblPr>
      <w:tblGrid>
        <w:gridCol w:w="4533"/>
        <w:gridCol w:w="4533"/>
      </w:tblGrid>
      <w:tr>
        <w:tc>
          <w:tcPr>
            <w:tcW w:type="dxa" w:w="1984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学习方向</w:t>
            </w:r>
          </w:p>
        </w:tc>
        <w:tc>
          <w:tcPr>
            <w:tcW w:type="dxa" w:w="7087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重点内容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Go 语言</w:t>
            </w:r>
          </w:p>
        </w:tc>
        <w:tc>
          <w:tcPr>
            <w:tcW w:type="dxa" w:w="7087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pprof-export 库开发、Cgroup V1/V2 自适应、单元测试规范（29 函数全覆盖）</w:t>
            </w:r>
          </w:p>
        </w:tc>
      </w:tr>
      <w:tr>
        <w:tc>
          <w:tcPr>
            <w:tcW w:type="dxa" w:w="1984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K8s 控制平面</w:t>
            </w:r>
          </w:p>
        </w:tc>
        <w:tc>
          <w:tcPr>
            <w:tcW w:type="dxa" w:w="7087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kubelet / apiserver / etcd 调度与状态管理，声明式资源模型与 14 类资源实践</w:t>
            </w:r>
          </w:p>
        </w:tc>
      </w:tr>
    </w:tbl>
    <w:p>
      <w:pPr>
        <w:spacing w:before="240" w:after="120" w:line="312" w:lineRule="auto"/>
      </w:pPr>
      <w:r>
        <w:rPr>
          <w:rFonts w:ascii="Calibri" w:hAnsi="Calibri" w:eastAsia="Noto Sans CJK SC"/>
          <w:b/>
          <w:i w:val="0"/>
          <w:color w:val="2F5496"/>
          <w:sz w:val="26"/>
        </w:rPr>
        <w:t>3.2 AI Agent 安全沙箱机制</w:t>
      </w:r>
    </w:p>
    <w:p>
      <w:pPr>
        <w:spacing w:after="200" w:before="8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深入研究 AI Agent 执行环境的安全隔离方案，理解从轻量环境配置到强隔离架构的演进路径：AgentENV 以环境变量驱动轻量级运行环境配置，侧重配置注入与参数管控；CubeSandbox 以多层级结构化隔离为核心，侧重不可信代码与 Agent 的强隔离执行。</w:t>
      </w:r>
    </w:p>
    <w:p>
      <w:pPr>
        <w:spacing w:before="40" w:after="120"/>
        <w:jc w:val="center"/>
      </w:pPr>
      <w:r>
        <w:rPr>
          <w:rFonts w:ascii="Calibri" w:hAnsi="Calibri" w:eastAsia="Noto Sans CJK SC"/>
          <w:b/>
          <w:i w:val="0"/>
          <w:color w:val="505050"/>
          <w:sz w:val="21"/>
        </w:rPr>
        <w:t>表 4  AgentENV vs CubeSandbox 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</w:tblPr>
      <w:tblGrid>
        <w:gridCol w:w="3022"/>
        <w:gridCol w:w="3022"/>
        <w:gridCol w:w="3022"/>
      </w:tblGrid>
      <w:tr>
        <w:tc>
          <w:tcPr>
            <w:tcW w:type="dxa" w:w="1701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对比维度</w:t>
            </w:r>
          </w:p>
        </w:tc>
        <w:tc>
          <w:tcPr>
            <w:tcW w:type="dxa" w:w="3685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AgentENV 机制</w:t>
            </w:r>
          </w:p>
        </w:tc>
        <w:tc>
          <w:tcPr>
            <w:tcW w:type="dxa" w:w="3685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CubeSandbox 架构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定位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轻量级环境隔离机制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完整沙箱隔离架构</w:t>
            </w:r>
          </w:p>
        </w:tc>
      </w:tr>
      <w:tr>
        <w:tc>
          <w:tcPr>
            <w:tcW w:type="dxa" w:w="1701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隔离手段</w:t>
            </w:r>
          </w:p>
        </w:tc>
        <w:tc>
          <w:tcPr>
            <w:tcW w:type="dxa" w:w="3685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环境变量驱动的执行环境配置</w:t>
            </w:r>
          </w:p>
        </w:tc>
        <w:tc>
          <w:tcPr>
            <w:tcW w:type="dxa" w:w="3685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多层级容器 / Cube 结构化隔离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隔离强度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弱（配置级）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强（架构级）</w:t>
            </w:r>
          </w:p>
        </w:tc>
      </w:tr>
      <w:tr>
        <w:tc>
          <w:tcPr>
            <w:tcW w:type="dxa" w:w="1701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资源开销</w:t>
            </w:r>
          </w:p>
        </w:tc>
        <w:tc>
          <w:tcPr>
            <w:tcW w:type="dxa" w:w="3685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小</w:t>
            </w:r>
          </w:p>
        </w:tc>
        <w:tc>
          <w:tcPr>
            <w:tcW w:type="dxa" w:w="3685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较大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适用场景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配置注入、运行参数管控、受信 Agent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不可信代码执行、强隔离安全执行</w:t>
            </w:r>
          </w:p>
        </w:tc>
      </w:tr>
      <w:tr>
        <w:tc>
          <w:tcPr>
            <w:tcW w:type="dxa" w:w="1701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关注重点</w:t>
            </w:r>
          </w:p>
        </w:tc>
        <w:tc>
          <w:tcPr>
            <w:tcW w:type="dxa" w:w="3685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如何给 Agent 注入与管控运行环境</w:t>
            </w:r>
          </w:p>
        </w:tc>
        <w:tc>
          <w:tcPr>
            <w:tcW w:type="dxa" w:w="3685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如何将 Agent 纳入可信隔离边界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演进关系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基础配置层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强隔离架构层（递进演进）</w:t>
            </w:r>
          </w:p>
        </w:tc>
      </w:tr>
    </w:tbl>
    <w:p>
      <w:pPr>
        <w:spacing w:after="200" w:before="8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学习主线为"先掌握 AgentENV 的环境配置思想，再深入 CubeSandbox 的架构级强隔离"，从而理解安全沙箱从"配置隔离"到"架构隔离"的递进关系。</w:t>
      </w:r>
    </w:p>
    <w:p>
      <w:pPr>
        <w:spacing w:before="360" w:after="200" w:line="312" w:lineRule="auto"/>
        <w:pBdr>
          <w:bottom w:val="single" w:sz="6" w:space="4" w:color="1F497D"/>
        </w:pBdr>
      </w:pPr>
      <w:r>
        <w:rPr>
          <w:rFonts w:ascii="Calibri" w:hAnsi="Calibri" w:eastAsia="Noto Sans CJK SC"/>
          <w:b/>
          <w:i w:val="0"/>
          <w:color w:val="1F497D"/>
          <w:sz w:val="32"/>
        </w:rPr>
        <w:t>四、产出与荣誉</w:t>
      </w:r>
    </w:p>
    <w:p>
      <w:pPr>
        <w:spacing w:before="240" w:after="120" w:line="312" w:lineRule="auto"/>
      </w:pPr>
      <w:r>
        <w:rPr>
          <w:rFonts w:ascii="Calibri" w:hAnsi="Calibri" w:eastAsia="Noto Sans CJK SC"/>
          <w:b/>
          <w:i w:val="0"/>
          <w:color w:val="2F5496"/>
          <w:sz w:val="26"/>
        </w:rPr>
        <w:t>4.1 竞赛成绩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</w:tblPr>
      <w:tblGrid>
        <w:gridCol w:w="4533"/>
        <w:gridCol w:w="4533"/>
      </w:tblGrid>
      <w:tr>
        <w:tc>
          <w:tcPr>
            <w:tcW w:type="dxa" w:w="4535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4535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2026 ICT 软件大赛 · 难题赛道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一等奖</w:t>
            </w:r>
          </w:p>
        </w:tc>
      </w:tr>
      <w:tr>
        <w:tc>
          <w:tcPr>
            <w:tcW w:type="dxa" w:w="4535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Hackathon 软件难题挑战赛预赛</w:t>
            </w:r>
          </w:p>
        </w:tc>
        <w:tc>
          <w:tcPr>
            <w:tcW w:type="dxa" w:w="4535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积极参赛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高精度 4Bit 数值转换算法大赛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积极参赛</w:t>
            </w:r>
          </w:p>
        </w:tc>
      </w:tr>
    </w:tbl>
    <w:p>
      <w:pPr>
        <w:spacing w:before="240" w:after="120" w:line="312" w:lineRule="auto"/>
      </w:pPr>
      <w:r>
        <w:rPr>
          <w:rFonts w:ascii="Calibri" w:hAnsi="Calibri" w:eastAsia="Noto Sans CJK SC"/>
          <w:b/>
          <w:i w:val="0"/>
          <w:color w:val="2F5496"/>
          <w:sz w:val="26"/>
        </w:rPr>
        <w:t>4.2 产出与荣誉清单</w:t>
      </w:r>
    </w:p>
    <w:p>
      <w:pPr>
        <w:spacing w:after="120" w:before="0" w:line="384" w:lineRule="auto"/>
      </w:pPr>
      <w:r>
        <w:rPr>
          <w:rFonts w:ascii="Calibri" w:hAnsi="Calibri" w:eastAsia="Noto Sans CJK SC"/>
          <w:b w:val="0"/>
          <w:i w:val="0"/>
          <w:color w:val="5A5A5A"/>
          <w:sz w:val="21"/>
        </w:rPr>
        <w:t>以下为实习期核心产出与荣誉一览：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</w:tblPr>
      <w:tblGrid>
        <w:gridCol w:w="3022"/>
        <w:gridCol w:w="3022"/>
        <w:gridCol w:w="3022"/>
      </w:tblGrid>
      <w:tr>
        <w:tc>
          <w:tcPr>
            <w:tcW w:type="dxa" w:w="1417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类别</w:t>
            </w:r>
          </w:p>
        </w:tc>
        <w:tc>
          <w:tcPr>
            <w:tcW w:type="dxa" w:w="1984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成果</w:t>
            </w:r>
          </w:p>
        </w:tc>
        <w:tc>
          <w:tcPr>
            <w:tcW w:type="dxa" w:w="5669"/>
            <w:vAlign w:val="center"/>
            <w:shd w:val="clear" w:color="auto" w:fill="2F5496"/>
          </w:tcPr>
          <w:p>
            <w:pPr>
              <w:spacing w:after="40" w:before="40"/>
              <w:jc w:val="center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技能包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发布的 SKILL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K8s 版本分析自动化技能包，纯 Python 3 标准库、零第三方依赖、可跨产品迁移，已产出 v1.35–v1.36、v1.37–v1.37 双 Sheet XLSX</w:t>
            </w:r>
          </w:p>
        </w:tc>
      </w:tr>
      <w:tr>
        <w:tc>
          <w:tcPr>
            <w:tcW w:type="dxa" w:w="1417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技术博客</w:t>
            </w:r>
          </w:p>
        </w:tc>
        <w:tc>
          <w:tcPr>
            <w:tcW w:type="dxa" w:w="1984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2 篇 W3 博客</w:t>
            </w:r>
          </w:p>
        </w:tc>
        <w:tc>
          <w:tcPr>
            <w:tcW w:type="dxa" w:w="5669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围绕 K8s 版本分析与 pprof 跨区复现的技术博文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会议报告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1 次专题报告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2026.8.11《K8s 版本分析与特性变更的自动化实现》</w:t>
            </w:r>
          </w:p>
        </w:tc>
      </w:tr>
      <w:tr>
        <w:tc>
          <w:tcPr>
            <w:tcW w:type="dxa" w:w="1417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竞赛荣誉</w:t>
            </w:r>
          </w:p>
        </w:tc>
        <w:tc>
          <w:tcPr>
            <w:tcW w:type="dxa" w:w="1984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1 个一等奖</w:t>
            </w:r>
          </w:p>
        </w:tc>
        <w:tc>
          <w:tcPr>
            <w:tcW w:type="dxa" w:w="5669"/>
            <w:vAlign w:val="center"/>
            <w:shd w:val="clear" w:color="auto" w:fill="EAF1FA"/>
          </w:tcPr>
          <w:p>
            <w:pPr>
              <w:spacing w:after="40" w:before="40" w:line="288" w:lineRule="auto"/>
            </w:pPr>
            <w:r>
              <w:rPr>
                <w:rFonts w:ascii="Calibri" w:hAnsi="Calibri" w:eastAsia="Noto Sans CJK SC"/>
                <w:b w:val="0"/>
                <w:i w:val="0"/>
                <w:sz w:val="20"/>
              </w:rPr>
              <w:t>2026 ICT 软件大赛难题赛道一等奖</w:t>
            </w:r>
          </w:p>
        </w:tc>
      </w:tr>
    </w:tbl>
    <w:p>
      <w:pPr>
        <w:spacing w:before="360" w:after="200" w:line="312" w:lineRule="auto"/>
        <w:pBdr>
          <w:bottom w:val="single" w:sz="6" w:space="4" w:color="1F497D"/>
        </w:pBdr>
      </w:pPr>
      <w:r>
        <w:rPr>
          <w:rFonts w:ascii="Calibri" w:hAnsi="Calibri" w:eastAsia="Noto Sans CJK SC"/>
          <w:b/>
          <w:i w:val="0"/>
          <w:color w:val="1F497D"/>
          <w:sz w:val="32"/>
        </w:rPr>
        <w:t>五、总结与展望</w:t>
      </w:r>
    </w:p>
    <w:p>
      <w:pPr>
        <w:spacing w:after="160" w:before="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本次实习以工程实践为主线，在三条工作线上形成了可复用的产出：K8s 版本分析技能包将版本解读自动化为可追溯的双 Sheet 流程；pprof 跨区复现打通了蓝/黄区代码协同与 Cgroup 自适应优化；访客计数器微服务将"代码→镜像→YAML→K8s"的部署范式标准化。学习层面完成了从云原生基础到 AI Agent 安全沙箱的纵深，理解了从配置隔离到架构隔离的演进。</w:t>
      </w:r>
    </w:p>
    <w:p>
      <w:pPr>
        <w:spacing w:after="200" w:before="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后续可沿两个方向深化：一是将 K8s 版本分析技能包与 CI 流水线结合，实现版本发布后的自动报表推送；二是将 AgentENV/CubeSandbox 沙箱机制与 pprof 性能分析能力结合，构建面向 Agent 执行环境的安全性能一体化观测方案。</w:t>
      </w:r>
    </w:p>
    <w:p>
      <w:pPr>
        <w:spacing w:before="360" w:after="200" w:line="312" w:lineRule="auto"/>
        <w:pBdr>
          <w:bottom w:val="single" w:sz="6" w:space="4" w:color="1F497D"/>
        </w:pBdr>
      </w:pPr>
      <w:r>
        <w:rPr>
          <w:rFonts w:ascii="Calibri" w:hAnsi="Calibri" w:eastAsia="Noto Sans CJK SC"/>
          <w:b/>
          <w:i w:val="0"/>
          <w:color w:val="1F497D"/>
          <w:sz w:val="32"/>
        </w:rPr>
        <w:t>六、心得体会</w:t>
      </w:r>
    </w:p>
    <w:p>
      <w:pPr>
        <w:spacing w:after="160" w:before="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回顾本次实习，最大的收获不在于掌握了多少具体技术，而在于逐步建立起一套从问题出发、以证据为基、以闭环为终的工程方法论。K8s 版本分析技能包的开发让我深刻体会到"先证据、后判断、再成句"的价值——任何结论都必须可追溯到官方源码或发布材料，绝不能用"合理猜测"替代事实。七阶段流水线的设计，尤其是每个阶段设独立退出条件、支持基于运行目录状态的中断恢复，让我学会了如何把一个复杂自动化任务拆解为可独立验证、可中途接续的步骤，而不是把所有逻辑揉成一团。</w:t>
      </w:r>
    </w:p>
    <w:p>
      <w:pPr>
        <w:spacing w:after="160" w:before="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pprof 项目的跨区复现让我认识到，真实工程远不止"写对代码"这么简单。在蓝/黄区之间保证代码逐文件一致、熟练运用 Beyond Compare 与 Git 完成 MR 提案，这些看似琐碎的协同动作，恰恰是工程素养的体现。改进 Cgroup V1/V2 自动识别逻辑的过程，则让我真正理解了"环境无关"代码的意义——好的库应当在不同环境下自适应，而不是把环境判定的负担丢给使用者。</w:t>
      </w:r>
    </w:p>
    <w:p>
      <w:pPr>
        <w:spacing w:after="160" w:before="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微服务项目是我最有成就感的一段经历。借助 AI 辅助，从零搭建"访客计数器"，完整跑通"代码构建 → 镜像打包 → YAML 编写 → K8s 拉起"的全流程并开源至 GitHub——这种从想法到上线服务的闭环，让我第一次真正触摸到云原生的实际形态。AI 辅助开发也让我切身感受到：AI 不是替代工程师，而是把工程师从重复劳动中解放出来，让人能更专注于架构设计与关键决策。</w:t>
      </w:r>
    </w:p>
    <w:p>
      <w:pPr>
        <w:spacing w:after="160" w:before="0" w:line="384" w:lineRule="auto"/>
        <w:ind w:firstLine="420"/>
      </w:pPr>
      <w:r>
        <w:rPr>
          <w:rFonts w:ascii="Calibri" w:hAnsi="Calibri" w:eastAsia="Noto Sans CJK SC"/>
          <w:b w:val="0"/>
          <w:i w:val="0"/>
        </w:rPr>
        <w:t>学习路径上，从 Go 语言与 K8s 控制平面的基础，到 AgentENV 与 CubeSandbox 的安全沙箱机制，我逐渐看清了技术栈的层次关系：从配置级的轻量隔离，到架构级的强隔离，安全防护是一层一层递进的。竞赛方面，ICT 软件大赛一等奖是对技术路线的肯定，而 Hackathon 与算法大赛的参赛经历同样宝贵——它们让我看到自己与更高水平之间的差距，明确了后续精进的方向。总之，这段实习让我从一个"会写代码"的人，向"能交付可靠工程产出"的工程师迈出了扎实的一步。</w:t>
      </w:r>
    </w:p>
    <w:p>
      <w:pPr>
        <w:spacing w:before="240"/>
        <w:jc w:val="center"/>
      </w:pPr>
      <w:r>
        <w:rPr>
          <w:rFonts w:ascii="Calibri" w:hAnsi="Calibri" w:eastAsia="Noto Sans CJK SC"/>
          <w:b w:val="0"/>
          <w:i/>
          <w:color w:val="969696"/>
          <w:sz w:val="20"/>
        </w:rPr>
        <w:t>— 报告结束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