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E3A5F"/>
          <w:sz w:val="52"/>
          <w:szCs w:val="52"/>
        </w:rPr>
        <w:t xml:space="preserve">Wood Products Carbon Tracker</w:t>
      </w:r>
    </w:p>
    <w:p>
      <w:pPr>
        <w:spacing w:before="0" w:after="80"/>
        <w:jc w:val="center"/>
      </w:pPr>
      <w:r>
        <w:rPr>
          <w:rFonts w:ascii="Arial" w:cs="Arial" w:eastAsia="Arial" w:hAnsi="Arial"/>
          <w:color w:val="2D6A4F"/>
          <w:sz w:val="32"/>
          <w:szCs w:val="32"/>
        </w:rPr>
        <w:t xml:space="preserve">Web-based Carbon Storage Estimator</w:t>
      </w:r>
    </w:p>
    <w:p>
      <w:pPr>
        <w:spacing w:before="80" w:after="80"/>
        <w:jc w:val="center"/>
      </w:pPr>
      <w:r>
        <w:rPr>
          <w:rFonts w:ascii="Arial" w:cs="Arial" w:eastAsia="Arial" w:hAnsi="Arial"/>
          <w:i/>
          <w:iCs/>
          <w:color w:val="555555"/>
          <w:sz w:val="28"/>
          <w:szCs w:val="28"/>
        </w:rPr>
        <w:t xml:space="preserve">User Manual &amp; Technical Reference</w:t>
      </w:r>
    </w:p>
    <w:p>
      <w:pPr>
        <w:spacing w:before="480" w:after="0"/>
      </w:pPr>
    </w:p>
    <w:p>
      <w:pPr>
        <w:jc w:val="center"/>
      </w:pPr>
      <w:r>
        <w:rPr>
          <w:rFonts w:ascii="Arial" w:cs="Arial" w:eastAsia="Arial" w:hAnsi="Arial"/>
          <w:color w:val="444444"/>
          <w:sz w:val="22"/>
          <w:szCs w:val="22"/>
        </w:rPr>
        <w:t xml:space="preserve">University of Maine · School of Forest Resources</w:t>
      </w:r>
    </w:p>
    <w:p>
      <w:pPr>
        <w:spacing w:before="40" w:after="40"/>
        <w:jc w:val="center"/>
      </w:pPr>
      <w:r>
        <w:rPr>
          <w:rFonts w:ascii="Arial" w:cs="Arial" w:eastAsia="Arial" w:hAnsi="Arial"/>
          <w:color w:val="444444"/>
          <w:sz w:val="22"/>
          <w:szCs w:val="22"/>
        </w:rPr>
        <w:t xml:space="preserve">Xinyuan Wei, Jianheng Zhao, Daniel J. Hayes, Aaron Weiskittel, Ling Li</w:t>
      </w:r>
    </w:p>
    <w:p>
      <w:pPr>
        <w:spacing w:before="40" w:after="40"/>
        <w:jc w:val="center"/>
      </w:pPr>
      <w:hyperlink w:history="1" r:id="rIdgczvzaeu37cv9ic0fnzb0">
        <w:r>
          <w:rPr>
            <w:rStyle w:val="Hyperlink"/>
            <w:rFonts w:ascii="Arial" w:cs="Arial" w:eastAsia="Arial" w:hAnsi="Arial"/>
            <w:sz w:val="22"/>
            <w:szCs w:val="22"/>
          </w:rPr>
          <w:t xml:space="preserve">https://xinyuanwylb19.github.io/xinyuanwylb19-Wood-Products-Carbon-Tracker/</w:t>
        </w:r>
      </w:hyperlink>
    </w:p>
    <w:p>
      <w:pPr>
        <w:spacing w:before="40" w:after="0"/>
        <w:jc w:val="center"/>
      </w:pPr>
      <w:r>
        <w:rPr>
          <w:rFonts w:ascii="Arial" w:cs="Arial" w:eastAsia="Arial" w:hAnsi="Arial"/>
          <w:i/>
          <w:iCs/>
          <w:color w:val="666666"/>
          <w:sz w:val="20"/>
          <w:szCs w:val="20"/>
        </w:rPr>
        <w:t xml:space="preserve">Based on: Wei et al. (2023), Carbon Balance and Management 18:1</w:t>
      </w:r>
    </w:p>
    <w:p>
      <w:r>
        <w:br w:type="page"/>
      </w:r>
    </w:p>
    <w:p>
      <w:pPr>
        <w:pStyle w:val="Heading1"/>
        <w:spacing w:before="320" w:after="120"/>
      </w:pPr>
      <w:r>
        <w:rPr>
          <w:rFonts w:ascii="Arial" w:cs="Arial" w:eastAsia="Arial" w:hAnsi="Arial"/>
          <w:b/>
          <w:bCs/>
          <w:color w:val="1E3A5F"/>
          <w:sz w:val="32"/>
          <w:szCs w:val="32"/>
        </w:rPr>
        <w:t xml:space="preserve">Table of Contents</w:t>
      </w:r>
    </w:p>
    <w:p>
      <w:pPr>
        <w:tabs>
          <w:tab w:val="right" w:pos="9360" w:leader="dot"/>
        </w:tabs>
        <w:spacing w:before="40" w:after="40"/>
      </w:pPr>
      <w:r>
        <w:rPr>
          <w:rFonts w:ascii="Arial" w:cs="Arial" w:eastAsia="Arial" w:hAnsi="Arial"/>
          <w:sz w:val="22"/>
          <w:szCs w:val="22"/>
        </w:rPr>
        <w:t xml:space="preserve">1. Overview &amp; Background</w:t>
      </w:r>
      <w:r>
        <w:rPr>
          <w:rFonts w:ascii="Arial" w:cs="Arial" w:eastAsia="Arial" w:hAnsi="Arial"/>
          <w:color w:val="666666"/>
          <w:sz w:val="22"/>
          <w:szCs w:val="22"/>
        </w:rPr>
        <w:t xml:space="preserve">	3</w:t>
      </w:r>
    </w:p>
    <w:p>
      <w:pPr>
        <w:tabs>
          <w:tab w:val="right" w:pos="9360" w:leader="dot"/>
        </w:tabs>
        <w:spacing w:before="40" w:after="40"/>
      </w:pPr>
      <w:r>
        <w:rPr>
          <w:rFonts w:ascii="Arial" w:cs="Arial" w:eastAsia="Arial" w:hAnsi="Arial"/>
          <w:sz w:val="22"/>
          <w:szCs w:val="22"/>
        </w:rPr>
        <w:t xml:space="preserve">2. System Architecture</w:t>
      </w:r>
      <w:r>
        <w:rPr>
          <w:rFonts w:ascii="Arial" w:cs="Arial" w:eastAsia="Arial" w:hAnsi="Arial"/>
          <w:color w:val="666666"/>
          <w:sz w:val="22"/>
          <w:szCs w:val="22"/>
        </w:rPr>
        <w:t xml:space="preserve">	3</w:t>
      </w:r>
    </w:p>
    <w:p>
      <w:pPr>
        <w:tabs>
          <w:tab w:val="right" w:pos="9360" w:leader="dot"/>
        </w:tabs>
        <w:spacing w:before="40" w:after="40"/>
      </w:pPr>
      <w:r>
        <w:rPr>
          <w:rFonts w:ascii="Arial" w:cs="Arial" w:eastAsia="Arial" w:hAnsi="Arial"/>
          <w:sz w:val="22"/>
          <w:szCs w:val="22"/>
        </w:rPr>
        <w:t xml:space="preserve">3. Module 1 — End-use Products Carbon Tracker</w:t>
      </w:r>
      <w:r>
        <w:rPr>
          <w:rFonts w:ascii="Arial" w:cs="Arial" w:eastAsia="Arial" w:hAnsi="Arial"/>
          <w:color w:val="666666"/>
          <w:sz w:val="22"/>
          <w:szCs w:val="22"/>
        </w:rPr>
        <w:t xml:space="preserve">	4</w:t>
      </w:r>
    </w:p>
    <w:p>
      <w:pPr>
        <w:tabs>
          <w:tab w:val="right" w:pos="9360" w:leader="dot"/>
        </w:tabs>
        <w:spacing w:before="40" w:after="40"/>
      </w:pPr>
      <w:r>
        <w:rPr>
          <w:rFonts w:ascii="Arial" w:cs="Arial" w:eastAsia="Arial" w:hAnsi="Arial"/>
          <w:sz w:val="22"/>
          <w:szCs w:val="22"/>
        </w:rPr>
        <w:t xml:space="preserve">   3.1  Input Data CSV Format</w:t>
      </w:r>
      <w:r>
        <w:rPr>
          <w:rFonts w:ascii="Arial" w:cs="Arial" w:eastAsia="Arial" w:hAnsi="Arial"/>
          <w:color w:val="666666"/>
          <w:sz w:val="22"/>
          <w:szCs w:val="22"/>
        </w:rPr>
        <w:t xml:space="preserve">	4</w:t>
      </w:r>
    </w:p>
    <w:p>
      <w:pPr>
        <w:tabs>
          <w:tab w:val="right" w:pos="9360" w:leader="dot"/>
        </w:tabs>
        <w:spacing w:before="40" w:after="40"/>
      </w:pPr>
      <w:r>
        <w:rPr>
          <w:rFonts w:ascii="Arial" w:cs="Arial" w:eastAsia="Arial" w:hAnsi="Arial"/>
          <w:sz w:val="22"/>
          <w:szCs w:val="22"/>
        </w:rPr>
        <w:t xml:space="preserve">   3.2  Parameters CSV Format</w:t>
      </w:r>
      <w:r>
        <w:rPr>
          <w:rFonts w:ascii="Arial" w:cs="Arial" w:eastAsia="Arial" w:hAnsi="Arial"/>
          <w:color w:val="666666"/>
          <w:sz w:val="22"/>
          <w:szCs w:val="22"/>
        </w:rPr>
        <w:t xml:space="preserve">	6</w:t>
      </w:r>
    </w:p>
    <w:p>
      <w:pPr>
        <w:tabs>
          <w:tab w:val="right" w:pos="9360" w:leader="dot"/>
        </w:tabs>
        <w:spacing w:before="40" w:after="40"/>
      </w:pPr>
      <w:r>
        <w:rPr>
          <w:rFonts w:ascii="Arial" w:cs="Arial" w:eastAsia="Arial" w:hAnsi="Arial"/>
          <w:sz w:val="22"/>
          <w:szCs w:val="22"/>
        </w:rPr>
        <w:t xml:space="preserve">   3.3  Step-by-Step Workflow</w:t>
      </w:r>
      <w:r>
        <w:rPr>
          <w:rFonts w:ascii="Arial" w:cs="Arial" w:eastAsia="Arial" w:hAnsi="Arial"/>
          <w:color w:val="666666"/>
          <w:sz w:val="22"/>
          <w:szCs w:val="22"/>
        </w:rPr>
        <w:t xml:space="preserve">	8</w:t>
      </w:r>
    </w:p>
    <w:p>
      <w:pPr>
        <w:tabs>
          <w:tab w:val="right" w:pos="9360" w:leader="dot"/>
        </w:tabs>
        <w:spacing w:before="40" w:after="40"/>
      </w:pPr>
      <w:r>
        <w:rPr>
          <w:rFonts w:ascii="Arial" w:cs="Arial" w:eastAsia="Arial" w:hAnsi="Arial"/>
          <w:sz w:val="22"/>
          <w:szCs w:val="22"/>
        </w:rPr>
        <w:t xml:space="preserve">4. Module 2 — Industrial Logs Carbon Tracker</w:t>
      </w:r>
      <w:r>
        <w:rPr>
          <w:rFonts w:ascii="Arial" w:cs="Arial" w:eastAsia="Arial" w:hAnsi="Arial"/>
          <w:color w:val="666666"/>
          <w:sz w:val="22"/>
          <w:szCs w:val="22"/>
        </w:rPr>
        <w:t xml:space="preserve">	9</w:t>
      </w:r>
    </w:p>
    <w:p>
      <w:pPr>
        <w:tabs>
          <w:tab w:val="right" w:pos="9360" w:leader="dot"/>
        </w:tabs>
        <w:spacing w:before="40" w:after="40"/>
      </w:pPr>
      <w:r>
        <w:rPr>
          <w:rFonts w:ascii="Arial" w:cs="Arial" w:eastAsia="Arial" w:hAnsi="Arial"/>
          <w:sz w:val="22"/>
          <w:szCs w:val="22"/>
        </w:rPr>
        <w:t xml:space="preserve">5. Module 3 — Sawn Products Carbon Tracker</w:t>
      </w:r>
      <w:r>
        <w:rPr>
          <w:rFonts w:ascii="Arial" w:cs="Arial" w:eastAsia="Arial" w:hAnsi="Arial"/>
          <w:color w:val="666666"/>
          <w:sz w:val="22"/>
          <w:szCs w:val="22"/>
        </w:rPr>
        <w:t xml:space="preserve">	9</w:t>
      </w:r>
    </w:p>
    <w:p>
      <w:pPr>
        <w:tabs>
          <w:tab w:val="right" w:pos="9360" w:leader="dot"/>
        </w:tabs>
        <w:spacing w:before="40" w:after="40"/>
      </w:pPr>
      <w:r>
        <w:rPr>
          <w:rFonts w:ascii="Arial" w:cs="Arial" w:eastAsia="Arial" w:hAnsi="Arial"/>
          <w:sz w:val="22"/>
          <w:szCs w:val="22"/>
        </w:rPr>
        <w:t xml:space="preserve">6. Module 4 — Global WPs Carbon</w:t>
      </w:r>
      <w:r>
        <w:rPr>
          <w:rFonts w:ascii="Arial" w:cs="Arial" w:eastAsia="Arial" w:hAnsi="Arial"/>
          <w:color w:val="666666"/>
          <w:sz w:val="22"/>
          <w:szCs w:val="22"/>
        </w:rPr>
        <w:t xml:space="preserve">	10</w:t>
      </w:r>
    </w:p>
    <w:p>
      <w:pPr>
        <w:tabs>
          <w:tab w:val="right" w:pos="9360" w:leader="dot"/>
        </w:tabs>
        <w:spacing w:before="40" w:after="40"/>
      </w:pPr>
      <w:r>
        <w:rPr>
          <w:rFonts w:ascii="Arial" w:cs="Arial" w:eastAsia="Arial" w:hAnsi="Arial"/>
          <w:sz w:val="22"/>
          <w:szCs w:val="22"/>
        </w:rPr>
        <w:t xml:space="preserve">7. Carbon Flux Equations Reference</w:t>
      </w:r>
      <w:r>
        <w:rPr>
          <w:rFonts w:ascii="Arial" w:cs="Arial" w:eastAsia="Arial" w:hAnsi="Arial"/>
          <w:color w:val="666666"/>
          <w:sz w:val="22"/>
          <w:szCs w:val="22"/>
        </w:rPr>
        <w:t xml:space="preserve">	10</w:t>
      </w:r>
    </w:p>
    <w:p>
      <w:pPr>
        <w:tabs>
          <w:tab w:val="right" w:pos="9360" w:leader="dot"/>
        </w:tabs>
        <w:spacing w:before="40" w:after="40"/>
      </w:pPr>
      <w:r>
        <w:rPr>
          <w:rFonts w:ascii="Arial" w:cs="Arial" w:eastAsia="Arial" w:hAnsi="Arial"/>
          <w:sz w:val="22"/>
          <w:szCs w:val="22"/>
        </w:rPr>
        <w:t xml:space="preserve">8. Deploying on GitHub Pages</w:t>
      </w:r>
      <w:r>
        <w:rPr>
          <w:rFonts w:ascii="Arial" w:cs="Arial" w:eastAsia="Arial" w:hAnsi="Arial"/>
          <w:color w:val="666666"/>
          <w:sz w:val="22"/>
          <w:szCs w:val="22"/>
        </w:rPr>
        <w:t xml:space="preserve">	12</w:t>
      </w:r>
    </w:p>
    <w:p>
      <w:pPr>
        <w:tabs>
          <w:tab w:val="right" w:pos="9360" w:leader="dot"/>
        </w:tabs>
        <w:spacing w:before="40" w:after="40"/>
      </w:pPr>
      <w:r>
        <w:rPr>
          <w:rFonts w:ascii="Arial" w:cs="Arial" w:eastAsia="Arial" w:hAnsi="Arial"/>
          <w:sz w:val="22"/>
          <w:szCs w:val="22"/>
        </w:rPr>
        <w:t xml:space="preserve">9. Frequently Asked Questions</w:t>
      </w:r>
      <w:r>
        <w:rPr>
          <w:rFonts w:ascii="Arial" w:cs="Arial" w:eastAsia="Arial" w:hAnsi="Arial"/>
          <w:color w:val="666666"/>
          <w:sz w:val="22"/>
          <w:szCs w:val="22"/>
        </w:rPr>
        <w:t xml:space="preserve">	13</w:t>
      </w:r>
    </w:p>
    <w:p>
      <w:pPr>
        <w:tabs>
          <w:tab w:val="right" w:pos="9360" w:leader="dot"/>
        </w:tabs>
        <w:spacing w:before="40" w:after="40"/>
      </w:pPr>
      <w:r>
        <w:rPr>
          <w:rFonts w:ascii="Arial" w:cs="Arial" w:eastAsia="Arial" w:hAnsi="Arial"/>
          <w:sz w:val="22"/>
          <w:szCs w:val="22"/>
        </w:rPr>
        <w:t xml:space="preserve">10. Citation &amp; License</w:t>
      </w:r>
      <w:r>
        <w:rPr>
          <w:rFonts w:ascii="Arial" w:cs="Arial" w:eastAsia="Arial" w:hAnsi="Arial"/>
          <w:color w:val="666666"/>
          <w:sz w:val="22"/>
          <w:szCs w:val="22"/>
        </w:rPr>
        <w:t xml:space="preserve">	14</w:t>
      </w:r>
    </w:p>
    <w:p>
      <w:r>
        <w:br w:type="page"/>
      </w:r>
    </w:p>
    <w:p>
      <w:pPr>
        <w:pStyle w:val="Heading1"/>
        <w:spacing w:before="320" w:after="120"/>
      </w:pPr>
      <w:r>
        <w:rPr>
          <w:rFonts w:ascii="Arial" w:cs="Arial" w:eastAsia="Arial" w:hAnsi="Arial"/>
          <w:b/>
          <w:bCs/>
          <w:color w:val="1E3A5F"/>
          <w:sz w:val="32"/>
          <w:szCs w:val="32"/>
        </w:rPr>
        <w:t xml:space="preserve">1. Overview &amp; Background</w:t>
      </w:r>
    </w:p>
    <w:p>
      <w:pPr>
        <w:spacing w:before="60" w:after="100"/>
      </w:pPr>
      <w:r>
        <w:rPr>
          <w:rFonts w:ascii="Arial" w:cs="Arial" w:eastAsia="Arial" w:hAnsi="Arial"/>
          <w:sz w:val="22"/>
          <w:szCs w:val="22"/>
        </w:rPr>
        <w:t xml:space="preserve">The Wood Products Carbon Tracker (WPsCT) is a web-based application that quantifies the carbon stored in wood products over time. It implements the Wood Products Carbon Storage Estimator (WPsCS Estimator) described in Wei et al. (2023), which tracks carbon flux through the full life cycle of harvested wood products — from initial production through disposal, recycling, landfill decomposition, and bioenergy use.</w:t>
      </w:r>
    </w:p>
    <w:p>
      <w:pPr>
        <w:spacing w:before="60" w:after="0"/>
      </w:pPr>
    </w:p>
    <w:p>
      <w:pPr>
        <w:spacing w:before="60" w:after="100"/>
      </w:pPr>
      <w:r>
        <w:rPr>
          <w:rFonts w:ascii="Arial" w:cs="Arial" w:eastAsia="Arial" w:hAnsi="Arial"/>
          <w:b/>
          <w:bCs/>
          <w:sz w:val="22"/>
          <w:szCs w:val="22"/>
        </w:rPr>
        <w:t xml:space="preserve">Why this matters: </w:t>
      </w:r>
      <w:r>
        <w:rPr>
          <w:rFonts w:ascii="Arial" w:cs="Arial" w:eastAsia="Arial" w:hAnsi="Arial"/>
          <w:sz w:val="22"/>
          <w:szCs w:val="22"/>
        </w:rPr>
        <w:t xml:space="preserve">Timber harvesting transfers carbon from living forest biomass into durable wood products. Accurate accounting of these carbon pools is essential for national greenhouse gas inventories (IPCC Tier 2/3), forest carbon budget analyses, and climate mitigation policy.</w:t>
      </w:r>
    </w:p>
    <w:p>
      <w:pPr>
        <w:spacing w:before="60" w:after="0"/>
      </w:pPr>
    </w:p>
    <w:p>
      <w:pPr>
        <w:spacing w:before="60" w:after="100"/>
      </w:pPr>
      <w:r>
        <w:rPr>
          <w:rFonts w:ascii="Arial" w:cs="Arial" w:eastAsia="Arial" w:hAnsi="Arial"/>
          <w:b/>
          <w:bCs/>
          <w:sz w:val="22"/>
          <w:szCs w:val="22"/>
        </w:rPr>
        <w:t xml:space="preserve">Key reference: </w:t>
      </w:r>
      <w:hyperlink w:history="1" r:id="rIdnpxvxf80diorzwmblwvxi">
        <w:r>
          <w:rPr>
            <w:rStyle w:val="Hyperlink"/>
            <w:rFonts w:ascii="Arial" w:cs="Arial" w:eastAsia="Arial" w:hAnsi="Arial"/>
            <w:sz w:val="22"/>
            <w:szCs w:val="22"/>
          </w:rPr>
          <w:t xml:space="preserve">Wei X, Zhao J, Hayes DJ, Daigneault A, Zhu H (2023). A life cycle and product type based estimator for quantifying the carbon stored in wood products. Carbon Balance and Management 18:1.</w:t>
        </w:r>
      </w:hyperlink>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980B9" w:sz="12"/>
              <w:left w:val="single" w:color="2980B9" w:sz="24"/>
              <w:bottom w:val="single" w:color="BBDDEE" w:sz="4"/>
              <w:right w:val="single" w:color="BBDDEE" w:sz="4"/>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Three Carbon Sub-pools Tracked</w:t>
            </w:r>
          </w:p>
          <w:p>
            <w:pPr>
              <w:spacing w:before="40" w:after="0"/>
            </w:pPr>
            <w:r>
              <w:rPr>
                <w:rFonts w:ascii="Arial" w:cs="Arial" w:eastAsia="Arial" w:hAnsi="Arial"/>
                <w:color w:val="2C3E50"/>
                <w:sz w:val="20"/>
                <w:szCs w:val="20"/>
              </w:rPr>
              <w:t xml:space="preserve">① End-use products — carbon remaining in in-use construction, furniture, and paper products</w:t>
            </w:r>
          </w:p>
          <w:p>
            <w:pPr>
              <w:spacing w:before="40" w:after="0"/>
            </w:pPr>
            <w:r>
              <w:rPr>
                <w:rFonts w:ascii="Arial" w:cs="Arial" w:eastAsia="Arial" w:hAnsi="Arial"/>
                <w:color w:val="2C3E50"/>
                <w:sz w:val="20"/>
                <w:szCs w:val="20"/>
              </w:rPr>
              <w:t xml:space="preserve">② Landfill — carbon in disposed wood materials undergoing slow decomposition</w:t>
            </w:r>
          </w:p>
          <w:p>
            <w:pPr>
              <w:spacing w:before="40" w:after="0"/>
            </w:pPr>
            <w:r>
              <w:rPr>
                <w:rFonts w:ascii="Arial" w:cs="Arial" w:eastAsia="Arial" w:hAnsi="Arial"/>
                <w:color w:val="2C3E50"/>
                <w:sz w:val="20"/>
                <w:szCs w:val="20"/>
              </w:rPr>
              <w:t xml:space="preserve">③ Biochar / Charcoal — recalcitrant carbon from biofuel combustion and biochar production</w:t>
            </w:r>
          </w:p>
        </w:tc>
      </w:tr>
    </w:tbl>
    <w:p>
      <w:r>
        <w:br w:type="page"/>
      </w:r>
    </w:p>
    <w:p>
      <w:pPr>
        <w:pStyle w:val="Heading1"/>
        <w:spacing w:before="320" w:after="120"/>
      </w:pPr>
      <w:r>
        <w:rPr>
          <w:rFonts w:ascii="Arial" w:cs="Arial" w:eastAsia="Arial" w:hAnsi="Arial"/>
          <w:b/>
          <w:bCs/>
          <w:color w:val="1E3A5F"/>
          <w:sz w:val="32"/>
          <w:szCs w:val="32"/>
        </w:rPr>
        <w:t xml:space="preserve">2. System Architecture</w:t>
      </w:r>
    </w:p>
    <w:p>
      <w:pPr>
        <w:spacing w:before="60" w:after="100"/>
      </w:pPr>
      <w:r>
        <w:rPr>
          <w:rFonts w:ascii="Arial" w:cs="Arial" w:eastAsia="Arial" w:hAnsi="Arial"/>
          <w:sz w:val="22"/>
          <w:szCs w:val="22"/>
        </w:rPr>
        <w:t xml:space="preserve">WPsCT runs entirely in the browser using PyScript + Pyodide (Python 3.11 compiled to WebAssembly). No server, no installation, and no data leaves your computer. Plotly.js renders all charts interactively.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 / Module</w:t>
            </w:r>
          </w:p>
        </w:tc>
        <w:tc>
          <w:tcPr>
            <w:tcW w:type="dxa" w:w="180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Icon</w:t>
            </w:r>
          </w:p>
        </w:tc>
        <w:tc>
          <w:tcPr>
            <w:tcW w:type="dxa" w:w="476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Function</w:t>
            </w:r>
          </w:p>
        </w:tc>
      </w:tr>
      <w:tr>
        <w:tc>
          <w:tcPr>
            <w:tcW w:type="dxa" w:w="280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0"/>
                <w:szCs w:val="20"/>
              </w:rPr>
              <w:t xml:space="preserve">End-use Products</w:t>
            </w:r>
          </w:p>
        </w:tc>
        <w:tc>
          <w:tcPr>
            <w:tcW w:type="dxa" w:w="180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2"/>
                <w:szCs w:val="22"/>
              </w:rPr>
              <w:t xml:space="preserve">🏠</w:t>
            </w:r>
          </w:p>
        </w:tc>
        <w:tc>
          <w:tcPr>
            <w:tcW w:type="dxa" w:w="476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0"/>
                <w:szCs w:val="20"/>
              </w:rPr>
              <w:t xml:space="preserve">Full carbon life-cycle tracker (main module). Requires data + parameters CSV.</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Industrial Logs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2"/>
                <w:szCs w:val="22"/>
              </w:rPr>
              <w:t xml:space="preserve">🪵</w:t>
            </w:r>
          </w:p>
        </w:tc>
        <w:tc>
          <w:tcPr>
            <w:tcW w:type="dxa" w:w="4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Single-log carbon calculator from stem dimensions and wood type.</w:t>
            </w:r>
          </w:p>
        </w:tc>
      </w:tr>
      <w:tr>
        <w:tc>
          <w:tcPr>
            <w:tcW w:type="dxa" w:w="280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0"/>
                <w:szCs w:val="20"/>
              </w:rPr>
              <w:t xml:space="preserve">Sawn Products</w:t>
            </w:r>
          </w:p>
        </w:tc>
        <w:tc>
          <w:tcPr>
            <w:tcW w:type="dxa" w:w="180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2"/>
                <w:szCs w:val="22"/>
              </w:rPr>
              <w:t xml:space="preserve">📐</w:t>
            </w:r>
          </w:p>
        </w:tc>
        <w:tc>
          <w:tcPr>
            <w:tcW w:type="dxa" w:w="476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0"/>
                <w:szCs w:val="20"/>
              </w:rPr>
              <w:t xml:space="preserve">Carbon estimation for lumber, panels, engineered wood, and paper.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Global WPs Carbon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2"/>
                <w:szCs w:val="22"/>
              </w:rPr>
              <w:t xml:space="preserve">🌍</w:t>
            </w:r>
          </w:p>
        </w:tc>
        <w:tc>
          <w:tcPr>
            <w:tcW w:type="dxa" w:w="4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Country-level comparisons and benchmark charts.</w:t>
            </w:r>
          </w:p>
        </w:tc>
      </w:tr>
      <w:tr>
        <w:tc>
          <w:tcPr>
            <w:tcW w:type="dxa" w:w="280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0"/>
                <w:szCs w:val="20"/>
              </w:rPr>
              <w:t xml:space="preserve">Research &amp; Team</w:t>
            </w:r>
          </w:p>
        </w:tc>
        <w:tc>
          <w:tcPr>
            <w:tcW w:type="dxa" w:w="180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2"/>
                <w:szCs w:val="22"/>
              </w:rPr>
              <w:t xml:space="preserve">🌳</w:t>
            </w:r>
          </w:p>
        </w:tc>
        <w:tc>
          <w:tcPr>
            <w:tcW w:type="dxa" w:w="4760"/>
            <w:tcBorders>
              <w:top w:val="single" w:color="DDDDDD" w:sz="4"/>
              <w:left w:val="single" w:color="DDDDDD" w:sz="4"/>
              <w:bottom w:val="single" w:color="DDDDDD" w:sz="4"/>
              <w:right w:val="single" w:color="DDDDDD" w:sz="4"/>
            </w:tcBorders>
            <w:shd w:fill="F8FAFB" w:val="clear"/>
            <w:tcMar>
              <w:top w:type="dxa" w:w="80"/>
              <w:left w:type="dxa" w:w="140"/>
              <w:bottom w:type="dxa" w:w="80"/>
              <w:right w:type="dxa" w:w="140"/>
            </w:tcMar>
          </w:tcPr>
          <w:p>
            <w:r>
              <w:rPr>
                <w:rFonts w:ascii="Arial" w:cs="Arial" w:eastAsia="Arial" w:hAnsi="Arial"/>
                <w:sz w:val="20"/>
                <w:szCs w:val="20"/>
              </w:rPr>
              <w:t xml:space="preserve">Project information, funding, and publications.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User Guide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2"/>
                <w:szCs w:val="22"/>
              </w:rPr>
              <w:t xml:space="preserve">📖</w:t>
            </w:r>
          </w:p>
        </w:tc>
        <w:tc>
          <w:tcPr>
            <w:tcW w:type="dxa" w:w="4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This documentation — how to use each module.</w:t>
            </w:r>
          </w:p>
        </w:tc>
      </w:tr>
    </w:tbl>
    <w:p>
      <w:r>
        <w:br w:type="page"/>
      </w:r>
    </w:p>
    <w:p>
      <w:pPr>
        <w:pStyle w:val="Heading1"/>
        <w:spacing w:before="320" w:after="120"/>
      </w:pPr>
      <w:r>
        <w:rPr>
          <w:rFonts w:ascii="Arial" w:cs="Arial" w:eastAsia="Arial" w:hAnsi="Arial"/>
          <w:b/>
          <w:bCs/>
          <w:color w:val="1E3A5F"/>
          <w:sz w:val="32"/>
          <w:szCs w:val="32"/>
        </w:rPr>
        <w:t xml:space="preserve">3. Module 1 — End-use Products Carbon Tracker</w:t>
      </w:r>
    </w:p>
    <w:p>
      <w:pPr>
        <w:spacing w:before="60" w:after="100"/>
      </w:pPr>
      <w:r>
        <w:rPr>
          <w:rFonts w:ascii="Arial" w:cs="Arial" w:eastAsia="Arial" w:hAnsi="Arial"/>
          <w:sz w:val="22"/>
          <w:szCs w:val="22"/>
        </w:rPr>
        <w:t xml:space="preserve">This is the core module. It runs the full WPsCS Estimator model (Wei et al. 2023), tracking seven categories of wood products through disposal, recycling, landfill, and bioenergy pathways over a multi-decadal time series.</w:t>
      </w:r>
    </w:p>
    <w:p>
      <w:pPr>
        <w:pStyle w:val="Heading2"/>
        <w:spacing w:before="240" w:after="80"/>
      </w:pPr>
      <w:r>
        <w:rPr>
          <w:rFonts w:ascii="Arial" w:cs="Arial" w:eastAsia="Arial" w:hAnsi="Arial"/>
          <w:b/>
          <w:bCs/>
          <w:color w:val="2D6A4F"/>
          <w:sz w:val="26"/>
          <w:szCs w:val="26"/>
        </w:rPr>
        <w:t xml:space="preserve">3.1  Input Data CSV Format</w:t>
      </w:r>
    </w:p>
    <w:p>
      <w:pPr>
        <w:spacing w:before="60" w:after="100"/>
      </w:pPr>
      <w:r>
        <w:rPr>
          <w:rFonts w:ascii="Arial" w:cs="Arial" w:eastAsia="Arial" w:hAnsi="Arial"/>
          <w:sz w:val="22"/>
          <w:szCs w:val="22"/>
        </w:rPr>
        <w:t xml:space="preserve">The input data file must be a comma-separated values (.csv) file with the following structure: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980B9" w:sz="12"/>
              <w:left w:val="single" w:color="2980B9" w:sz="24"/>
              <w:bottom w:val="single" w:color="BBDDEE" w:sz="4"/>
              <w:right w:val="single" w:color="BBDDEE" w:sz="4"/>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Required: Input Data CSV</w:t>
            </w:r>
          </w:p>
          <w:p>
            <w:pPr>
              <w:spacing w:before="40" w:after="0"/>
            </w:pPr>
            <w:r>
              <w:rPr>
                <w:rFonts w:ascii="Arial" w:cs="Arial" w:eastAsia="Arial" w:hAnsi="Arial"/>
                <w:color w:val="2C3E50"/>
                <w:sz w:val="20"/>
                <w:szCs w:val="20"/>
              </w:rPr>
              <w:t xml:space="preserve">• First column: Year (integer, e.g. 1961, 1962 … 2020)</w:t>
            </w:r>
          </w:p>
          <w:p>
            <w:pPr>
              <w:spacing w:before="40" w:after="0"/>
            </w:pPr>
            <w:r>
              <w:rPr>
                <w:rFonts w:ascii="Arial" w:cs="Arial" w:eastAsia="Arial" w:hAnsi="Arial"/>
                <w:color w:val="2C3E50"/>
                <w:sz w:val="20"/>
                <w:szCs w:val="20"/>
              </w:rPr>
              <w:t xml:space="preserve">• Remaining columns: one per wood product category, in kg C per year</w:t>
            </w:r>
          </w:p>
          <w:p>
            <w:pPr>
              <w:spacing w:before="40" w:after="0"/>
            </w:pPr>
            <w:r>
              <w:rPr>
                <w:rFonts w:ascii="Arial" w:cs="Arial" w:eastAsia="Arial" w:hAnsi="Arial"/>
                <w:color w:val="2C3E50"/>
                <w:sz w:val="20"/>
                <w:szCs w:val="20"/>
              </w:rPr>
              <w:t xml:space="preserve">• Column header names must match exactly (case-sensitive)</w:t>
            </w:r>
          </w:p>
          <w:p>
            <w:pPr>
              <w:spacing w:before="40" w:after="0"/>
            </w:pPr>
            <w:r>
              <w:rPr>
                <w:rFonts w:ascii="Arial" w:cs="Arial" w:eastAsia="Arial" w:hAnsi="Arial"/>
                <w:color w:val="2C3E50"/>
                <w:sz w:val="20"/>
                <w:szCs w:val="20"/>
              </w:rPr>
              <w:t xml:space="preserve">• Missing product columns are allowed — that product is simply excluded</w:t>
            </w:r>
          </w:p>
          <w:p>
            <w:pPr>
              <w:spacing w:before="40" w:after="0"/>
            </w:pPr>
            <w:r>
              <w:rPr>
                <w:rFonts w:ascii="Arial" w:cs="Arial" w:eastAsia="Arial" w:hAnsi="Arial"/>
                <w:color w:val="2C3E50"/>
                <w:sz w:val="20"/>
                <w:szCs w:val="20"/>
              </w:rPr>
              <w:t xml:space="preserve">• Values must be in kilograms of carbon (kg C), not dry biomass weight</w:t>
            </w:r>
          </w:p>
        </w:tc>
      </w:tr>
    </w:tbl>
    <w:p>
      <w:pPr>
        <w:spacing w:before="80" w:after="0"/>
      </w:pPr>
    </w:p>
    <w:p>
      <w:pPr>
        <w:pStyle w:val="Heading3"/>
        <w:spacing w:before="180" w:after="60"/>
      </w:pPr>
      <w:r>
        <w:rPr>
          <w:rFonts w:ascii="Arial" w:cs="Arial" w:eastAsia="Arial" w:hAnsi="Arial"/>
          <w:b/>
          <w:bCs/>
          <w:color w:val="374151"/>
          <w:sz w:val="22"/>
          <w:szCs w:val="22"/>
        </w:rPr>
        <w:t xml:space="preserve">Required Column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 Name</w:t>
            </w:r>
          </w:p>
        </w:tc>
        <w:tc>
          <w:tcPr>
            <w:tcW w:type="dxa" w:w="160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 Pool</w:t>
            </w:r>
          </w:p>
        </w:tc>
        <w:tc>
          <w:tcPr>
            <w:tcW w:type="dxa" w:w="556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Year</w:t>
            </w:r>
          </w:p>
        </w:tc>
        <w:tc>
          <w:tcPr>
            <w:tcW w:type="dxa" w:w="16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w:t>
            </w:r>
          </w:p>
        </w:tc>
        <w:tc>
          <w:tcPr>
            <w:tcW w:type="dxa" w:w="556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Calendar year (integer). Required.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Biofuel</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Bioenergy</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Annual biofuel combustion (kg C/yr). Includes industrial + residential fuel wood.</w:t>
            </w:r>
          </w:p>
        </w:tc>
      </w:tr>
      <w:tr>
        <w:tc>
          <w:tcPr>
            <w:tcW w:type="dxa" w:w="22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Biochar</w:t>
            </w:r>
          </w:p>
        </w:tc>
        <w:tc>
          <w:tcPr>
            <w:tcW w:type="dxa" w:w="16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Charcoal</w:t>
            </w:r>
          </w:p>
        </w:tc>
        <w:tc>
          <w:tcPr>
            <w:tcW w:type="dxa" w:w="556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Non-energy use biochar production (kg C/yr).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End-use</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Wood products in building construction — sawnwood, structural panels (kg C/yr).</w:t>
            </w:r>
          </w:p>
        </w:tc>
      </w:tr>
      <w:tr>
        <w:tc>
          <w:tcPr>
            <w:tcW w:type="dxa" w:w="22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Exterior</w:t>
            </w:r>
          </w:p>
        </w:tc>
        <w:tc>
          <w:tcPr>
            <w:tcW w:type="dxa" w:w="16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End-use</w:t>
            </w:r>
          </w:p>
        </w:tc>
        <w:tc>
          <w:tcPr>
            <w:tcW w:type="dxa" w:w="556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Exterior-use products — railway ties, wood decking, dock materials (kg C/yr).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End-use</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Home application products — furniture, flooring, interior millwork (kg C/yr).</w:t>
            </w:r>
          </w:p>
        </w:tc>
      </w:tr>
      <w:tr>
        <w:tc>
          <w:tcPr>
            <w:tcW w:type="dxa" w:w="22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Graphic Paper</w:t>
            </w:r>
          </w:p>
        </w:tc>
        <w:tc>
          <w:tcPr>
            <w:tcW w:type="dxa" w:w="16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End-use</w:t>
            </w:r>
          </w:p>
        </w:tc>
        <w:tc>
          <w:tcPr>
            <w:tcW w:type="dxa" w:w="556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Newspaper, printing &amp; writing paper (kg C/yr).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Other Paper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End-use</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Packaging, cardboard, packing paper (kg C/yr).</w:t>
            </w:r>
          </w:p>
        </w:tc>
      </w:tr>
      <w:tr>
        <w:tc>
          <w:tcPr>
            <w:tcW w:type="dxa" w:w="22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 Paper</w:t>
            </w:r>
          </w:p>
        </w:tc>
        <w:tc>
          <w:tcPr>
            <w:tcW w:type="dxa" w:w="16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End-use</w:t>
            </w:r>
          </w:p>
        </w:tc>
        <w:tc>
          <w:tcPr>
            <w:tcW w:type="dxa" w:w="556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r>
              <w:rPr>
                <w:rFonts w:ascii="Arial" w:cs="Arial" w:eastAsia="Arial" w:hAnsi="Arial"/>
                <w:sz w:val="20"/>
                <w:szCs w:val="20"/>
              </w:rPr>
              <w:t xml:space="preserve">Tissue, toweling, sanitary paper (kg C/yr). No recycling pathway.</w:t>
            </w:r>
          </w:p>
        </w:tc>
      </w:tr>
    </w:tbl>
    <w:p>
      <w:pPr>
        <w:spacing w:before="100" w:after="0"/>
      </w:pPr>
    </w:p>
    <w:p>
      <w:pPr>
        <w:pStyle w:val="Heading3"/>
        <w:spacing w:before="180" w:after="60"/>
      </w:pPr>
      <w:r>
        <w:rPr>
          <w:rFonts w:ascii="Arial" w:cs="Arial" w:eastAsia="Arial" w:hAnsi="Arial"/>
          <w:b/>
          <w:bCs/>
          <w:color w:val="374151"/>
          <w:sz w:val="22"/>
          <w:szCs w:val="22"/>
        </w:rPr>
        <w:t xml:space="preserve">Example Input CSV (first three rows)</w:t>
      </w:r>
    </w:p>
    <w:p>
      <w:pPr>
        <w:spacing w:before="60" w:after="100"/>
      </w:pPr>
      <w:r>
        <w:rPr>
          <w:rFonts w:ascii="Arial" w:cs="Arial" w:eastAsia="Arial" w:hAnsi="Arial"/>
          <w:b/>
          <w:bCs/>
          <w:sz w:val="22"/>
          <w:szCs w:val="22"/>
        </w:rPr>
        <w:t xml:space="preserve">Note: </w:t>
      </w:r>
      <w:r>
        <w:rPr>
          <w:rFonts w:ascii="Arial" w:cs="Arial" w:eastAsia="Arial" w:hAnsi="Arial"/>
          <w:sz w:val="22"/>
          <w:szCs w:val="22"/>
        </w:rPr>
        <w:t xml:space="preserve">Values are in kg C per year. The example below shows Maine, USA data from 1961.</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900"/>
        <w:gridCol w:w="1150"/>
        <w:gridCol w:w="900"/>
        <w:gridCol w:w="1000"/>
        <w:gridCol w:w="1150"/>
        <w:gridCol w:w="1110"/>
        <w:gridCol w:w="1400"/>
      </w:tblGrid>
      <w:tr>
        <w:tc>
          <w:tcPr>
            <w:tcW w:type="dxa" w:w="70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w:t>
            </w:r>
          </w:p>
        </w:tc>
        <w:tc>
          <w:tcPr>
            <w:tcW w:type="dxa" w:w="105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Biofuel</w:t>
            </w:r>
          </w:p>
        </w:tc>
        <w:tc>
          <w:tcPr>
            <w:tcW w:type="dxa" w:w="90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Biochar</w:t>
            </w:r>
          </w:p>
        </w:tc>
        <w:tc>
          <w:tcPr>
            <w:tcW w:type="dxa" w:w="115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Construction</w:t>
            </w:r>
          </w:p>
        </w:tc>
        <w:tc>
          <w:tcPr>
            <w:tcW w:type="dxa" w:w="90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Exterior</w:t>
            </w:r>
          </w:p>
        </w:tc>
        <w:tc>
          <w:tcPr>
            <w:tcW w:type="dxa" w:w="100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Household</w:t>
            </w:r>
          </w:p>
        </w:tc>
        <w:tc>
          <w:tcPr>
            <w:tcW w:type="dxa" w:w="115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Graphic
Paper</w:t>
            </w:r>
          </w:p>
        </w:tc>
        <w:tc>
          <w:tcPr>
            <w:tcW w:type="dxa" w:w="111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Other
Paper</w:t>
            </w:r>
          </w:p>
        </w:tc>
        <w:tc>
          <w:tcPr>
            <w:tcW w:type="dxa" w:w="1400"/>
            <w:tcBorders>
              <w:top w:val="single" w:color="DDDDDD" w:sz="4"/>
              <w:left w:val="single" w:color="DDDDDD" w:sz="4"/>
              <w:bottom w:val="single" w:color="DDDDDD" w:sz="4"/>
              <w:right w:val="single" w:color="DDDDDD" w:sz="4"/>
            </w:tcBorders>
            <w:shd w:fill="2C3E5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Household
Paper</w:t>
            </w:r>
          </w:p>
        </w:tc>
      </w:tr>
      <w:tr>
        <w:tc>
          <w:tcPr>
            <w:tcW w:type="dxa" w:w="7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1961</w:t>
            </w:r>
          </w:p>
        </w:tc>
        <w:tc>
          <w:tcPr>
            <w:tcW w:type="dxa" w:w="105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285763275</w:t>
            </w:r>
          </w:p>
        </w:tc>
        <w:tc>
          <w:tcPr>
            <w:tcW w:type="dxa" w:w="9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12447848</w:t>
            </w:r>
          </w:p>
        </w:tc>
        <w:tc>
          <w:tcPr>
            <w:tcW w:type="dxa" w:w="115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179817095</w:t>
            </w:r>
          </w:p>
        </w:tc>
        <w:tc>
          <w:tcPr>
            <w:tcW w:type="dxa" w:w="9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74300620</w:t>
            </w:r>
          </w:p>
        </w:tc>
        <w:tc>
          <w:tcPr>
            <w:tcW w:type="dxa" w:w="10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194099473</w:t>
            </w:r>
          </w:p>
        </w:tc>
        <w:tc>
          <w:tcPr>
            <w:tcW w:type="dxa" w:w="115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173635256</w:t>
            </w:r>
          </w:p>
        </w:tc>
        <w:tc>
          <w:tcPr>
            <w:tcW w:type="dxa" w:w="111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264196012</w:t>
            </w:r>
          </w:p>
        </w:tc>
        <w:tc>
          <w:tcPr>
            <w:tcW w:type="dxa" w:w="14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59754273</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1962</w:t>
            </w:r>
          </w:p>
        </w:tc>
        <w:tc>
          <w:tcPr>
            <w:tcW w:type="dxa" w:w="10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282588127</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12004344</w:t>
            </w:r>
          </w:p>
        </w:tc>
        <w:tc>
          <w:tcPr>
            <w:tcW w:type="dxa" w:w="11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188776252</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99492208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170293682</w:t>
            </w:r>
          </w:p>
        </w:tc>
        <w:tc>
          <w:tcPr>
            <w:tcW w:type="dxa" w:w="11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169884777</w:t>
            </w:r>
          </w:p>
        </w:tc>
        <w:tc>
          <w:tcPr>
            <w:tcW w:type="dxa" w:w="111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270564088</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56458287</w:t>
            </w:r>
          </w:p>
        </w:tc>
      </w:tr>
      <w:tr>
        <w:tc>
          <w:tcPr>
            <w:tcW w:type="dxa" w:w="7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1963</w:t>
            </w:r>
          </w:p>
        </w:tc>
        <w:tc>
          <w:tcPr>
            <w:tcW w:type="dxa" w:w="105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293701143</w:t>
            </w:r>
          </w:p>
        </w:tc>
        <w:tc>
          <w:tcPr>
            <w:tcW w:type="dxa" w:w="9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17763045</w:t>
            </w:r>
          </w:p>
        </w:tc>
        <w:tc>
          <w:tcPr>
            <w:tcW w:type="dxa" w:w="115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189602353</w:t>
            </w:r>
          </w:p>
        </w:tc>
        <w:tc>
          <w:tcPr>
            <w:tcW w:type="dxa" w:w="9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71383467</w:t>
            </w:r>
          </w:p>
        </w:tc>
        <w:tc>
          <w:tcPr>
            <w:tcW w:type="dxa" w:w="10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163003331</w:t>
            </w:r>
          </w:p>
        </w:tc>
        <w:tc>
          <w:tcPr>
            <w:tcW w:type="dxa" w:w="115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179487717</w:t>
            </w:r>
          </w:p>
        </w:tc>
        <w:tc>
          <w:tcPr>
            <w:tcW w:type="dxa" w:w="111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297712001</w:t>
            </w:r>
          </w:p>
        </w:tc>
        <w:tc>
          <w:tcPr>
            <w:tcW w:type="dxa" w:w="14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right"/>
            </w:pPr>
            <w:r>
              <w:rPr>
                <w:rFonts w:ascii="Courier New" w:cs="Courier New" w:eastAsia="Courier New" w:hAnsi="Courier New"/>
                <w:color w:val="1a1a1a"/>
                <w:sz w:val="20"/>
                <w:szCs w:val="20"/>
              </w:rPr>
              <w:t xml:space="preserve">55771351</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980B9" w:sz="12"/>
              <w:left w:val="single" w:color="2980B9" w:sz="24"/>
              <w:bottom w:val="single" w:color="BBDDEE" w:sz="4"/>
              <w:right w:val="single" w:color="BBDDEE" w:sz="4"/>
            </w:tcBorders>
            <w:shd w:fill="FFF8E1" w:val="clear"/>
            <w:tcMar>
              <w:top w:type="dxa" w:w="120"/>
              <w:left w:type="dxa" w:w="200"/>
              <w:bottom w:type="dxa" w:w="120"/>
              <w:right w:type="dxa" w:w="200"/>
            </w:tcMar>
          </w:tcPr>
          <w:p>
            <w:r>
              <w:rPr>
                <w:rFonts w:ascii="Arial" w:cs="Arial" w:eastAsia="Arial" w:hAnsi="Arial"/>
                <w:b/>
                <w:bCs/>
                <w:color w:val="7B341E"/>
                <w:sz w:val="22"/>
                <w:szCs w:val="22"/>
              </w:rPr>
              <w:t xml:space="preserve">System Boundary Options</w:t>
            </w:r>
          </w:p>
          <w:p>
            <w:pPr>
              <w:spacing w:before="40" w:after="0"/>
            </w:pPr>
            <w:r>
              <w:rPr>
                <w:rFonts w:ascii="Arial" w:cs="Arial" w:eastAsia="Arial" w:hAnsi="Arial"/>
                <w:color w:val="2C3E50"/>
                <w:sz w:val="20"/>
                <w:szCs w:val="20"/>
              </w:rPr>
              <w:t xml:space="preserve">Production approach: all carbon in wood products made from timber harvested in the study region,</w:t>
            </w:r>
          </w:p>
          <w:p>
            <w:pPr>
              <w:spacing w:before="40" w:after="0"/>
            </w:pPr>
            <w:r>
              <w:rPr>
                <w:rFonts w:ascii="Arial" w:cs="Arial" w:eastAsia="Arial" w:hAnsi="Arial"/>
                <w:color w:val="2C3E50"/>
                <w:sz w:val="20"/>
                <w:szCs w:val="20"/>
              </w:rPr>
              <w:t xml:space="preserve">  regardless of where the products are ultimately used. (Used in the Maine case study.)</w:t>
            </w:r>
          </w:p>
          <w:p>
            <w:pPr>
              <w:spacing w:before="40" w:after="0"/>
            </w:pPr>
            <w:r>
              <w:rPr>
                <w:rFonts w:ascii="Arial" w:cs="Arial" w:eastAsia="Arial" w:hAnsi="Arial"/>
                <w:color w:val="2C3E50"/>
                <w:sz w:val="20"/>
                <w:szCs w:val="20"/>
              </w:rPr>
              <w:t xml:space="preserve">Stock-change approach: carbon in wood products physically consumed and stored within the study</w:t>
            </w:r>
          </w:p>
          <w:p>
            <w:pPr>
              <w:spacing w:before="40" w:after="0"/>
            </w:pPr>
            <w:r>
              <w:rPr>
                <w:rFonts w:ascii="Arial" w:cs="Arial" w:eastAsia="Arial" w:hAnsi="Arial"/>
                <w:color w:val="2C3E50"/>
                <w:sz w:val="20"/>
                <w:szCs w:val="20"/>
              </w:rPr>
              <w:t xml:space="preserve">  area, including imports but excluding exports. (Used in the US case study.)</w:t>
            </w:r>
          </w:p>
          <w:p>
            <w:pPr>
              <w:spacing w:before="40" w:after="0"/>
            </w:pPr>
            <w:r>
              <w:rPr>
                <w:rFonts w:ascii="Arial" w:cs="Arial" w:eastAsia="Arial" w:hAnsi="Arial"/>
                <w:color w:val="2C3E50"/>
                <w:sz w:val="20"/>
                <w:szCs w:val="20"/>
              </w:rPr>
              <w:t xml:space="preserve">Select the approach that matches your data source. Both use the same CSV format.</w:t>
            </w:r>
          </w:p>
        </w:tc>
      </w:tr>
    </w:tbl>
    <w:p>
      <w:pPr>
        <w:pStyle w:val="Heading2"/>
        <w:spacing w:before="240" w:after="80"/>
      </w:pPr>
      <w:r>
        <w:rPr>
          <w:rFonts w:ascii="Arial" w:cs="Arial" w:eastAsia="Arial" w:hAnsi="Arial"/>
          <w:b/>
          <w:bCs/>
          <w:color w:val="2D6A4F"/>
          <w:sz w:val="26"/>
          <w:szCs w:val="26"/>
        </w:rPr>
        <w:t xml:space="preserve">3.2  Parameters CSV Format</w:t>
      </w:r>
    </w:p>
    <w:p>
      <w:pPr>
        <w:spacing w:before="60" w:after="100"/>
      </w:pPr>
      <w:r>
        <w:rPr>
          <w:rFonts w:ascii="Arial" w:cs="Arial" w:eastAsia="Arial" w:hAnsi="Arial"/>
          <w:sz w:val="22"/>
          <w:szCs w:val="22"/>
        </w:rPr>
        <w:t xml:space="preserve">The parameters file controls the rates for disposal, recycling, and landfill decomposition for each product type. The default parameters are from Wei et al. (2023) (Table 1) and are suitable for United States data. For other regions, parameters can be calibrated from published life cycle inventories or expert surveys.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980B9" w:sz="12"/>
              <w:left w:val="single" w:color="2980B9" w:sz="24"/>
              <w:bottom w:val="single" w:color="BBDDEE" w:sz="4"/>
              <w:right w:val="single" w:color="BBDDEE" w:sz="4"/>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Required: Parameters CSV</w:t>
            </w:r>
          </w:p>
          <w:p>
            <w:pPr>
              <w:spacing w:before="40" w:after="0"/>
            </w:pPr>
            <w:r>
              <w:rPr>
                <w:rFonts w:ascii="Arial" w:cs="Arial" w:eastAsia="Arial" w:hAnsi="Arial"/>
                <w:color w:val="2C3E50"/>
                <w:sz w:val="20"/>
                <w:szCs w:val="20"/>
              </w:rPr>
              <w:t xml:space="preserve">• Three columns exactly: Product, Variable, Parameter</w:t>
            </w:r>
          </w:p>
          <w:p>
            <w:pPr>
              <w:spacing w:before="40" w:after="0"/>
            </w:pPr>
            <w:r>
              <w:rPr>
                <w:rFonts w:ascii="Arial" w:cs="Arial" w:eastAsia="Arial" w:hAnsi="Arial"/>
                <w:color w:val="2C3E50"/>
                <w:sz w:val="20"/>
                <w:szCs w:val="20"/>
              </w:rPr>
              <w:t xml:space="preserve">• Product names must match the input data column names</w:t>
            </w:r>
          </w:p>
          <w:p>
            <w:pPr>
              <w:spacing w:before="40" w:after="0"/>
            </w:pPr>
            <w:r>
              <w:rPr>
                <w:rFonts w:ascii="Arial" w:cs="Arial" w:eastAsia="Arial" w:hAnsi="Arial"/>
                <w:color w:val="2C3E50"/>
                <w:sz w:val="20"/>
                <w:szCs w:val="20"/>
              </w:rPr>
              <w:t xml:space="preserve">• Variable names must match exactly as shown in the table below</w:t>
            </w:r>
          </w:p>
          <w:p>
            <w:pPr>
              <w:spacing w:before="40" w:after="0"/>
            </w:pPr>
            <w:r>
              <w:rPr>
                <w:rFonts w:ascii="Arial" w:cs="Arial" w:eastAsia="Arial" w:hAnsi="Arial"/>
                <w:color w:val="2C3E50"/>
                <w:sz w:val="20"/>
                <w:szCs w:val="20"/>
              </w:rPr>
              <w:t xml:space="preserve">• Parameter values are dimensionless fractions, rates, or years as documented</w:t>
            </w:r>
          </w:p>
        </w:tc>
      </w:tr>
    </w:tbl>
    <w:p>
      <w:pPr>
        <w:spacing w:before="80" w:after="0"/>
      </w:pPr>
    </w:p>
    <w:p>
      <w:pPr>
        <w:pStyle w:val="Heading3"/>
        <w:spacing w:before="180" w:after="60"/>
      </w:pPr>
      <w:r>
        <w:rPr>
          <w:rFonts w:ascii="Arial" w:cs="Arial" w:eastAsia="Arial" w:hAnsi="Arial"/>
          <w:b/>
          <w:bCs/>
          <w:color w:val="374151"/>
          <w:sz w:val="22"/>
          <w:szCs w:val="22"/>
        </w:rPr>
        <w:t xml:space="preserve">Parameters Table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160"/>
        <w:gridCol w:w="4600"/>
      </w:tblGrid>
      <w:tr>
        <w:tc>
          <w:tcPr>
            <w:tcW w:type="dxa" w:w="210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150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116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 Value</w:t>
            </w:r>
          </w:p>
        </w:tc>
        <w:tc>
          <w:tcPr>
            <w:tcW w:type="dxa" w:w="4600"/>
            <w:tcBorders>
              <w:top w:val="single" w:color="DDDDDD" w:sz="4"/>
              <w:left w:val="single" w:color="DDDDDD" w:sz="4"/>
              <w:bottom w:val="single" w:color="DDDDDD" w:sz="4"/>
              <w:right w:val="single" w:color="DDDDDD"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Biofuel</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efficiency</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1.0 (96%)</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Combustion efficiency (fraction 0–1). Remainder becomes charcoal. Default = 0.96 in paper; set to 1.0 to disable charcoal from biofuel.</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Biochar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decay_1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0.007</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Basic annual charcoal loss rate τ (Eq. 1). Represents baseline decay + re-burn rate.</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Biochar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decay_2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0.0003</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Pool-size related charcoal loss rate σ (Eq. 1). Scales with ln(pool size).</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0.133</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Disposal rate coefficient α (Eq. 2). Amplitude of the Gaussian disposal curve.</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0.028</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Disposal rate coefficient β (Eq. 2). Controls the width of the disposal curve.</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disposal_3</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80</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Service half-life γ (years). Average time until 50% of construction products are disposed (Eq. 2–3).</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recycle_1</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0.085</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Initial recycling rate λ (fraction) at year 1 (Eq. 4).</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recycle_2</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0.015</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Recycling advancement rate μ (Eq. 4). Accounts for improving recycling technology over time.</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Exterior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disposal_1</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0.326</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Disposal rate coefficient α — exterior products (e.g. railway ties) have shorter service life.</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Exterior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disposal_2</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0.041</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Disposal rate coefficient β — exterior.</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Exterior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disposal_3</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25</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Service half-life γ = 25 years for exterior products. No recycling pathway.</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0.265</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Disposal rate coefficient α — household furniture / flooring.</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0.031</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Disposal rate coefficient β — household.</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disposal_3</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30</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Service half-life γ = 30 years for household furniture and flooring.</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recycle_1</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0.085</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Initial recycling rate λ — same as construction (EPA solid wood recycling data).</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recycle_2</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0.015</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Recycling advancement rate μ — household.</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Graphic Paper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disposal_1</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1.006</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Disposal rate α — graphic/printing paper (short service life).</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Graphic Paper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disposal_2</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Disposal rate β = 0 (simplified single-parameter model for paper).</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Graphic Paper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disposal_3</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6</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Service half-life γ = 6 years for graphic/printing paper.</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Graphic Paper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0.225</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Initial paper recycling rate λ = 22.5% (1961 EPA baseline).</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Graphic Paper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0.027</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Paper recycling advancement rate μ (rate increased to ~33.5% by 2020).</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Other Paper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6.036</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Disposal rate α — packing/cardboard paper (very fast turnover).</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Other Paper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Disposal rate β = 0.</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Other Paper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disposal_3</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1</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Service half-life γ = 1 year for packaging paper.</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Other Paper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recycle_1</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0.225</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Same recycling model as graphic paper.</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Other Paper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recycle_2</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0.027</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Same recycling advancement as graphic paper.</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 Paper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disposal_1</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12.036</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Disposal rate α — tissue/sanitary paper (essentially single-use, sub-year disposal).</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 Paper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disposal_2</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0.0</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Disposal rate β = 0.</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Household Paper</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disposal_3</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0.5</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Service half-life γ = 0.5 years. No recycling pathway for household paper.</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con_decay1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0.997</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Landfill decay ξ for construction waste (log-normal model, Eq. 5). Basic decay rate parameter.</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con_decay2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30</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Landfill turnover time ω (years) for construction waste. Time for complete decomposition.</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ext_decay1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1.178</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Landfill decay ξ for exterior-use waste.</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ext_decay2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20</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Landfill turnover time ω = 20 years for exterior waste.</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hou_decay1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1.329</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Landfill decay ξ for household wood waste.</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hou_decay2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15</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Landfill turnover time ω = 15 years for household waste.</w:t>
            </w:r>
          </w:p>
        </w:tc>
      </w:tr>
      <w:tr>
        <w:tc>
          <w:tcPr>
            <w:tcW w:type="dxa" w:w="21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pap_decay1</w:t>
            </w:r>
          </w:p>
        </w:tc>
        <w:tc>
          <w:tcPr>
            <w:tcW w:type="dxa" w:w="1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0.821</w:t>
            </w:r>
          </w:p>
        </w:tc>
        <w:tc>
          <w:tcPr>
            <w:tcW w:type="dxa" w:w="4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Landfill decay ξ for all paper products combined.</w:t>
            </w:r>
          </w:p>
        </w:tc>
      </w:tr>
      <w:tr>
        <w:tc>
          <w:tcPr>
            <w:tcW w:type="dxa" w:w="21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Landfill</w:t>
            </w:r>
          </w:p>
        </w:tc>
        <w:tc>
          <w:tcPr>
            <w:tcW w:type="dxa" w:w="15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pap_decay2</w:t>
            </w:r>
          </w:p>
        </w:tc>
        <w:tc>
          <w:tcPr>
            <w:tcW w:type="dxa" w:w="116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pPr>
              <w:jc w:val="center"/>
            </w:pPr>
            <w:r>
              <w:rPr>
                <w:rFonts w:ascii="Courier New" w:cs="Courier New" w:eastAsia="Courier New" w:hAnsi="Courier New"/>
                <w:color w:val="1a1a1a"/>
                <w:sz w:val="20"/>
                <w:szCs w:val="20"/>
              </w:rPr>
              <w:t xml:space="preserve">5</w:t>
            </w:r>
          </w:p>
        </w:tc>
        <w:tc>
          <w:tcPr>
            <w:tcW w:type="dxa" w:w="4600"/>
            <w:tcBorders>
              <w:top w:val="single" w:color="DDDDDD" w:sz="4"/>
              <w:left w:val="single" w:color="DDDDDD" w:sz="4"/>
              <w:bottom w:val="single" w:color="DDDDDD" w:sz="4"/>
              <w:right w:val="single" w:color="DDDDDD" w:sz="4"/>
            </w:tcBorders>
            <w:shd w:fill="F0F9FF" w:val="clear"/>
            <w:tcMar>
              <w:top w:type="dxa" w:w="80"/>
              <w:left w:type="dxa" w:w="140"/>
              <w:bottom w:type="dxa" w:w="80"/>
              <w:right w:type="dxa" w:w="140"/>
            </w:tcMar>
          </w:tcPr>
          <w:p>
            <w:r>
              <w:rPr>
                <w:rFonts w:ascii="Arial" w:cs="Arial" w:eastAsia="Arial" w:hAnsi="Arial"/>
                <w:sz w:val="20"/>
                <w:szCs w:val="20"/>
              </w:rPr>
              <w:t xml:space="preserve">Landfill turnover time ω = 5 years for paper in landfill.</w:t>
            </w:r>
          </w:p>
        </w:tc>
      </w:tr>
    </w:tbl>
    <w:p>
      <w:pPr>
        <w:spacing w:before="80" w:after="0"/>
      </w:pPr>
    </w:p>
    <w:p>
      <w:pPr>
        <w:pStyle w:val="Heading3"/>
        <w:spacing w:before="180" w:after="60"/>
      </w:pPr>
      <w:r>
        <w:rPr>
          <w:rFonts w:ascii="Arial" w:cs="Arial" w:eastAsia="Arial" w:hAnsi="Arial"/>
          <w:b/>
          <w:bCs/>
          <w:color w:val="374151"/>
          <w:sz w:val="22"/>
          <w:szCs w:val="22"/>
        </w:rPr>
        <w:t xml:space="preserve">Example Parameters CSV</w:t>
      </w:r>
    </w:p>
    <w:p>
      <w:pPr>
        <w:spacing w:before="60" w:after="100"/>
      </w:pPr>
      <w:r>
        <w:rPr>
          <w:rFonts w:ascii="Arial" w:cs="Arial" w:eastAsia="Arial" w:hAnsi="Arial"/>
          <w:sz w:val="22"/>
          <w:szCs w:val="22"/>
        </w:rPr>
        <w:t xml:space="preserve">The first few rows of a valid parameters CSV file:</w:t>
      </w:r>
    </w:p>
    <w:p>
      <w:pPr>
        <w:spacing w:before="4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tblGrid>
      <w:tr>
        <w:tc>
          <w:tcPr>
            <w:tcW w:type="dxa" w:w="2400"/>
            <w:tcBorders>
              <w:top w:val="single" w:color="DDDDDD" w:sz="4"/>
              <w:left w:val="single" w:color="DDDDDD" w:sz="4"/>
              <w:bottom w:val="single" w:color="DDDDDD" w:sz="4"/>
              <w:right w:val="single" w:color="DDDDDD" w:sz="4"/>
            </w:tcBorders>
            <w:shd w:fill="37415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2000"/>
            <w:tcBorders>
              <w:top w:val="single" w:color="DDDDDD" w:sz="4"/>
              <w:left w:val="single" w:color="DDDDDD" w:sz="4"/>
              <w:bottom w:val="single" w:color="DDDDDD" w:sz="4"/>
              <w:right w:val="single" w:color="DDDDDD" w:sz="4"/>
            </w:tcBorders>
            <w:shd w:fill="37415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2800"/>
            <w:tcBorders>
              <w:top w:val="single" w:color="DDDDDD" w:sz="4"/>
              <w:left w:val="single" w:color="DDDDDD" w:sz="4"/>
              <w:bottom w:val="single" w:color="DDDDDD" w:sz="4"/>
              <w:right w:val="single" w:color="DDDDDD" w:sz="4"/>
            </w:tcBorders>
            <w:shd w:fill="37415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r>
      <w:tr>
        <w:tc>
          <w:tcPr>
            <w:tcW w:type="dxa" w:w="24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Biofuel</w:t>
            </w:r>
          </w:p>
        </w:tc>
        <w:tc>
          <w:tcPr>
            <w:tcW w:type="dxa" w:w="20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efficiency</w:t>
            </w:r>
          </w:p>
        </w:tc>
        <w:tc>
          <w:tcPr>
            <w:tcW w:type="dxa" w:w="28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1</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Biochar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decay_1</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0.007</w:t>
            </w:r>
          </w:p>
        </w:tc>
      </w:tr>
      <w:tr>
        <w:tc>
          <w:tcPr>
            <w:tcW w:type="dxa" w:w="24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Biochar</w:t>
            </w:r>
          </w:p>
        </w:tc>
        <w:tc>
          <w:tcPr>
            <w:tcW w:type="dxa" w:w="20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decay_2</w:t>
            </w:r>
          </w:p>
        </w:tc>
        <w:tc>
          <w:tcPr>
            <w:tcW w:type="dxa" w:w="28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0.0003</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disposal_1</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0.133</w:t>
            </w:r>
          </w:p>
        </w:tc>
      </w:tr>
      <w:tr>
        <w:tc>
          <w:tcPr>
            <w:tcW w:type="dxa" w:w="24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20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disposal_2</w:t>
            </w:r>
          </w:p>
        </w:tc>
        <w:tc>
          <w:tcPr>
            <w:tcW w:type="dxa" w:w="28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0.028</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disposal_3</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80</w:t>
            </w:r>
          </w:p>
        </w:tc>
      </w:tr>
      <w:tr>
        <w:tc>
          <w:tcPr>
            <w:tcW w:type="dxa" w:w="24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Construction</w:t>
            </w:r>
          </w:p>
        </w:tc>
        <w:tc>
          <w:tcPr>
            <w:tcW w:type="dxa" w:w="20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recycle_1</w:t>
            </w:r>
          </w:p>
        </w:tc>
        <w:tc>
          <w:tcPr>
            <w:tcW w:type="dxa" w:w="2800"/>
            <w:tcBorders>
              <w:top w:val="single" w:color="DDDDDD" w:sz="4"/>
              <w:left w:val="single" w:color="DDDDDD" w:sz="4"/>
              <w:bottom w:val="single" w:color="DDDDDD" w:sz="4"/>
              <w:right w:val="single" w:color="DDDDDD" w:sz="4"/>
            </w:tcBorders>
            <w:shd w:fill="F8F9FA"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0.085</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ourier New" w:cs="Courier New" w:eastAsia="Courier New" w:hAnsi="Courier New"/>
                <w:color w:val="1a1a1a"/>
                <w:sz w:val="20"/>
                <w:szCs w:val="20"/>
              </w:rPr>
              <w:t xml:space="preserve">…</w:t>
            </w:r>
          </w:p>
        </w:tc>
      </w:tr>
    </w:tbl>
    <w:p>
      <w:r>
        <w:br w:type="page"/>
      </w:r>
    </w:p>
    <w:p>
      <w:pPr>
        <w:pStyle w:val="Heading2"/>
        <w:spacing w:before="240" w:after="80"/>
      </w:pPr>
      <w:r>
        <w:rPr>
          <w:rFonts w:ascii="Arial" w:cs="Arial" w:eastAsia="Arial" w:hAnsi="Arial"/>
          <w:b/>
          <w:bCs/>
          <w:color w:val="2D6A4F"/>
          <w:sz w:val="26"/>
          <w:szCs w:val="26"/>
        </w:rPr>
        <w:t xml:space="preserve">3.3  Step-by-Step Workflow</w:t>
      </w:r>
    </w:p>
    <w:p>
      <w:pPr>
        <w:spacing w:before="40" w:after="0"/>
      </w:pPr>
    </w:p>
    <w:p>
      <w:pPr>
        <w:pStyle w:val="ListParagraph"/>
        <w:numPr>
          <w:ilvl w:val="0"/>
          <w:numId w:val="2"/>
        </w:numPr>
        <w:spacing w:before="40" w:after="60"/>
      </w:pPr>
      <w:r>
        <w:rPr>
          <w:rFonts w:ascii="Arial" w:cs="Arial" w:eastAsia="Arial" w:hAnsi="Arial"/>
          <w:sz w:val="22"/>
          <w:szCs w:val="22"/>
        </w:rPr>
        <w:t xml:space="preserve">Open the tracker in your browser. An internet connection is required on first load to download the Python runtime (~50 MB). Subsequent uses can be offline.</w:t>
      </w:r>
    </w:p>
    <w:p>
      <w:pPr>
        <w:pStyle w:val="ListParagraph"/>
        <w:numPr>
          <w:ilvl w:val="0"/>
          <w:numId w:val="2"/>
        </w:numPr>
        <w:spacing w:before="40" w:after="60"/>
      </w:pPr>
      <w:r>
        <w:rPr>
          <w:rFonts w:ascii="Arial" w:cs="Arial" w:eastAsia="Arial" w:hAnsi="Arial"/>
          <w:sz w:val="22"/>
          <w:szCs w:val="22"/>
        </w:rPr>
        <w:t xml:space="preserve">Click the 🏠 End-use Products tab.</w:t>
      </w:r>
    </w:p>
    <w:p>
      <w:pPr>
        <w:pStyle w:val="ListParagraph"/>
        <w:numPr>
          <w:ilvl w:val="0"/>
          <w:numId w:val="2"/>
        </w:numPr>
        <w:spacing w:before="40" w:after="60"/>
      </w:pPr>
      <w:r>
        <w:rPr>
          <w:rFonts w:ascii="Arial" w:cs="Arial" w:eastAsia="Arial" w:hAnsi="Arial"/>
          <w:b/>
          <w:bCs/>
          <w:sz w:val="22"/>
          <w:szCs w:val="22"/>
        </w:rPr>
        <w:t xml:space="preserve">Step 1 — Data Source: </w:t>
      </w:r>
      <w:r>
        <w:rPr>
          <w:rFonts w:ascii="Arial" w:cs="Arial" w:eastAsia="Arial" w:hAnsi="Arial"/>
          <w:sz w:val="22"/>
          <w:szCs w:val="22"/>
        </w:rPr>
        <w:t xml:space="preserve">Select one of the built-in example datasets (Maine, USA or United States), or upload your own production CSV. See Section 3.1 for format details.</w:t>
      </w:r>
    </w:p>
    <w:p>
      <w:pPr>
        <w:pStyle w:val="ListParagraph"/>
        <w:numPr>
          <w:ilvl w:val="0"/>
          <w:numId w:val="2"/>
        </w:numPr>
        <w:spacing w:before="40" w:after="60"/>
      </w:pPr>
      <w:r>
        <w:rPr>
          <w:rFonts w:ascii="Arial" w:cs="Arial" w:eastAsia="Arial" w:hAnsi="Arial"/>
          <w:b/>
          <w:bCs/>
          <w:sz w:val="22"/>
          <w:szCs w:val="22"/>
        </w:rPr>
        <w:t xml:space="preserve">Step 2 — Model Parameters: </w:t>
      </w:r>
      <w:r>
        <w:rPr>
          <w:rFonts w:ascii="Arial" w:cs="Arial" w:eastAsia="Arial" w:hAnsi="Arial"/>
          <w:sz w:val="22"/>
          <w:szCs w:val="22"/>
        </w:rPr>
        <w:t xml:space="preserve">Use the default parameters (Wei et al. 2023) for US-based studies. For other regions, upload a custom parameters CSV (Section 3.2).</w:t>
      </w:r>
    </w:p>
    <w:p>
      <w:pPr>
        <w:pStyle w:val="ListParagraph"/>
        <w:numPr>
          <w:ilvl w:val="0"/>
          <w:numId w:val="2"/>
        </w:numPr>
        <w:spacing w:before="40" w:after="60"/>
      </w:pPr>
      <w:r>
        <w:rPr>
          <w:rFonts w:ascii="Arial" w:cs="Arial" w:eastAsia="Arial" w:hAnsi="Arial"/>
          <w:b/>
          <w:bCs/>
          <w:sz w:val="22"/>
          <w:szCs w:val="22"/>
        </w:rPr>
        <w:t xml:space="preserve">Step 3 — Initialize Python: </w:t>
      </w:r>
      <w:r>
        <w:rPr>
          <w:rFonts w:ascii="Arial" w:cs="Arial" w:eastAsia="Arial" w:hAnsi="Arial"/>
          <w:sz w:val="22"/>
          <w:szCs w:val="22"/>
        </w:rPr>
        <w:t xml:space="preserve">Click ⚙️ Initialize Python. The first initialization downloads and compiles Pyodide (~30–60 seconds). Subsequent initializations within the same browser session are instant.</w:t>
      </w:r>
    </w:p>
    <w:p>
      <w:pPr>
        <w:pStyle w:val="ListParagraph"/>
        <w:numPr>
          <w:ilvl w:val="0"/>
          <w:numId w:val="2"/>
        </w:numPr>
        <w:spacing w:before="40" w:after="60"/>
      </w:pPr>
      <w:r>
        <w:rPr>
          <w:rFonts w:ascii="Arial" w:cs="Arial" w:eastAsia="Arial" w:hAnsi="Arial"/>
          <w:b/>
          <w:bCs/>
          <w:sz w:val="22"/>
          <w:szCs w:val="22"/>
        </w:rPr>
        <w:t xml:space="preserve">Run Carbon Tracker: </w:t>
      </w:r>
      <w:r>
        <w:rPr>
          <w:rFonts w:ascii="Arial" w:cs="Arial" w:eastAsia="Arial" w:hAnsi="Arial"/>
          <w:sz w:val="22"/>
          <w:szCs w:val="22"/>
        </w:rPr>
        <w:t xml:space="preserve">Click ▶ Run Carbon Tracker to execute the model. Results appear in the table and Download button becomes active.</w:t>
      </w:r>
    </w:p>
    <w:p>
      <w:pPr>
        <w:pStyle w:val="ListParagraph"/>
        <w:numPr>
          <w:ilvl w:val="0"/>
          <w:numId w:val="2"/>
        </w:numPr>
        <w:spacing w:before="40" w:after="60"/>
      </w:pPr>
      <w:r>
        <w:rPr>
          <w:rFonts w:ascii="Arial" w:cs="Arial" w:eastAsia="Arial" w:hAnsi="Arial"/>
          <w:b/>
          <w:bCs/>
          <w:sz w:val="22"/>
          <w:szCs w:val="22"/>
        </w:rPr>
        <w:t xml:space="preserve">Plot Input Data: </w:t>
      </w:r>
      <w:r>
        <w:rPr>
          <w:rFonts w:ascii="Arial" w:cs="Arial" w:eastAsia="Arial" w:hAnsi="Arial"/>
          <w:sz w:val="22"/>
          <w:szCs w:val="22"/>
        </w:rPr>
        <w:t xml:space="preserve">Click 📊 Input Data to visualise the annual production time series for all product categories.</w:t>
      </w:r>
    </w:p>
    <w:p>
      <w:pPr>
        <w:pStyle w:val="ListParagraph"/>
        <w:numPr>
          <w:ilvl w:val="0"/>
          <w:numId w:val="2"/>
        </w:numPr>
        <w:spacing w:before="40" w:after="60"/>
      </w:pPr>
      <w:r>
        <w:rPr>
          <w:rFonts w:ascii="Arial" w:cs="Arial" w:eastAsia="Arial" w:hAnsi="Arial"/>
          <w:b/>
          <w:bCs/>
          <w:sz w:val="22"/>
          <w:szCs w:val="22"/>
        </w:rPr>
        <w:t xml:space="preserve">Plot Storage Results: </w:t>
      </w:r>
      <w:r>
        <w:rPr>
          <w:rFonts w:ascii="Arial" w:cs="Arial" w:eastAsia="Arial" w:hAnsi="Arial"/>
          <w:sz w:val="22"/>
          <w:szCs w:val="22"/>
        </w:rPr>
        <w:t xml:space="preserve">Click 📈 Carbon Stock to plot the accumulated carbon storage in each pool over time. Summary badges show the latest-year totals.</w:t>
      </w:r>
    </w:p>
    <w:p>
      <w:pPr>
        <w:pStyle w:val="ListParagraph"/>
        <w:numPr>
          <w:ilvl w:val="0"/>
          <w:numId w:val="2"/>
        </w:numPr>
        <w:spacing w:before="40" w:after="60"/>
      </w:pPr>
      <w:r>
        <w:rPr>
          <w:rFonts w:ascii="Arial" w:cs="Arial" w:eastAsia="Arial" w:hAnsi="Arial"/>
          <w:b/>
          <w:bCs/>
          <w:sz w:val="22"/>
          <w:szCs w:val="22"/>
        </w:rPr>
        <w:t xml:space="preserve">Download Results: </w:t>
      </w:r>
      <w:r>
        <w:rPr>
          <w:rFonts w:ascii="Arial" w:cs="Arial" w:eastAsia="Arial" w:hAnsi="Arial"/>
          <w:sz w:val="22"/>
          <w:szCs w:val="22"/>
        </w:rPr>
        <w:t xml:space="preserve">Click ⬇ Download Results CSV to save the full model output (all pools, all years) as a CSV file for external analysis.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980B9" w:sz="12"/>
              <w:left w:val="single" w:color="2980B9" w:sz="24"/>
              <w:bottom w:val="single" w:color="BBDDEE" w:sz="4"/>
              <w:right w:val="single" w:color="BBDDEE" w:sz="4"/>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Tips for Custom Data</w:t>
            </w:r>
          </w:p>
          <w:p>
            <w:pPr>
              <w:spacing w:before="40" w:after="0"/>
            </w:pPr>
            <w:r>
              <w:rPr>
                <w:rFonts w:ascii="Arial" w:cs="Arial" w:eastAsia="Arial" w:hAnsi="Arial"/>
                <w:color w:val="2C3E50"/>
                <w:sz w:val="20"/>
                <w:szCs w:val="20"/>
              </w:rPr>
              <w:t xml:space="preserve">• Convert all values to kg C per year before uploading. If your data is in dry biomass weight,</w:t>
            </w:r>
          </w:p>
          <w:p>
            <w:pPr>
              <w:spacing w:before="40" w:after="0"/>
            </w:pPr>
            <w:r>
              <w:rPr>
                <w:rFonts w:ascii="Arial" w:cs="Arial" w:eastAsia="Arial" w:hAnsi="Arial"/>
                <w:color w:val="2C3E50"/>
                <w:sz w:val="20"/>
                <w:szCs w:val="20"/>
              </w:rPr>
              <w:t xml:space="preserve">  multiply by 0.5 (wood carbon fraction ≈ 50%).</w:t>
            </w:r>
          </w:p>
          <w:p>
            <w:pPr>
              <w:spacing w:before="40" w:after="0"/>
            </w:pPr>
            <w:r>
              <w:rPr>
                <w:rFonts w:ascii="Arial" w:cs="Arial" w:eastAsia="Arial" w:hAnsi="Arial"/>
                <w:color w:val="2C3E50"/>
                <w:sz w:val="20"/>
                <w:szCs w:val="20"/>
              </w:rPr>
              <w:t xml:space="preserve">• Ensure the Year column contains only integer years with no gaps.</w:t>
            </w:r>
          </w:p>
          <w:p>
            <w:pPr>
              <w:spacing w:before="40" w:after="0"/>
            </w:pPr>
            <w:r>
              <w:rPr>
                <w:rFonts w:ascii="Arial" w:cs="Arial" w:eastAsia="Arial" w:hAnsi="Arial"/>
                <w:color w:val="2C3E50"/>
                <w:sz w:val="20"/>
                <w:szCs w:val="20"/>
              </w:rPr>
              <w:t xml:space="preserve">• If a product type is not applicable to your region, simply omit that column.</w:t>
            </w:r>
          </w:p>
          <w:p>
            <w:pPr>
              <w:spacing w:before="40" w:after="0"/>
            </w:pPr>
            <w:r>
              <w:rPr>
                <w:rFonts w:ascii="Arial" w:cs="Arial" w:eastAsia="Arial" w:hAnsi="Arial"/>
                <w:color w:val="2C3E50"/>
                <w:sz w:val="20"/>
                <w:szCs w:val="20"/>
              </w:rPr>
              <w:t xml:space="preserve">• For best results, include at least 30 years of historical data to allow the model</w:t>
            </w:r>
          </w:p>
          <w:p>
            <w:pPr>
              <w:spacing w:before="40" w:after="0"/>
            </w:pPr>
            <w:r>
              <w:rPr>
                <w:rFonts w:ascii="Arial" w:cs="Arial" w:eastAsia="Arial" w:hAnsi="Arial"/>
                <w:color w:val="2C3E50"/>
                <w:sz w:val="20"/>
                <w:szCs w:val="20"/>
              </w:rPr>
              <w:t xml:space="preserve">  to build up realistic initial pool sizes (spin-up period).</w:t>
            </w:r>
          </w:p>
        </w:tc>
      </w:tr>
    </w:tbl>
    <w:p>
      <w:r>
        <w:br w:type="page"/>
      </w:r>
    </w:p>
    <w:p>
      <w:pPr>
        <w:pStyle w:val="Heading1"/>
        <w:spacing w:before="320" w:after="120"/>
      </w:pPr>
      <w:r>
        <w:rPr>
          <w:rFonts w:ascii="Arial" w:cs="Arial" w:eastAsia="Arial" w:hAnsi="Arial"/>
          <w:b/>
          <w:bCs/>
          <w:color w:val="1E3A5F"/>
          <w:sz w:val="32"/>
          <w:szCs w:val="32"/>
        </w:rPr>
        <w:t xml:space="preserve">4. Module 2 — Industrial Logs Carbon Tracker</w:t>
      </w:r>
    </w:p>
    <w:p>
      <w:pPr>
        <w:spacing w:before="60" w:after="100"/>
      </w:pPr>
      <w:r>
        <w:rPr>
          <w:rFonts w:ascii="Arial" w:cs="Arial" w:eastAsia="Arial" w:hAnsi="Arial"/>
          <w:sz w:val="22"/>
          <w:szCs w:val="22"/>
        </w:rPr>
        <w:t xml:space="preserve">The Industrial Logs tab estimates the carbon content of a single harvested log or a batch of logs, based on physical dimensions, wood species type, and wood density. This module does not require file uploads — all inputs are entered through the interface.</w:t>
      </w:r>
    </w:p>
    <w:p>
      <w:pPr>
        <w:spacing w:before="60" w:after="0"/>
      </w:pPr>
    </w:p>
    <w:p>
      <w:pPr>
        <w:pStyle w:val="Heading2"/>
        <w:spacing w:before="240" w:after="80"/>
      </w:pPr>
      <w:r>
        <w:rPr>
          <w:rFonts w:ascii="Arial" w:cs="Arial" w:eastAsia="Arial" w:hAnsi="Arial"/>
          <w:b/>
          <w:bCs/>
          <w:color w:val="2D6A4F"/>
          <w:sz w:val="26"/>
          <w:szCs w:val="26"/>
        </w:rPr>
        <w:t xml:space="preserve">Inputs</w:t>
      </w:r>
    </w:p>
    <w:p>
      <w:pPr>
        <w:pStyle w:val="ListParagraph"/>
        <w:numPr>
          <w:ilvl w:val="0"/>
          <w:numId w:val="3"/>
        </w:numPr>
        <w:spacing w:before="40" w:after="60"/>
      </w:pPr>
      <w:r>
        <w:rPr>
          <w:rFonts w:ascii="Arial" w:cs="Arial" w:eastAsia="Arial" w:hAnsi="Arial"/>
          <w:b/>
          <w:bCs/>
          <w:sz w:val="22"/>
          <w:szCs w:val="22"/>
        </w:rPr>
        <w:t xml:space="preserve">Log length </w:t>
      </w:r>
      <w:r>
        <w:rPr>
          <w:rFonts w:ascii="Arial" w:cs="Arial" w:eastAsia="Arial" w:hAnsi="Arial"/>
          <w:sz w:val="22"/>
          <w:szCs w:val="22"/>
        </w:rPr>
        <w:t xml:space="preserve">(m or ft) — the merchantable length of the log</w:t>
      </w:r>
    </w:p>
    <w:p>
      <w:pPr>
        <w:pStyle w:val="ListParagraph"/>
        <w:numPr>
          <w:ilvl w:val="0"/>
          <w:numId w:val="3"/>
        </w:numPr>
        <w:spacing w:before="40" w:after="60"/>
      </w:pPr>
      <w:r>
        <w:rPr>
          <w:rFonts w:ascii="Arial" w:cs="Arial" w:eastAsia="Arial" w:hAnsi="Arial"/>
          <w:b/>
          <w:bCs/>
          <w:sz w:val="22"/>
          <w:szCs w:val="22"/>
        </w:rPr>
        <w:t xml:space="preserve">Small-end diameter </w:t>
      </w:r>
      <w:r>
        <w:rPr>
          <w:rFonts w:ascii="Arial" w:cs="Arial" w:eastAsia="Arial" w:hAnsi="Arial"/>
          <w:sz w:val="22"/>
          <w:szCs w:val="22"/>
        </w:rPr>
        <w:t xml:space="preserve">and large-end diameter (cm or in)</w:t>
      </w:r>
    </w:p>
    <w:p>
      <w:pPr>
        <w:pStyle w:val="ListParagraph"/>
        <w:numPr>
          <w:ilvl w:val="0"/>
          <w:numId w:val="3"/>
        </w:numPr>
        <w:spacing w:before="40" w:after="60"/>
      </w:pPr>
      <w:r>
        <w:rPr>
          <w:rFonts w:ascii="Arial" w:cs="Arial" w:eastAsia="Arial" w:hAnsi="Arial"/>
          <w:b/>
          <w:bCs/>
          <w:sz w:val="22"/>
          <w:szCs w:val="22"/>
        </w:rPr>
        <w:t xml:space="preserve">Wood type </w:t>
      </w:r>
      <w:r>
        <w:rPr>
          <w:rFonts w:ascii="Arial" w:cs="Arial" w:eastAsia="Arial" w:hAnsi="Arial"/>
          <w:sz w:val="22"/>
          <w:szCs w:val="22"/>
        </w:rPr>
        <w:t xml:space="preserve">— Softwood or Hardwood (determines default density and carbon fraction)</w:t>
      </w:r>
    </w:p>
    <w:p>
      <w:pPr>
        <w:pStyle w:val="ListParagraph"/>
        <w:numPr>
          <w:ilvl w:val="0"/>
          <w:numId w:val="3"/>
        </w:numPr>
        <w:spacing w:before="40" w:after="60"/>
      </w:pPr>
      <w:r>
        <w:rPr>
          <w:rFonts w:ascii="Arial" w:cs="Arial" w:eastAsia="Arial" w:hAnsi="Arial"/>
          <w:b/>
          <w:bCs/>
          <w:sz w:val="22"/>
          <w:szCs w:val="22"/>
        </w:rPr>
        <w:t xml:space="preserve">Wood density </w:t>
      </w:r>
      <w:r>
        <w:rPr>
          <w:rFonts w:ascii="Arial" w:cs="Arial" w:eastAsia="Arial" w:hAnsi="Arial"/>
          <w:sz w:val="22"/>
          <w:szCs w:val="22"/>
        </w:rPr>
        <w:t xml:space="preserve">(kg/m³, optional override) — defaults: softwood 450, hardwood 600 kg/m³</w:t>
      </w:r>
    </w:p>
    <w:p>
      <w:pPr>
        <w:pStyle w:val="ListParagraph"/>
        <w:numPr>
          <w:ilvl w:val="0"/>
          <w:numId w:val="3"/>
        </w:numPr>
        <w:spacing w:before="40" w:after="60"/>
      </w:pPr>
      <w:r>
        <w:rPr>
          <w:rFonts w:ascii="Arial" w:cs="Arial" w:eastAsia="Arial" w:hAnsi="Arial"/>
          <w:b/>
          <w:bCs/>
          <w:sz w:val="22"/>
          <w:szCs w:val="22"/>
        </w:rPr>
        <w:t xml:space="preserve">Carbon fraction </w:t>
      </w:r>
      <w:r>
        <w:rPr>
          <w:rFonts w:ascii="Arial" w:cs="Arial" w:eastAsia="Arial" w:hAnsi="Arial"/>
          <w:sz w:val="22"/>
          <w:szCs w:val="22"/>
        </w:rPr>
        <w:t xml:space="preserve">(dimensionless, optional override) — default 0.50 (50% of dry mass is carbon)</w:t>
      </w:r>
    </w:p>
    <w:p>
      <w:pPr>
        <w:spacing w:before="60" w:after="0"/>
      </w:pPr>
    </w:p>
    <w:p>
      <w:pPr>
        <w:pStyle w:val="Heading2"/>
        <w:spacing w:before="240" w:after="80"/>
      </w:pPr>
      <w:r>
        <w:rPr>
          <w:rFonts w:ascii="Arial" w:cs="Arial" w:eastAsia="Arial" w:hAnsi="Arial"/>
          <w:b/>
          <w:bCs/>
          <w:color w:val="2D6A4F"/>
          <w:sz w:val="26"/>
          <w:szCs w:val="26"/>
        </w:rPr>
        <w:t xml:space="preserve">Outputs</w:t>
      </w:r>
    </w:p>
    <w:p>
      <w:pPr>
        <w:pStyle w:val="ListParagraph"/>
        <w:numPr>
          <w:ilvl w:val="0"/>
          <w:numId w:val="3"/>
        </w:numPr>
        <w:spacing w:before="40" w:after="60"/>
      </w:pPr>
      <w:r>
        <w:rPr>
          <w:rFonts w:ascii="Arial" w:cs="Arial" w:eastAsia="Arial" w:hAnsi="Arial"/>
          <w:sz w:val="22"/>
          <w:szCs w:val="22"/>
        </w:rPr>
        <w:t xml:space="preserve">Log volume (m³) — calculated using the Smalian taper formula</w:t>
      </w:r>
    </w:p>
    <w:p>
      <w:pPr>
        <w:pStyle w:val="ListParagraph"/>
        <w:numPr>
          <w:ilvl w:val="0"/>
          <w:numId w:val="3"/>
        </w:numPr>
        <w:spacing w:before="40" w:after="60"/>
      </w:pPr>
      <w:r>
        <w:rPr>
          <w:rFonts w:ascii="Arial" w:cs="Arial" w:eastAsia="Arial" w:hAnsi="Arial"/>
          <w:sz w:val="22"/>
          <w:szCs w:val="22"/>
        </w:rPr>
        <w:t xml:space="preserve">Dry biomass (kg)</w:t>
      </w:r>
    </w:p>
    <w:p>
      <w:pPr>
        <w:pStyle w:val="ListParagraph"/>
        <w:numPr>
          <w:ilvl w:val="0"/>
          <w:numId w:val="3"/>
        </w:numPr>
        <w:spacing w:before="40" w:after="60"/>
      </w:pPr>
      <w:r>
        <w:rPr>
          <w:rFonts w:ascii="Arial" w:cs="Arial" w:eastAsia="Arial" w:hAnsi="Arial"/>
          <w:sz w:val="22"/>
          <w:szCs w:val="22"/>
        </w:rPr>
        <w:t xml:space="preserve">Carbon content (kg C)</w:t>
      </w:r>
    </w:p>
    <w:p>
      <w:pPr>
        <w:pStyle w:val="ListParagraph"/>
        <w:numPr>
          <w:ilvl w:val="0"/>
          <w:numId w:val="3"/>
        </w:numPr>
        <w:spacing w:before="40" w:after="60"/>
      </w:pPr>
      <w:r>
        <w:rPr>
          <w:rFonts w:ascii="Arial" w:cs="Arial" w:eastAsia="Arial" w:hAnsi="Arial"/>
          <w:sz w:val="22"/>
          <w:szCs w:val="22"/>
        </w:rPr>
        <w:t xml:space="preserve">CO₂ equivalent (kg CO₂e) — using molecular weight ratio 44/12 = 3.667</w:t>
      </w:r>
    </w:p>
    <w:p>
      <w:r>
        <w:br w:type="page"/>
      </w:r>
    </w:p>
    <w:p>
      <w:pPr>
        <w:pStyle w:val="Heading1"/>
        <w:spacing w:before="320" w:after="120"/>
      </w:pPr>
      <w:r>
        <w:rPr>
          <w:rFonts w:ascii="Arial" w:cs="Arial" w:eastAsia="Arial" w:hAnsi="Arial"/>
          <w:b/>
          <w:bCs/>
          <w:color w:val="1E3A5F"/>
          <w:sz w:val="32"/>
          <w:szCs w:val="32"/>
        </w:rPr>
        <w:t xml:space="preserve">5. Module 3 — Sawn Products Carbon Tracker</w:t>
      </w:r>
    </w:p>
    <w:p>
      <w:pPr>
        <w:spacing w:before="60" w:after="100"/>
      </w:pPr>
      <w:r>
        <w:rPr>
          <w:rFonts w:ascii="Arial" w:cs="Arial" w:eastAsia="Arial" w:hAnsi="Arial"/>
          <w:sz w:val="22"/>
          <w:szCs w:val="22"/>
        </w:rPr>
        <w:t xml:space="preserve">The Sawn Products (PPs Carbon) tab estimates the carbon stored in processed wood products — lumber, panels, engineered wood, and paper — based on production volumes and conversion factors. Users select the product end-use category and enter production quantities.</w:t>
      </w:r>
    </w:p>
    <w:p>
      <w:pPr>
        <w:spacing w:before="60" w:after="0"/>
      </w:pPr>
    </w:p>
    <w:p>
      <w:pPr>
        <w:pStyle w:val="Heading2"/>
        <w:spacing w:before="240" w:after="80"/>
      </w:pPr>
      <w:r>
        <w:rPr>
          <w:rFonts w:ascii="Arial" w:cs="Arial" w:eastAsia="Arial" w:hAnsi="Arial"/>
          <w:b/>
          <w:bCs/>
          <w:color w:val="2D6A4F"/>
          <w:sz w:val="26"/>
          <w:szCs w:val="26"/>
        </w:rPr>
        <w:t xml:space="preserve">Product Categories</w:t>
      </w:r>
    </w:p>
    <w:p>
      <w:pPr>
        <w:pStyle w:val="ListParagraph"/>
        <w:numPr>
          <w:ilvl w:val="0"/>
          <w:numId w:val="3"/>
        </w:numPr>
        <w:spacing w:before="40" w:after="60"/>
      </w:pPr>
      <w:r>
        <w:rPr>
          <w:rFonts w:ascii="Arial" w:cs="Arial" w:eastAsia="Arial" w:hAnsi="Arial"/>
          <w:b/>
          <w:bCs/>
          <w:sz w:val="22"/>
          <w:szCs w:val="22"/>
        </w:rPr>
        <w:t xml:space="preserve">🏠 Construction — </w:t>
      </w:r>
      <w:r>
        <w:rPr>
          <w:rFonts w:ascii="Arial" w:cs="Arial" w:eastAsia="Arial" w:hAnsi="Arial"/>
          <w:sz w:val="22"/>
          <w:szCs w:val="22"/>
        </w:rPr>
        <w:t xml:space="preserve">Dimension lumber, OSB, plywood used in building framing and sheathing</w:t>
      </w:r>
    </w:p>
    <w:p>
      <w:pPr>
        <w:pStyle w:val="ListParagraph"/>
        <w:numPr>
          <w:ilvl w:val="0"/>
          <w:numId w:val="3"/>
        </w:numPr>
        <w:spacing w:before="40" w:after="60"/>
      </w:pPr>
      <w:r>
        <w:rPr>
          <w:rFonts w:ascii="Arial" w:cs="Arial" w:eastAsia="Arial" w:hAnsi="Arial"/>
          <w:b/>
          <w:bCs/>
          <w:sz w:val="22"/>
          <w:szCs w:val="22"/>
        </w:rPr>
        <w:t xml:space="preserve">🌉 Exterior — </w:t>
      </w:r>
      <w:r>
        <w:rPr>
          <w:rFonts w:ascii="Arial" w:cs="Arial" w:eastAsia="Arial" w:hAnsi="Arial"/>
          <w:sz w:val="22"/>
          <w:szCs w:val="22"/>
        </w:rPr>
        <w:t xml:space="preserve">Pressure-treated lumber, railway ties, wood decking, dock materials</w:t>
      </w:r>
    </w:p>
    <w:p>
      <w:pPr>
        <w:pStyle w:val="ListParagraph"/>
        <w:numPr>
          <w:ilvl w:val="0"/>
          <w:numId w:val="3"/>
        </w:numPr>
        <w:spacing w:before="40" w:after="60"/>
      </w:pPr>
      <w:r>
        <w:rPr>
          <w:rFonts w:ascii="Arial" w:cs="Arial" w:eastAsia="Arial" w:hAnsi="Arial"/>
          <w:b/>
          <w:bCs/>
          <w:sz w:val="22"/>
          <w:szCs w:val="22"/>
        </w:rPr>
        <w:t xml:space="preserve">🪑 Furniture / Interior — </w:t>
      </w:r>
      <w:r>
        <w:rPr>
          <w:rFonts w:ascii="Arial" w:cs="Arial" w:eastAsia="Arial" w:hAnsi="Arial"/>
          <w:sz w:val="22"/>
          <w:szCs w:val="22"/>
        </w:rPr>
        <w:t xml:space="preserve">Hardwood lumber, engineered flooring, millwork, furniture components</w:t>
      </w:r>
    </w:p>
    <w:p>
      <w:pPr>
        <w:pStyle w:val="ListParagraph"/>
        <w:numPr>
          <w:ilvl w:val="0"/>
          <w:numId w:val="3"/>
        </w:numPr>
        <w:spacing w:before="40" w:after="60"/>
      </w:pPr>
      <w:r>
        <w:rPr>
          <w:rFonts w:ascii="Arial" w:cs="Arial" w:eastAsia="Arial" w:hAnsi="Arial"/>
          <w:b/>
          <w:bCs/>
          <w:sz w:val="22"/>
          <w:szCs w:val="22"/>
        </w:rPr>
        <w:t xml:space="preserve">📰 Graphic Paper — </w:t>
      </w:r>
      <w:r>
        <w:rPr>
          <w:rFonts w:ascii="Arial" w:cs="Arial" w:eastAsia="Arial" w:hAnsi="Arial"/>
          <w:sz w:val="22"/>
          <w:szCs w:val="22"/>
        </w:rPr>
        <w:t xml:space="preserve">Printing &amp; writing paper, newsprint</w:t>
      </w:r>
    </w:p>
    <w:p>
      <w:pPr>
        <w:pStyle w:val="ListParagraph"/>
        <w:numPr>
          <w:ilvl w:val="0"/>
          <w:numId w:val="3"/>
        </w:numPr>
        <w:spacing w:before="40" w:after="60"/>
      </w:pPr>
      <w:r>
        <w:rPr>
          <w:rFonts w:ascii="Arial" w:cs="Arial" w:eastAsia="Arial" w:hAnsi="Arial"/>
          <w:b/>
          <w:bCs/>
          <w:sz w:val="22"/>
          <w:szCs w:val="22"/>
        </w:rPr>
        <w:t xml:space="preserve">🧻 Tissue / Hygienic — </w:t>
      </w:r>
      <w:r>
        <w:rPr>
          <w:rFonts w:ascii="Arial" w:cs="Arial" w:eastAsia="Arial" w:hAnsi="Arial"/>
          <w:sz w:val="22"/>
          <w:szCs w:val="22"/>
        </w:rPr>
        <w:t xml:space="preserve">Tissue, toweling, sanitary and hygienic paper</w:t>
      </w:r>
    </w:p>
    <w:p>
      <w:pPr>
        <w:pStyle w:val="ListParagraph"/>
        <w:numPr>
          <w:ilvl w:val="0"/>
          <w:numId w:val="3"/>
        </w:numPr>
        <w:spacing w:before="40" w:after="60"/>
      </w:pPr>
      <w:r>
        <w:rPr>
          <w:rFonts w:ascii="Arial" w:cs="Arial" w:eastAsia="Arial" w:hAnsi="Arial"/>
          <w:b/>
          <w:bCs/>
          <w:sz w:val="22"/>
          <w:szCs w:val="22"/>
        </w:rPr>
        <w:t xml:space="preserve">📄 Other Paper — </w:t>
      </w:r>
      <w:r>
        <w:rPr>
          <w:rFonts w:ascii="Arial" w:cs="Arial" w:eastAsia="Arial" w:hAnsi="Arial"/>
          <w:sz w:val="22"/>
          <w:szCs w:val="22"/>
        </w:rPr>
        <w:t xml:space="preserve">Packaging, corrugated cardboard, industrial paperboard</w:t>
      </w:r>
    </w:p>
    <w:p>
      <w:r>
        <w:br w:type="page"/>
      </w:r>
    </w:p>
    <w:p>
      <w:pPr>
        <w:pStyle w:val="Heading1"/>
        <w:spacing w:before="320" w:after="120"/>
      </w:pPr>
      <w:r>
        <w:rPr>
          <w:rFonts w:ascii="Arial" w:cs="Arial" w:eastAsia="Arial" w:hAnsi="Arial"/>
          <w:b/>
          <w:bCs/>
          <w:color w:val="1E3A5F"/>
          <w:sz w:val="32"/>
          <w:szCs w:val="32"/>
        </w:rPr>
        <w:t xml:space="preserve">6. Module 4 — Global WPs Carbon</w:t>
      </w:r>
    </w:p>
    <w:p>
      <w:pPr>
        <w:spacing w:before="60" w:after="100"/>
      </w:pPr>
      <w:r>
        <w:rPr>
          <w:rFonts w:ascii="Arial" w:cs="Arial" w:eastAsia="Arial" w:hAnsi="Arial"/>
          <w:sz w:val="22"/>
          <w:szCs w:val="22"/>
        </w:rPr>
        <w:t xml:space="preserve">The Global WPs Carbon tab provides country-level and regional benchmarks for wood products carbon storage, allowing users to compare their study area estimates against global patterns. This tab uses pre-loaded global datasets and does not require user data uploads.</w:t>
      </w:r>
    </w:p>
    <w:p>
      <w:pPr>
        <w:spacing w:before="60" w:after="0"/>
      </w:pPr>
    </w:p>
    <w:p>
      <w:pPr>
        <w:spacing w:before="60" w:after="100"/>
      </w:pPr>
      <w:r>
        <w:rPr>
          <w:rFonts w:ascii="Arial" w:cs="Arial" w:eastAsia="Arial" w:hAnsi="Arial"/>
          <w:b/>
          <w:bCs/>
          <w:sz w:val="22"/>
          <w:szCs w:val="22"/>
        </w:rPr>
        <w:t xml:space="preserve">Data source: </w:t>
      </w:r>
      <w:r>
        <w:rPr>
          <w:rFonts w:ascii="Arial" w:cs="Arial" w:eastAsia="Arial" w:hAnsi="Arial"/>
          <w:sz w:val="22"/>
          <w:szCs w:val="22"/>
        </w:rPr>
        <w:t xml:space="preserve">Global wood products production and consumption statistics from FAO (FAOSTAT), processed using the WPsCS Estimator methodology (Wei et al. 2023).</w:t>
      </w:r>
    </w:p>
    <w:p>
      <w:r>
        <w:br w:type="page"/>
      </w:r>
    </w:p>
    <w:p>
      <w:pPr>
        <w:pStyle w:val="Heading1"/>
        <w:spacing w:before="320" w:after="120"/>
      </w:pPr>
      <w:r>
        <w:rPr>
          <w:rFonts w:ascii="Arial" w:cs="Arial" w:eastAsia="Arial" w:hAnsi="Arial"/>
          <w:b/>
          <w:bCs/>
          <w:color w:val="1E3A5F"/>
          <w:sz w:val="32"/>
          <w:szCs w:val="32"/>
        </w:rPr>
        <w:t xml:space="preserve">7. Carbon Flux Equations Reference</w:t>
      </w:r>
    </w:p>
    <w:p>
      <w:pPr>
        <w:spacing w:before="60" w:after="100"/>
      </w:pPr>
      <w:r>
        <w:rPr>
          <w:rFonts w:ascii="Arial" w:cs="Arial" w:eastAsia="Arial" w:hAnsi="Arial"/>
          <w:sz w:val="22"/>
          <w:szCs w:val="22"/>
        </w:rPr>
        <w:t xml:space="preserve">The following equations are implemented in the Python backend (WPsCT_Functions module). All equations are from Wei et al. (2023).</w:t>
      </w:r>
    </w:p>
    <w:p>
      <w:pPr>
        <w:spacing w:before="60" w:after="0"/>
      </w:pPr>
    </w:p>
    <w:p>
      <w:pPr>
        <w:pStyle w:val="Heading2"/>
        <w:spacing w:before="240" w:after="80"/>
      </w:pPr>
      <w:r>
        <w:rPr>
          <w:rFonts w:ascii="Arial" w:cs="Arial" w:eastAsia="Arial" w:hAnsi="Arial"/>
          <w:b/>
          <w:bCs/>
          <w:color w:val="2D6A4F"/>
          <w:sz w:val="26"/>
          <w:szCs w:val="26"/>
        </w:rPr>
        <w:t xml:space="preserve">Eq. 1 — Charcoal Annual Loss Rate</w:t>
      </w:r>
    </w:p>
    <w:p>
      <w:pPr>
        <w:spacing w:before="60" w:after="100"/>
      </w:pPr>
      <w:r>
        <w:rPr>
          <w:rFonts w:ascii="Arial" w:cs="Arial" w:eastAsia="Arial" w:hAnsi="Arial"/>
          <w:i/>
          <w:iCs/>
          <w:sz w:val="22"/>
          <w:szCs w:val="22"/>
        </w:rPr>
        <w:t xml:space="preserve">ρ</w:t>
      </w:r>
      <w:r>
        <w:rPr>
          <w:rFonts w:ascii="Arial" w:cs="Arial" w:eastAsia="Arial" w:hAnsi="Arial"/>
          <w:sz w:val="22"/>
          <w:szCs w:val="22"/>
        </w:rPr>
        <w:t xml:space="preserve">cha = τ + σ × ln(C</w:t>
      </w:r>
      <w:r>
        <w:rPr>
          <w:rFonts w:ascii="Arial" w:cs="Arial" w:eastAsia="Arial" w:hAnsi="Arial"/>
          <w:sz w:val="22"/>
          <w:szCs w:val="22"/>
        </w:rPr>
        <w:t xml:space="preserve">cha)</w:t>
      </w:r>
    </w:p>
    <w:p>
      <w:pPr>
        <w:spacing w:before="60" w:after="100"/>
      </w:pPr>
      <w:r>
        <w:rPr>
          <w:rFonts w:ascii="Arial" w:cs="Arial" w:eastAsia="Arial" w:hAnsi="Arial"/>
          <w:sz w:val="22"/>
          <w:szCs w:val="22"/>
        </w:rPr>
        <w:t xml:space="preserve">Where: ρcha = annual charcoal loss rate (fraction); τ = basic loss rate (decay_1); σ = pool-size related rate (decay_2); Ccha = current charcoal pool size (kg C).</w:t>
      </w:r>
    </w:p>
    <w:p>
      <w:pPr>
        <w:spacing w:before="60" w:after="0"/>
      </w:pPr>
    </w:p>
    <w:p>
      <w:pPr>
        <w:pStyle w:val="Heading2"/>
        <w:spacing w:before="240" w:after="80"/>
      </w:pPr>
      <w:r>
        <w:rPr>
          <w:rFonts w:ascii="Arial" w:cs="Arial" w:eastAsia="Arial" w:hAnsi="Arial"/>
          <w:b/>
          <w:bCs/>
          <w:color w:val="2D6A4F"/>
          <w:sz w:val="26"/>
          <w:szCs w:val="26"/>
        </w:rPr>
        <w:t xml:space="preserve">Eq. 2 — Wood Product Annual Disposal Rate</w:t>
      </w:r>
    </w:p>
    <w:p>
      <w:pPr>
        <w:spacing w:before="60" w:after="100"/>
      </w:pPr>
      <w:r>
        <w:rPr>
          <w:rFonts w:ascii="Arial" w:cs="Arial" w:eastAsia="Arial" w:hAnsi="Arial"/>
          <w:i/>
          <w:iCs/>
          <w:sz w:val="22"/>
          <w:szCs w:val="22"/>
        </w:rPr>
        <w:t xml:space="preserve">ρ</w:t>
      </w:r>
      <w:r>
        <w:rPr>
          <w:rFonts w:ascii="Arial" w:cs="Arial" w:eastAsia="Arial" w:hAnsi="Arial"/>
          <w:sz w:val="22"/>
          <w:szCs w:val="22"/>
        </w:rPr>
        <w:t xml:space="preserve">wp = α / e√(2π) × exp(−β × (t</w:t>
      </w:r>
      <w:r>
        <w:rPr>
          <w:rFonts w:ascii="Arial" w:cs="Arial" w:eastAsia="Arial" w:hAnsi="Arial"/>
          <w:i/>
          <w:iCs/>
          <w:sz w:val="22"/>
          <w:szCs w:val="22"/>
        </w:rPr>
        <w:t xml:space="preserve">w</w:t>
      </w:r>
      <w:r>
        <w:rPr>
          <w:rFonts w:ascii="Arial" w:cs="Arial" w:eastAsia="Arial" w:hAnsi="Arial"/>
          <w:sz w:val="22"/>
          <w:szCs w:val="22"/>
        </w:rPr>
        <w:t xml:space="preserve"> − γ)² / γ)</w:t>
      </w:r>
    </w:p>
    <w:p>
      <w:pPr>
        <w:spacing w:before="60" w:after="100"/>
      </w:pPr>
      <w:r>
        <w:rPr>
          <w:rFonts w:ascii="Arial" w:cs="Arial" w:eastAsia="Arial" w:hAnsi="Arial"/>
          <w:sz w:val="22"/>
          <w:szCs w:val="22"/>
        </w:rPr>
        <w:t xml:space="preserve">Where: ρwp = annual disposal rate (fraction); α = disposal_1; β = disposal_2; γ = service half-life in years (disposal_3); tw = time since production (years).</w:t>
      </w:r>
    </w:p>
    <w:p>
      <w:pPr>
        <w:spacing w:before="60" w:after="0"/>
      </w:pPr>
    </w:p>
    <w:p>
      <w:pPr>
        <w:pStyle w:val="Heading2"/>
        <w:spacing w:before="240" w:after="80"/>
      </w:pPr>
      <w:r>
        <w:rPr>
          <w:rFonts w:ascii="Arial" w:cs="Arial" w:eastAsia="Arial" w:hAnsi="Arial"/>
          <w:b/>
          <w:bCs/>
          <w:color w:val="2D6A4F"/>
          <w:sz w:val="26"/>
          <w:szCs w:val="26"/>
        </w:rPr>
        <w:t xml:space="preserve">Eq. 3 — Remaining Carbon in Product Pool</w:t>
      </w:r>
    </w:p>
    <w:p>
      <w:pPr>
        <w:spacing w:before="60" w:after="100"/>
      </w:pPr>
      <w:r>
        <w:rPr>
          <w:rFonts w:ascii="Arial" w:cs="Arial" w:eastAsia="Arial" w:hAnsi="Arial"/>
          <w:i/>
          <w:iCs/>
          <w:sz w:val="22"/>
          <w:szCs w:val="22"/>
        </w:rPr>
        <w:t xml:space="preserve">C</w:t>
      </w:r>
      <w:r>
        <w:rPr>
          <w:rFonts w:ascii="Arial" w:cs="Arial" w:eastAsia="Arial" w:hAnsi="Arial"/>
          <w:sz w:val="22"/>
          <w:szCs w:val="22"/>
        </w:rPr>
        <w:t xml:space="preserve">r = C</w:t>
      </w:r>
      <w:r>
        <w:rPr>
          <w:rFonts w:ascii="Arial" w:cs="Arial" w:eastAsia="Arial" w:hAnsi="Arial"/>
          <w:sz w:val="22"/>
          <w:szCs w:val="22"/>
        </w:rPr>
        <w:t xml:space="preserve">w − ∫₀</w:t>
      </w:r>
      <w:r>
        <w:rPr>
          <w:rFonts w:ascii="Arial" w:cs="Arial" w:eastAsia="Arial" w:hAnsi="Arial"/>
          <w:sz w:val="22"/>
          <w:szCs w:val="22"/>
        </w:rPr>
        <w:t xml:space="preserve">(j−i)</w:t>
      </w:r>
      <w:r>
        <w:rPr>
          <w:rFonts w:ascii="Arial" w:cs="Arial" w:eastAsia="Arial" w:hAnsi="Arial"/>
          <w:sz w:val="22"/>
          <w:szCs w:val="22"/>
        </w:rPr>
        <w:t xml:space="preserve"> ρ</w:t>
      </w:r>
      <w:r>
        <w:rPr>
          <w:rFonts w:ascii="Arial" w:cs="Arial" w:eastAsia="Arial" w:hAnsi="Arial"/>
          <w:sz w:val="22"/>
          <w:szCs w:val="22"/>
        </w:rPr>
        <w:t xml:space="preserve">wp(t</w:t>
      </w:r>
      <w:r>
        <w:rPr>
          <w:rFonts w:ascii="Arial" w:cs="Arial" w:eastAsia="Arial" w:hAnsi="Arial"/>
          <w:sz w:val="22"/>
          <w:szCs w:val="22"/>
        </w:rPr>
        <w:t xml:space="preserve">w) dt</w:t>
      </w:r>
      <w:r>
        <w:rPr>
          <w:rFonts w:ascii="Arial" w:cs="Arial" w:eastAsia="Arial" w:hAnsi="Arial"/>
          <w:sz w:val="22"/>
          <w:szCs w:val="22"/>
        </w:rPr>
        <w:t xml:space="preserve">w</w:t>
      </w:r>
    </w:p>
    <w:p>
      <w:pPr>
        <w:spacing w:before="60" w:after="100"/>
      </w:pPr>
      <w:r>
        <w:rPr>
          <w:rFonts w:ascii="Arial" w:cs="Arial" w:eastAsia="Arial" w:hAnsi="Arial"/>
          <w:sz w:val="22"/>
          <w:szCs w:val="22"/>
        </w:rPr>
        <w:t xml:space="preserve">The carbon remaining Cr in products produced in year i is calculated by integrating the disposal rate from production to the current year j. Implemented numerically in the Python backend.</w:t>
      </w:r>
    </w:p>
    <w:p>
      <w:pPr>
        <w:spacing w:before="60" w:after="0"/>
      </w:pPr>
    </w:p>
    <w:p>
      <w:pPr>
        <w:pStyle w:val="Heading2"/>
        <w:spacing w:before="240" w:after="80"/>
      </w:pPr>
      <w:r>
        <w:rPr>
          <w:rFonts w:ascii="Arial" w:cs="Arial" w:eastAsia="Arial" w:hAnsi="Arial"/>
          <w:b/>
          <w:bCs/>
          <w:color w:val="2D6A4F"/>
          <w:sz w:val="26"/>
          <w:szCs w:val="26"/>
        </w:rPr>
        <w:t xml:space="preserve">Eq. 4 — Time-Dependent Recycling Rate</w:t>
      </w:r>
    </w:p>
    <w:p>
      <w:pPr>
        <w:spacing w:before="60" w:after="100"/>
      </w:pPr>
      <w:r>
        <w:rPr>
          <w:rFonts w:ascii="Arial" w:cs="Arial" w:eastAsia="Arial" w:hAnsi="Arial"/>
          <w:i/>
          <w:iCs/>
          <w:sz w:val="22"/>
          <w:szCs w:val="22"/>
        </w:rPr>
        <w:t xml:space="preserve">r</w:t>
      </w:r>
      <w:r>
        <w:rPr>
          <w:rFonts w:ascii="Arial" w:cs="Arial" w:eastAsia="Arial" w:hAnsi="Arial"/>
          <w:sz w:val="22"/>
          <w:szCs w:val="22"/>
        </w:rPr>
        <w:t xml:space="preserve"> = λ + μ × ln(k)</w:t>
      </w:r>
    </w:p>
    <w:p>
      <w:pPr>
        <w:spacing w:before="60" w:after="100"/>
      </w:pPr>
      <w:r>
        <w:rPr>
          <w:rFonts w:ascii="Arial" w:cs="Arial" w:eastAsia="Arial" w:hAnsi="Arial"/>
          <w:sz w:val="22"/>
          <w:szCs w:val="22"/>
        </w:rPr>
        <w:t xml:space="preserve">Where: r = recycling rate (fraction); λ = initial rate (recycle_1); μ = industrial advancement rate (recycle_2); k = years since initial year (1, 2, 3 …).</w:t>
      </w:r>
    </w:p>
    <w:p>
      <w:pPr>
        <w:spacing w:before="60" w:after="0"/>
      </w:pPr>
    </w:p>
    <w:p>
      <w:pPr>
        <w:pStyle w:val="Heading2"/>
        <w:spacing w:before="240" w:after="80"/>
      </w:pPr>
      <w:r>
        <w:rPr>
          <w:rFonts w:ascii="Arial" w:cs="Arial" w:eastAsia="Arial" w:hAnsi="Arial"/>
          <w:b/>
          <w:bCs/>
          <w:color w:val="2D6A4F"/>
          <w:sz w:val="26"/>
          <w:szCs w:val="26"/>
        </w:rPr>
        <w:t xml:space="preserve">Eq. 5 — Landfill Waste Decay Rate</w:t>
      </w:r>
    </w:p>
    <w:p>
      <w:pPr>
        <w:spacing w:before="60" w:after="100"/>
      </w:pPr>
      <w:r>
        <w:rPr>
          <w:rFonts w:ascii="Arial" w:cs="Arial" w:eastAsia="Arial" w:hAnsi="Arial"/>
          <w:i/>
          <w:iCs/>
          <w:sz w:val="22"/>
          <w:szCs w:val="22"/>
        </w:rPr>
        <w:t xml:space="preserve">ρ</w:t>
      </w:r>
      <w:r>
        <w:rPr>
          <w:rFonts w:ascii="Arial" w:cs="Arial" w:eastAsia="Arial" w:hAnsi="Arial"/>
          <w:sz w:val="22"/>
          <w:szCs w:val="22"/>
        </w:rPr>
        <w:t xml:space="preserve">lf = ξ × ln(t</w:t>
      </w:r>
      <w:r>
        <w:rPr>
          <w:rFonts w:ascii="Arial" w:cs="Arial" w:eastAsia="Arial" w:hAnsi="Arial"/>
          <w:i/>
          <w:iCs/>
          <w:sz w:val="22"/>
          <w:szCs w:val="22"/>
        </w:rPr>
        <w:t xml:space="preserve">l</w:t>
      </w:r>
      <w:r>
        <w:rPr>
          <w:rFonts w:ascii="Arial" w:cs="Arial" w:eastAsia="Arial" w:hAnsi="Arial"/>
          <w:sz w:val="22"/>
          <w:szCs w:val="22"/>
        </w:rPr>
        <w:t xml:space="preserve">) / (ω × √(2π))</w:t>
      </w:r>
    </w:p>
    <w:p>
      <w:pPr>
        <w:spacing w:before="60" w:after="100"/>
      </w:pPr>
      <w:r>
        <w:rPr>
          <w:rFonts w:ascii="Arial" w:cs="Arial" w:eastAsia="Arial" w:hAnsi="Arial"/>
          <w:sz w:val="22"/>
          <w:szCs w:val="22"/>
        </w:rPr>
        <w:t xml:space="preserve">Where: ρlf = annual landfill decay rate (fraction); ξ = basic decay rate parameter (e.g. con_decay1); tl = time since disposition (years); ω = turnover time (years) (e.g. con_decay2).</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980B9" w:sz="12"/>
              <w:left w:val="single" w:color="2980B9" w:sz="24"/>
              <w:bottom w:val="single" w:color="BBDDEE" w:sz="4"/>
              <w:right w:val="single" w:color="BBDDEE" w:sz="4"/>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Unit Convention</w:t>
            </w:r>
          </w:p>
          <w:p>
            <w:pPr>
              <w:spacing w:before="40" w:after="0"/>
            </w:pPr>
            <w:r>
              <w:rPr>
                <w:rFonts w:ascii="Arial" w:cs="Arial" w:eastAsia="Arial" w:hAnsi="Arial"/>
                <w:color w:val="2C3E50"/>
                <w:sz w:val="20"/>
                <w:szCs w:val="20"/>
              </w:rPr>
              <w:t xml:space="preserve">All production/consumption data in the input CSV must be in kg C per year.</w:t>
            </w:r>
          </w:p>
          <w:p>
            <w:pPr>
              <w:spacing w:before="40" w:after="0"/>
            </w:pPr>
            <w:r>
              <w:rPr>
                <w:rFonts w:ascii="Arial" w:cs="Arial" w:eastAsia="Arial" w:hAnsi="Arial"/>
                <w:color w:val="2C3E50"/>
                <w:sz w:val="20"/>
                <w:szCs w:val="20"/>
              </w:rPr>
              <w:t xml:space="preserve">Output units can be selected in the interface: kg C, metric tonnes (Mt), or Tg C (= MMTC).</w:t>
            </w:r>
          </w:p>
          <w:p>
            <w:pPr>
              <w:spacing w:before="40" w:after="0"/>
            </w:pPr>
            <w:r>
              <w:rPr>
                <w:rFonts w:ascii="Arial" w:cs="Arial" w:eastAsia="Arial" w:hAnsi="Arial"/>
                <w:color w:val="2C3E50"/>
                <w:sz w:val="20"/>
                <w:szCs w:val="20"/>
              </w:rPr>
              <w:t xml:space="preserve">To convert from dry biomass to carbon: multiply by 0.50 (±0.02 for most wood species).</w:t>
            </w:r>
          </w:p>
          <w:p>
            <w:pPr>
              <w:spacing w:before="40" w:after="0"/>
            </w:pPr>
            <w:r>
              <w:rPr>
                <w:rFonts w:ascii="Arial" w:cs="Arial" w:eastAsia="Arial" w:hAnsi="Arial"/>
                <w:color w:val="2C3E50"/>
                <w:sz w:val="20"/>
                <w:szCs w:val="20"/>
              </w:rPr>
              <w:t xml:space="preserve">To convert from Tg C to CO₂ equivalent: multiply by 3.667 (44/12 g/mol).</w:t>
            </w:r>
          </w:p>
        </w:tc>
      </w:tr>
    </w:tbl>
    <w:p>
      <w:r>
        <w:br w:type="page"/>
      </w:r>
    </w:p>
    <w:p>
      <w:pPr>
        <w:pStyle w:val="Heading1"/>
        <w:spacing w:before="320" w:after="120"/>
      </w:pPr>
      <w:r>
        <w:rPr>
          <w:rFonts w:ascii="Arial" w:cs="Arial" w:eastAsia="Arial" w:hAnsi="Arial"/>
          <w:b/>
          <w:bCs/>
          <w:color w:val="1E3A5F"/>
          <w:sz w:val="32"/>
          <w:szCs w:val="32"/>
        </w:rPr>
        <w:t xml:space="preserve">8. Deploying on GitHub Pages</w:t>
      </w:r>
    </w:p>
    <w:p>
      <w:pPr>
        <w:spacing w:before="60" w:after="100"/>
      </w:pPr>
      <w:r>
        <w:rPr>
          <w:rFonts w:ascii="Arial" w:cs="Arial" w:eastAsia="Arial" w:hAnsi="Arial"/>
          <w:sz w:val="22"/>
          <w:szCs w:val="22"/>
        </w:rPr>
        <w:t xml:space="preserve">Because WPsCT is a pure static web application (HTML + JS + Python-in-browser), it can be hosted for free on GitHub Pages. Supplementary files such as this manual, example datasets, or the carbon flow diagram can be stored in the repository alongside index.html and linked directly.</w:t>
      </w:r>
    </w:p>
    <w:p>
      <w:pPr>
        <w:spacing w:before="60" w:after="0"/>
      </w:pPr>
    </w:p>
    <w:p>
      <w:pPr>
        <w:pStyle w:val="Heading2"/>
        <w:spacing w:before="240" w:after="80"/>
      </w:pPr>
      <w:r>
        <w:rPr>
          <w:rFonts w:ascii="Arial" w:cs="Arial" w:eastAsia="Arial" w:hAnsi="Arial"/>
          <w:b/>
          <w:bCs/>
          <w:color w:val="2D6A4F"/>
          <w:sz w:val="26"/>
          <w:szCs w:val="26"/>
        </w:rPr>
        <w:t xml:space="preserve">Recommended Repository Structure</w:t>
      </w:r>
    </w:p>
    <w:p>
      <w:pPr>
        <w:spacing w:before="20" w:after="20"/>
      </w:pPr>
      <w:r>
        <w:rPr>
          <w:rFonts w:ascii="Courier New" w:cs="Courier New" w:eastAsia="Courier New" w:hAnsi="Courier New"/>
          <w:color w:val="1a1a1a"/>
          <w:sz w:val="19"/>
          <w:szCs w:val="19"/>
        </w:rPr>
        <w:t xml:space="preserve">your-repo/</w:t>
      </w:r>
    </w:p>
    <w:p>
      <w:pPr>
        <w:spacing w:before="20" w:after="20"/>
      </w:pPr>
      <w:r>
        <w:rPr>
          <w:rFonts w:ascii="Courier New" w:cs="Courier New" w:eastAsia="Courier New" w:hAnsi="Courier New"/>
          <w:color w:val="1a1a1a"/>
          <w:sz w:val="19"/>
          <w:szCs w:val="19"/>
        </w:rPr>
        <w:t xml:space="preserve">├── index.html              ← Main application</w:t>
      </w:r>
    </w:p>
    <w:p>
      <w:pPr>
        <w:spacing w:before="20" w:after="20"/>
      </w:pPr>
      <w:r>
        <w:rPr>
          <w:rFonts w:ascii="Courier New" w:cs="Courier New" w:eastAsia="Courier New" w:hAnsi="Courier New"/>
          <w:color w:val="1a1a1a"/>
          <w:sz w:val="19"/>
          <w:szCs w:val="19"/>
        </w:rPr>
        <w:t xml:space="preserve">├── assets/</w:t>
      </w:r>
    </w:p>
    <w:p>
      <w:pPr>
        <w:spacing w:before="20" w:after="20"/>
      </w:pPr>
      <w:r>
        <w:rPr>
          <w:rFonts w:ascii="Courier New" w:cs="Courier New" w:eastAsia="Courier New" w:hAnsi="Courier New"/>
          <w:color w:val="1a1a1a"/>
          <w:sz w:val="19"/>
          <w:szCs w:val="19"/>
        </w:rPr>
        <w:t xml:space="preserve">│   ├── img/</w:t>
      </w:r>
    </w:p>
    <w:p>
      <w:pPr>
        <w:spacing w:before="20" w:after="20"/>
      </w:pPr>
      <w:r>
        <w:rPr>
          <w:rFonts w:ascii="Courier New" w:cs="Courier New" w:eastAsia="Courier New" w:hAnsi="Courier New"/>
          <w:color w:val="1a1a1a"/>
          <w:sz w:val="19"/>
          <w:szCs w:val="19"/>
        </w:rPr>
        <w:t xml:space="preserve">│   │   ├── Logo_USDA.png</w:t>
      </w:r>
    </w:p>
    <w:p>
      <w:pPr>
        <w:spacing w:before="20" w:after="20"/>
      </w:pPr>
      <w:r>
        <w:rPr>
          <w:rFonts w:ascii="Courier New" w:cs="Courier New" w:eastAsia="Courier New" w:hAnsi="Courier New"/>
          <w:color w:val="1a1a1a"/>
          <w:sz w:val="19"/>
          <w:szCs w:val="19"/>
        </w:rPr>
        <w:t xml:space="preserve">│   │   ├── Logo_NSRC.png</w:t>
      </w:r>
    </w:p>
    <w:p>
      <w:pPr>
        <w:spacing w:before="20" w:after="20"/>
      </w:pPr>
      <w:r>
        <w:rPr>
          <w:rFonts w:ascii="Courier New" w:cs="Courier New" w:eastAsia="Courier New" w:hAnsi="Courier New"/>
          <w:color w:val="1a1a1a"/>
          <w:sz w:val="19"/>
          <w:szCs w:val="19"/>
        </w:rPr>
        <w:t xml:space="preserve">│   │   ├── Logo_WGL.png</w:t>
      </w:r>
    </w:p>
    <w:p>
      <w:pPr>
        <w:spacing w:before="20" w:after="20"/>
      </w:pPr>
      <w:r>
        <w:rPr>
          <w:rFonts w:ascii="Courier New" w:cs="Courier New" w:eastAsia="Courier New" w:hAnsi="Courier New"/>
          <w:color w:val="1a1a1a"/>
          <w:sz w:val="19"/>
          <w:szCs w:val="19"/>
        </w:rPr>
        <w:t xml:space="preserve">│   │   └── WPs_Carbon Flow.png</w:t>
      </w:r>
    </w:p>
    <w:p>
      <w:pPr>
        <w:spacing w:before="20" w:after="20"/>
      </w:pPr>
      <w:r>
        <w:rPr>
          <w:rFonts w:ascii="Courier New" w:cs="Courier New" w:eastAsia="Courier New" w:hAnsi="Courier New"/>
          <w:color w:val="1a1a1a"/>
          <w:sz w:val="19"/>
          <w:szCs w:val="19"/>
        </w:rPr>
        <w:t xml:space="preserve">│   └── docs/</w:t>
      </w:r>
    </w:p>
    <w:p>
      <w:pPr>
        <w:spacing w:before="20" w:after="20"/>
      </w:pPr>
      <w:r>
        <w:rPr>
          <w:rFonts w:ascii="Courier New" w:cs="Courier New" w:eastAsia="Courier New" w:hAnsi="Courier New"/>
          <w:color w:val="1a1a1a"/>
          <w:sz w:val="19"/>
          <w:szCs w:val="19"/>
        </w:rPr>
        <w:t xml:space="preserve">│       └── WPsCT_UserManual.docx   ← This document</w:t>
      </w:r>
    </w:p>
    <w:p>
      <w:pPr>
        <w:spacing w:before="20" w:after="20"/>
      </w:pPr>
      <w:r>
        <w:rPr>
          <w:rFonts w:ascii="Courier New" w:cs="Courier New" w:eastAsia="Courier New" w:hAnsi="Courier New"/>
          <w:color w:val="1a1a1a"/>
          <w:sz w:val="19"/>
          <w:szCs w:val="19"/>
        </w:rPr>
        <w:t xml:space="preserve">└── data/</w:t>
      </w:r>
    </w:p>
    <w:p>
      <w:pPr>
        <w:spacing w:before="20" w:after="20"/>
      </w:pPr>
      <w:r>
        <w:rPr>
          <w:rFonts w:ascii="Courier New" w:cs="Courier New" w:eastAsia="Courier New" w:hAnsi="Courier New"/>
          <w:color w:val="1a1a1a"/>
          <w:sz w:val="19"/>
          <w:szCs w:val="19"/>
        </w:rPr>
        <w:t xml:space="preserve">    ├── Maine_example.csv</w:t>
      </w:r>
    </w:p>
    <w:p>
      <w:pPr>
        <w:spacing w:before="20" w:after="20"/>
      </w:pPr>
      <w:r>
        <w:rPr>
          <w:rFonts w:ascii="Courier New" w:cs="Courier New" w:eastAsia="Courier New" w:hAnsi="Courier New"/>
          <w:color w:val="1a1a1a"/>
          <w:sz w:val="19"/>
          <w:szCs w:val="19"/>
        </w:rPr>
        <w:t xml:space="preserve">    └── US_example.csv</w:t>
      </w:r>
    </w:p>
    <w:p>
      <w:pPr>
        <w:spacing w:before="80" w:after="0"/>
      </w:pPr>
    </w:p>
    <w:p>
      <w:pPr>
        <w:pStyle w:val="Heading2"/>
        <w:spacing w:before="240" w:after="80"/>
      </w:pPr>
      <w:r>
        <w:rPr>
          <w:rFonts w:ascii="Arial" w:cs="Arial" w:eastAsia="Arial" w:hAnsi="Arial"/>
          <w:b/>
          <w:bCs/>
          <w:color w:val="2D6A4F"/>
          <w:sz w:val="26"/>
          <w:szCs w:val="26"/>
        </w:rPr>
        <w:t xml:space="preserve">How to Add Files to GitHub</w:t>
      </w:r>
    </w:p>
    <w:p>
      <w:pPr>
        <w:pStyle w:val="ListParagraph"/>
        <w:numPr>
          <w:ilvl w:val="0"/>
          <w:numId w:val="2"/>
        </w:numPr>
        <w:spacing w:before="40" w:after="60"/>
      </w:pPr>
      <w:r>
        <w:rPr>
          <w:rFonts w:ascii="Arial" w:cs="Arial" w:eastAsia="Arial" w:hAnsi="Arial"/>
          <w:sz w:val="22"/>
          <w:szCs w:val="22"/>
        </w:rPr>
        <w:t xml:space="preserve">In your GitHub repository, click Add file → Upload files.</w:t>
      </w:r>
    </w:p>
    <w:p>
      <w:pPr>
        <w:pStyle w:val="ListParagraph"/>
        <w:numPr>
          <w:ilvl w:val="0"/>
          <w:numId w:val="2"/>
        </w:numPr>
        <w:spacing w:before="40" w:after="60"/>
      </w:pPr>
      <w:r>
        <w:rPr>
          <w:rFonts w:ascii="Arial" w:cs="Arial" w:eastAsia="Arial" w:hAnsi="Arial"/>
          <w:sz w:val="22"/>
          <w:szCs w:val="22"/>
        </w:rPr>
        <w:t xml:space="preserve">Navigate to or create the target folder (e.g. assets/docs/).</w:t>
      </w:r>
    </w:p>
    <w:p>
      <w:pPr>
        <w:pStyle w:val="ListParagraph"/>
        <w:numPr>
          <w:ilvl w:val="0"/>
          <w:numId w:val="2"/>
        </w:numPr>
        <w:spacing w:before="40" w:after="60"/>
      </w:pPr>
      <w:r>
        <w:rPr>
          <w:rFonts w:ascii="Arial" w:cs="Arial" w:eastAsia="Arial" w:hAnsi="Arial"/>
          <w:sz w:val="22"/>
          <w:szCs w:val="22"/>
        </w:rPr>
        <w:t xml:space="preserve">Drag and drop your .docx file (or other files) into the upload area.</w:t>
      </w:r>
    </w:p>
    <w:p>
      <w:pPr>
        <w:pStyle w:val="ListParagraph"/>
        <w:numPr>
          <w:ilvl w:val="0"/>
          <w:numId w:val="2"/>
        </w:numPr>
        <w:spacing w:before="40" w:after="60"/>
      </w:pPr>
      <w:r>
        <w:rPr>
          <w:rFonts w:ascii="Arial" w:cs="Arial" w:eastAsia="Arial" w:hAnsi="Arial"/>
          <w:sz w:val="22"/>
          <w:szCs w:val="22"/>
        </w:rPr>
        <w:t xml:space="preserve">Click Commit changes. The file is now hosted at:</w:t>
      </w:r>
    </w:p>
    <w:p>
      <w:pPr>
        <w:spacing w:before="60" w:after="100"/>
      </w:pPr>
      <w:r>
        <w:rPr>
          <w:rFonts w:ascii="Courier New" w:cs="Courier New" w:eastAsia="Courier New" w:hAnsi="Courier New"/>
          <w:color w:val="C0392B"/>
          <w:sz w:val="20"/>
          <w:szCs w:val="20"/>
        </w:rPr>
        <w:t xml:space="preserve">  https://your-username.github.io/your-repo/assets/docs/WPsCT_UserManual.docx</w:t>
      </w:r>
    </w:p>
    <w:p>
      <w:pPr>
        <w:spacing w:before="60" w:after="0"/>
      </w:pPr>
    </w:p>
    <w:p>
      <w:pPr>
        <w:pStyle w:val="Heading2"/>
        <w:spacing w:before="240" w:after="80"/>
      </w:pPr>
      <w:r>
        <w:rPr>
          <w:rFonts w:ascii="Arial" w:cs="Arial" w:eastAsia="Arial" w:hAnsi="Arial"/>
          <w:b/>
          <w:bCs/>
          <w:color w:val="2D6A4F"/>
          <w:sz w:val="26"/>
          <w:szCs w:val="26"/>
        </w:rPr>
        <w:t xml:space="preserve">Linking to the Manual from index.html</w:t>
      </w:r>
    </w:p>
    <w:p>
      <w:pPr>
        <w:spacing w:before="60" w:after="100"/>
      </w:pPr>
      <w:r>
        <w:rPr>
          <w:rFonts w:ascii="Arial" w:cs="Arial" w:eastAsia="Arial" w:hAnsi="Arial"/>
          <w:sz w:val="22"/>
          <w:szCs w:val="22"/>
        </w:rPr>
        <w:t xml:space="preserve">In the User Guide tab, the download button links to the manual using a relative path:</w:t>
      </w:r>
    </w:p>
    <w:p>
      <w:pPr>
        <w:spacing w:before="60" w:after="100"/>
      </w:pPr>
      <w:r>
        <w:rPr>
          <w:rFonts w:ascii="Courier New" w:cs="Courier New" w:eastAsia="Courier New" w:hAnsi="Courier New"/>
          <w:color w:val="C0392B"/>
          <w:sz w:val="20"/>
          <w:szCs w:val="20"/>
        </w:rPr>
        <w:t xml:space="preserve">  &lt;a href="./assets/docs/WPsCT_UserManual.docx" download&gt;⬇ Download User Manual&lt;/a&gt;</w:t>
      </w:r>
    </w:p>
    <w:p>
      <w:pPr>
        <w:spacing w:before="60" w:after="100"/>
      </w:pPr>
      <w:r>
        <w:rPr>
          <w:rFonts w:ascii="Arial" w:cs="Arial" w:eastAsia="Arial" w:hAnsi="Arial"/>
          <w:sz w:val="22"/>
          <w:szCs w:val="22"/>
        </w:rPr>
        <w:t xml:space="preserve">Because the path is relative, it works both on GitHub Pages and when the project is opened locally from any folder.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2980B9" w:sz="12"/>
              <w:left w:val="single" w:color="2980B9" w:sz="24"/>
              <w:bottom w:val="single" w:color="BBDDEE" w:sz="4"/>
              <w:right w:val="single" w:color="BBDDEE" w:sz="4"/>
            </w:tcBorders>
            <w:shd w:fill="FFF3CD" w:val="clear"/>
            <w:tcMar>
              <w:top w:type="dxa" w:w="120"/>
              <w:left w:type="dxa" w:w="200"/>
              <w:bottom w:type="dxa" w:w="120"/>
              <w:right w:type="dxa" w:w="200"/>
            </w:tcMar>
          </w:tcPr>
          <w:p>
            <w:r>
              <w:rPr>
                <w:rFonts w:ascii="Arial" w:cs="Arial" w:eastAsia="Arial" w:hAnsi="Arial"/>
                <w:b/>
                <w:bCs/>
                <w:color w:val="7D4A00"/>
                <w:sz w:val="22"/>
                <w:szCs w:val="22"/>
              </w:rPr>
              <w:t xml:space="preserve">File Size Tip</w:t>
            </w:r>
          </w:p>
          <w:p>
            <w:pPr>
              <w:spacing w:before="40" w:after="0"/>
            </w:pPr>
            <w:r>
              <w:rPr>
                <w:rFonts w:ascii="Arial" w:cs="Arial" w:eastAsia="Arial" w:hAnsi="Arial"/>
                <w:color w:val="2C3E50"/>
                <w:sz w:val="20"/>
                <w:szCs w:val="20"/>
              </w:rPr>
              <w:t xml:space="preserve">GitHub has a 100 MB per-file limit for regular pushes (25 MB via browser upload).</w:t>
            </w:r>
          </w:p>
          <w:p>
            <w:pPr>
              <w:spacing w:before="40" w:after="0"/>
            </w:pPr>
            <w:r>
              <w:rPr>
                <w:rFonts w:ascii="Arial" w:cs="Arial" w:eastAsia="Arial" w:hAnsi="Arial"/>
                <w:color w:val="2C3E50"/>
                <w:sz w:val="20"/>
                <w:szCs w:val="20"/>
              </w:rPr>
              <w:t xml:space="preserve">This manual is well within limits. For large datasets (&gt;25 MB), use Git LFS or</w:t>
            </w:r>
          </w:p>
          <w:p>
            <w:pPr>
              <w:spacing w:before="40" w:after="0"/>
            </w:pPr>
            <w:r>
              <w:rPr>
                <w:rFonts w:ascii="Arial" w:cs="Arial" w:eastAsia="Arial" w:hAnsi="Arial"/>
                <w:color w:val="2C3E50"/>
                <w:sz w:val="20"/>
                <w:szCs w:val="20"/>
              </w:rPr>
              <w:t xml:space="preserve">host data on an external service (Zenodo, OSF, Google Drive) and link to it.</w:t>
            </w:r>
          </w:p>
        </w:tc>
      </w:tr>
    </w:tbl>
    <w:p>
      <w:r>
        <w:br w:type="page"/>
      </w:r>
    </w:p>
    <w:p>
      <w:pPr>
        <w:pStyle w:val="Heading1"/>
        <w:spacing w:before="320" w:after="120"/>
      </w:pPr>
      <w:r>
        <w:rPr>
          <w:rFonts w:ascii="Arial" w:cs="Arial" w:eastAsia="Arial" w:hAnsi="Arial"/>
          <w:b/>
          <w:bCs/>
          <w:color w:val="1E3A5F"/>
          <w:sz w:val="32"/>
          <w:szCs w:val="32"/>
        </w:rPr>
        <w:t xml:space="preserve">9. Frequently Asked Questions</w:t>
      </w:r>
    </w:p>
    <w:p>
      <w:pPr>
        <w:pStyle w:val="Heading3"/>
        <w:spacing w:before="180" w:after="60"/>
      </w:pPr>
      <w:r>
        <w:rPr>
          <w:rFonts w:ascii="Arial" w:cs="Arial" w:eastAsia="Arial" w:hAnsi="Arial"/>
          <w:b/>
          <w:bCs/>
          <w:color w:val="374151"/>
          <w:sz w:val="22"/>
          <w:szCs w:val="22"/>
        </w:rPr>
        <w:t xml:space="preserve">Q: How long does initialization take?</w:t>
      </w:r>
    </w:p>
    <w:p>
      <w:pPr>
        <w:spacing w:before="60" w:after="100"/>
      </w:pPr>
      <w:r>
        <w:rPr>
          <w:rFonts w:ascii="Arial" w:cs="Arial" w:eastAsia="Arial" w:hAnsi="Arial"/>
          <w:sz w:val="22"/>
          <w:szCs w:val="22"/>
        </w:rPr>
        <w:t xml:space="preserve">The first initialization in a new browser session downloads Pyodide (~50 MB) and compiles the Python packages. This takes 30–90 seconds depending on your internet connection. Subsequent initializations within the same session are near-instant. The page must remain open during initialization.</w:t>
      </w:r>
    </w:p>
    <w:p>
      <w:pPr>
        <w:pStyle w:val="Heading3"/>
        <w:spacing w:before="180" w:after="60"/>
      </w:pPr>
      <w:r>
        <w:rPr>
          <w:rFonts w:ascii="Arial" w:cs="Arial" w:eastAsia="Arial" w:hAnsi="Arial"/>
          <w:b/>
          <w:bCs/>
          <w:color w:val="374151"/>
          <w:sz w:val="22"/>
          <w:szCs w:val="22"/>
        </w:rPr>
        <w:t xml:space="preserve">Q: Does my data leave my computer?</w:t>
      </w:r>
    </w:p>
    <w:p>
      <w:pPr>
        <w:spacing w:before="60" w:after="100"/>
      </w:pPr>
      <w:r>
        <w:rPr>
          <w:rFonts w:ascii="Arial" w:cs="Arial" w:eastAsia="Arial" w:hAnsi="Arial"/>
          <w:sz w:val="22"/>
          <w:szCs w:val="22"/>
        </w:rPr>
        <w:t xml:space="preserve">No. All computation runs entirely within your browser using WebAssembly. No data is transmitted to any server. The uploaded CSV files are only accessible to the Python runtime running locally in your browser tab.</w:t>
      </w:r>
    </w:p>
    <w:p>
      <w:pPr>
        <w:pStyle w:val="Heading3"/>
        <w:spacing w:before="180" w:after="60"/>
      </w:pPr>
      <w:r>
        <w:rPr>
          <w:rFonts w:ascii="Arial" w:cs="Arial" w:eastAsia="Arial" w:hAnsi="Arial"/>
          <w:b/>
          <w:bCs/>
          <w:color w:val="374151"/>
          <w:sz w:val="22"/>
          <w:szCs w:val="22"/>
        </w:rPr>
        <w:t xml:space="preserve">Q: My CSV file gives an error. What should I check?</w:t>
      </w:r>
    </w:p>
    <w:p>
      <w:pPr>
        <w:pStyle w:val="ListParagraph"/>
        <w:numPr>
          <w:ilvl w:val="0"/>
          <w:numId w:val="3"/>
        </w:numPr>
        <w:spacing w:before="40" w:after="60"/>
      </w:pPr>
      <w:r>
        <w:rPr>
          <w:rFonts w:ascii="Arial" w:cs="Arial" w:eastAsia="Arial" w:hAnsi="Arial"/>
          <w:sz w:val="22"/>
          <w:szCs w:val="22"/>
        </w:rPr>
        <w:t xml:space="preserve">Column headers are case-sensitive. 'Construction' works; 'construction' does not.</w:t>
      </w:r>
    </w:p>
    <w:p>
      <w:pPr>
        <w:pStyle w:val="ListParagraph"/>
        <w:numPr>
          <w:ilvl w:val="0"/>
          <w:numId w:val="3"/>
        </w:numPr>
        <w:spacing w:before="40" w:after="60"/>
      </w:pPr>
      <w:r>
        <w:rPr>
          <w:rFonts w:ascii="Arial" w:cs="Arial" w:eastAsia="Arial" w:hAnsi="Arial"/>
          <w:sz w:val="22"/>
          <w:szCs w:val="22"/>
        </w:rPr>
        <w:t xml:space="preserve">All values must be numeric. Remove commas used as thousands separators.</w:t>
      </w:r>
    </w:p>
    <w:p>
      <w:pPr>
        <w:pStyle w:val="ListParagraph"/>
        <w:numPr>
          <w:ilvl w:val="0"/>
          <w:numId w:val="3"/>
        </w:numPr>
        <w:spacing w:before="40" w:after="60"/>
      </w:pPr>
      <w:r>
        <w:rPr>
          <w:rFonts w:ascii="Arial" w:cs="Arial" w:eastAsia="Arial" w:hAnsi="Arial"/>
          <w:sz w:val="22"/>
          <w:szCs w:val="22"/>
        </w:rPr>
        <w:t xml:space="preserve">The Year column must be integers with no missing years.</w:t>
      </w:r>
    </w:p>
    <w:p>
      <w:pPr>
        <w:pStyle w:val="ListParagraph"/>
        <w:numPr>
          <w:ilvl w:val="0"/>
          <w:numId w:val="3"/>
        </w:numPr>
        <w:spacing w:before="40" w:after="60"/>
      </w:pPr>
      <w:r>
        <w:rPr>
          <w:rFonts w:ascii="Arial" w:cs="Arial" w:eastAsia="Arial" w:hAnsi="Arial"/>
          <w:sz w:val="22"/>
          <w:szCs w:val="22"/>
        </w:rPr>
        <w:t xml:space="preserve">The file must use comma separation, not semicolons (common in European Excel exports).</w:t>
      </w:r>
    </w:p>
    <w:p>
      <w:pPr>
        <w:pStyle w:val="ListParagraph"/>
        <w:numPr>
          <w:ilvl w:val="0"/>
          <w:numId w:val="3"/>
        </w:numPr>
        <w:spacing w:before="40" w:after="60"/>
      </w:pPr>
      <w:r>
        <w:rPr>
          <w:rFonts w:ascii="Arial" w:cs="Arial" w:eastAsia="Arial" w:hAnsi="Arial"/>
          <w:sz w:val="22"/>
          <w:szCs w:val="22"/>
        </w:rPr>
        <w:t xml:space="preserve">Save from Excel as 'CSV UTF-8 (Comma delimited)' format.</w:t>
      </w:r>
    </w:p>
    <w:p>
      <w:pPr>
        <w:pStyle w:val="Heading3"/>
        <w:spacing w:before="180" w:after="60"/>
      </w:pPr>
      <w:r>
        <w:rPr>
          <w:rFonts w:ascii="Arial" w:cs="Arial" w:eastAsia="Arial" w:hAnsi="Arial"/>
          <w:b/>
          <w:bCs/>
          <w:color w:val="374151"/>
          <w:sz w:val="22"/>
          <w:szCs w:val="22"/>
        </w:rPr>
        <w:t xml:space="preserve">Q: Can I use data in units other than kg C?</w:t>
      </w:r>
    </w:p>
    <w:p>
      <w:pPr>
        <w:spacing w:before="60" w:after="100"/>
      </w:pPr>
      <w:r>
        <w:rPr>
          <w:rFonts w:ascii="Arial" w:cs="Arial" w:eastAsia="Arial" w:hAnsi="Arial"/>
          <w:sz w:val="22"/>
          <w:szCs w:val="22"/>
        </w:rPr>
        <w:t xml:space="preserve">Yes — select the matching Input Units radio button before running. Supported input units: kg, lbs, Mt, and Tg C. The model internally converts everything to kg C before computation. Output can be plotted in kg or Tg C.</w:t>
      </w:r>
    </w:p>
    <w:p>
      <w:pPr>
        <w:pStyle w:val="Heading3"/>
        <w:spacing w:before="180" w:after="60"/>
      </w:pPr>
      <w:r>
        <w:rPr>
          <w:rFonts w:ascii="Arial" w:cs="Arial" w:eastAsia="Arial" w:hAnsi="Arial"/>
          <w:b/>
          <w:bCs/>
          <w:color w:val="374151"/>
          <w:sz w:val="22"/>
          <w:szCs w:val="22"/>
        </w:rPr>
        <w:t xml:space="preserve">Q: How do I convert dry biomass weight to kg C?</w:t>
      </w:r>
    </w:p>
    <w:p>
      <w:pPr>
        <w:spacing w:before="60" w:after="100"/>
      </w:pPr>
      <w:r>
        <w:rPr>
          <w:rFonts w:ascii="Arial" w:cs="Arial" w:eastAsia="Arial" w:hAnsi="Arial"/>
          <w:sz w:val="22"/>
          <w:szCs w:val="22"/>
        </w:rPr>
        <w:t xml:space="preserve">Multiply dry biomass by 0.50 (the default carbon fraction for most wood species). For example, 1,000 kg dry wood ≈ 500 kg C. You can also use the Industrial Logs tab to estimate the carbon content of individual log dimensions.</w:t>
      </w:r>
    </w:p>
    <w:p>
      <w:pPr>
        <w:pStyle w:val="Heading3"/>
        <w:spacing w:before="180" w:after="60"/>
      </w:pPr>
      <w:r>
        <w:rPr>
          <w:rFonts w:ascii="Arial" w:cs="Arial" w:eastAsia="Arial" w:hAnsi="Arial"/>
          <w:b/>
          <w:bCs/>
          <w:color w:val="374151"/>
          <w:sz w:val="22"/>
          <w:szCs w:val="22"/>
        </w:rPr>
        <w:t xml:space="preserve">Q: How do I parameterize the model for a region outside the US?</w:t>
      </w:r>
    </w:p>
    <w:p>
      <w:pPr>
        <w:spacing w:before="60" w:after="100"/>
      </w:pPr>
      <w:r>
        <w:rPr>
          <w:rFonts w:ascii="Arial" w:cs="Arial" w:eastAsia="Arial" w:hAnsi="Arial"/>
          <w:sz w:val="22"/>
          <w:szCs w:val="22"/>
        </w:rPr>
        <w:t xml:space="preserve">Prepare a custom parameters CSV (Section 3.2) with region-appropriate values for service half-lives, recycling rates, and landfill decay rates. These parameters can be obtained from national life cycle inventory databases, industry surveys, or by calibrating against observed carbon stock data. See Wei et al. (2023) Table 1 and Supplementary Table S1 for parameter derivation details.</w:t>
      </w:r>
    </w:p>
    <w:p>
      <w:pPr>
        <w:pStyle w:val="Heading3"/>
        <w:spacing w:before="180" w:after="60"/>
      </w:pPr>
      <w:r>
        <w:rPr>
          <w:rFonts w:ascii="Arial" w:cs="Arial" w:eastAsia="Arial" w:hAnsi="Arial"/>
          <w:b/>
          <w:bCs/>
          <w:color w:val="374151"/>
          <w:sz w:val="22"/>
          <w:szCs w:val="22"/>
        </w:rPr>
        <w:t xml:space="preserve">Q: What does 'Tg C (MMTC)' mean in the plot units?</w:t>
      </w:r>
    </w:p>
    <w:p>
      <w:pPr>
        <w:spacing w:before="60" w:after="100"/>
      </w:pPr>
      <w:r>
        <w:rPr>
          <w:rFonts w:ascii="Arial" w:cs="Arial" w:eastAsia="Arial" w:hAnsi="Arial"/>
          <w:sz w:val="22"/>
          <w:szCs w:val="22"/>
        </w:rPr>
        <w:t xml:space="preserve">Tg C = Teragram of carbon = 10¹² grams = 1 million metric tonnes of carbon. This is equivalent to MMTC (Million Metric Tonnes of Carbon), a common unit in national greenhouse gas inventory reporting.</w:t>
      </w:r>
    </w:p>
    <w:p>
      <w:r>
        <w:br w:type="page"/>
      </w:r>
    </w:p>
    <w:p>
      <w:pPr>
        <w:pStyle w:val="Heading1"/>
        <w:spacing w:before="320" w:after="120"/>
      </w:pPr>
      <w:r>
        <w:rPr>
          <w:rFonts w:ascii="Arial" w:cs="Arial" w:eastAsia="Arial" w:hAnsi="Arial"/>
          <w:b/>
          <w:bCs/>
          <w:color w:val="1E3A5F"/>
          <w:sz w:val="32"/>
          <w:szCs w:val="32"/>
        </w:rPr>
        <w:t xml:space="preserve">10. Citation &amp; License</w:t>
      </w:r>
    </w:p>
    <w:p>
      <w:pPr>
        <w:pStyle w:val="Heading2"/>
        <w:spacing w:before="240" w:after="80"/>
      </w:pPr>
      <w:r>
        <w:rPr>
          <w:rFonts w:ascii="Arial" w:cs="Arial" w:eastAsia="Arial" w:hAnsi="Arial"/>
          <w:b/>
          <w:bCs/>
          <w:color w:val="2D6A4F"/>
          <w:sz w:val="26"/>
          <w:szCs w:val="26"/>
        </w:rPr>
        <w:t xml:space="preserve">Please cite the underlying methodology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8"/>
            </w:tcBorders>
            <w:shd w:fill="F0FAF4" w:val="clear"/>
            <w:tcMar>
              <w:top w:type="dxa" w:w="160"/>
              <w:left w:type="dxa" w:w="240"/>
              <w:bottom w:type="dxa" w:w="160"/>
              <w:right w:type="dxa" w:w="240"/>
            </w:tcMar>
          </w:tcPr>
          <w:p>
            <w:r>
              <w:rPr>
                <w:rFonts w:ascii="Arial" w:cs="Arial" w:eastAsia="Arial" w:hAnsi="Arial"/>
                <w:i/>
                <w:iCs/>
                <w:sz w:val="22"/>
                <w:szCs w:val="22"/>
              </w:rPr>
              <w:t xml:space="preserve">Wei, X., Zhao, J., Hayes, D.J., Daigneault, A., &amp; Zhu, H. (2023). A life cycle and product type based estimator for quantifying the carbon stored in wood products. </w:t>
            </w:r>
            <w:r>
              <w:rPr>
                <w:rFonts w:ascii="Arial" w:cs="Arial" w:eastAsia="Arial" w:hAnsi="Arial"/>
                <w:sz w:val="22"/>
                <w:szCs w:val="22"/>
              </w:rPr>
              <w:t xml:space="preserve">Carbon Balance and Management, 18</w:t>
            </w:r>
            <w:r>
              <w:rPr>
                <w:rFonts w:ascii="Arial" w:cs="Arial" w:eastAsia="Arial" w:hAnsi="Arial"/>
                <w:sz w:val="22"/>
                <w:szCs w:val="22"/>
              </w:rPr>
              <w:t xml:space="preserve">, 1. https://doi.org/10.1186/s13021-022-00220-y</w:t>
            </w:r>
          </w:p>
        </w:tc>
      </w:tr>
    </w:tbl>
    <w:p>
      <w:pPr>
        <w:spacing w:before="100" w:after="0"/>
      </w:pPr>
    </w:p>
    <w:p>
      <w:pPr>
        <w:pStyle w:val="Heading2"/>
        <w:spacing w:before="240" w:after="80"/>
      </w:pPr>
      <w:r>
        <w:rPr>
          <w:rFonts w:ascii="Arial" w:cs="Arial" w:eastAsia="Arial" w:hAnsi="Arial"/>
          <w:b/>
          <w:bCs/>
          <w:color w:val="2D6A4F"/>
          <w:sz w:val="26"/>
          <w:szCs w:val="26"/>
        </w:rPr>
        <w:t xml:space="preserve">Software Citation</w:t>
      </w:r>
    </w:p>
    <w:p>
      <w:pPr>
        <w:spacing w:before="60" w:after="100"/>
      </w:pPr>
      <w:r>
        <w:rPr>
          <w:rFonts w:ascii="Arial" w:cs="Arial" w:eastAsia="Arial" w:hAnsi="Arial"/>
          <w:sz w:val="22"/>
          <w:szCs w:val="22"/>
        </w:rPr>
        <w:t xml:space="preserve">Wei, X. (2025). Wood Products Carbon Tracker [Web Application]. University of Maine. </w:t>
      </w:r>
      <w:hyperlink w:history="1" r:id="rIdl_fhqyaqqd7nqxjebug1j">
        <w:r>
          <w:rPr>
            <w:rStyle w:val="Hyperlink"/>
            <w:rFonts w:ascii="Arial" w:cs="Arial" w:eastAsia="Arial" w:hAnsi="Arial"/>
            <w:sz w:val="22"/>
            <w:szCs w:val="22"/>
          </w:rPr>
          <w:t xml:space="preserve">https://xinyuanwylb19.github.io/xinyuanwylb19-Wood-Products-Carbon-Tracker/</w:t>
        </w:r>
      </w:hyperlink>
    </w:p>
    <w:p>
      <w:pPr>
        <w:spacing w:before="80" w:after="0"/>
      </w:pPr>
    </w:p>
    <w:p>
      <w:pPr>
        <w:pStyle w:val="Heading2"/>
        <w:spacing w:before="240" w:after="80"/>
      </w:pPr>
      <w:r>
        <w:rPr>
          <w:rFonts w:ascii="Arial" w:cs="Arial" w:eastAsia="Arial" w:hAnsi="Arial"/>
          <w:b/>
          <w:bCs/>
          <w:color w:val="2D6A4F"/>
          <w:sz w:val="26"/>
          <w:szCs w:val="26"/>
        </w:rPr>
        <w:t xml:space="preserve">Funding</w:t>
      </w:r>
    </w:p>
    <w:p>
      <w:pPr>
        <w:pStyle w:val="ListParagraph"/>
        <w:numPr>
          <w:ilvl w:val="0"/>
          <w:numId w:val="3"/>
        </w:numPr>
        <w:spacing w:before="40" w:after="60"/>
      </w:pPr>
      <w:r>
        <w:rPr>
          <w:rFonts w:ascii="Arial" w:cs="Arial" w:eastAsia="Arial" w:hAnsi="Arial"/>
          <w:sz w:val="22"/>
          <w:szCs w:val="22"/>
        </w:rPr>
        <w:t xml:space="preserve">USDA — Northeastern States Research Cooperative (NSRC)</w:t>
      </w:r>
    </w:p>
    <w:p>
      <w:pPr>
        <w:pStyle w:val="ListParagraph"/>
        <w:numPr>
          <w:ilvl w:val="0"/>
          <w:numId w:val="3"/>
        </w:numPr>
        <w:spacing w:before="40" w:after="60"/>
      </w:pPr>
      <w:r>
        <w:rPr>
          <w:rFonts w:ascii="Arial" w:cs="Arial" w:eastAsia="Arial" w:hAnsi="Arial"/>
          <w:sz w:val="22"/>
          <w:szCs w:val="22"/>
        </w:rPr>
        <w:t xml:space="preserve">NASA — Carbon Monitoring System (Phase 2)</w:t>
      </w:r>
    </w:p>
    <w:p>
      <w:pPr>
        <w:spacing w:before="80" w:after="0"/>
      </w:pPr>
    </w:p>
    <w:p>
      <w:pPr>
        <w:pStyle w:val="Heading2"/>
        <w:spacing w:before="240" w:after="80"/>
      </w:pPr>
      <w:r>
        <w:rPr>
          <w:rFonts w:ascii="Arial" w:cs="Arial" w:eastAsia="Arial" w:hAnsi="Arial"/>
          <w:b/>
          <w:bCs/>
          <w:color w:val="2D6A4F"/>
          <w:sz w:val="26"/>
          <w:szCs w:val="26"/>
        </w:rPr>
        <w:t xml:space="preserve">License</w:t>
      </w:r>
    </w:p>
    <w:p>
      <w:pPr>
        <w:spacing w:before="60" w:after="100"/>
      </w:pPr>
      <w:r>
        <w:rPr>
          <w:rFonts w:ascii="Arial" w:cs="Arial" w:eastAsia="Arial" w:hAnsi="Arial"/>
          <w:sz w:val="22"/>
          <w:szCs w:val="22"/>
        </w:rPr>
        <w:t xml:space="preserve">This web application is released under the MIT License. The underlying WPsCS Estimator methodology is described in Wei et al. (2023), published Open Access under Creative Commons Attribution 4.0 (CC BY 4.0).</w:t>
      </w:r>
    </w:p>
    <w:p>
      <w:pPr>
        <w:spacing w:before="120" w:after="0"/>
      </w:pPr>
    </w:p>
    <w:p>
      <w:pPr>
        <w:spacing w:before="200" w:after="0"/>
        <w:jc w:val="center"/>
      </w:pPr>
      <w:r>
        <w:rPr>
          <w:rFonts w:ascii="Arial" w:cs="Arial" w:eastAsia="Arial" w:hAnsi="Arial"/>
          <w:i/>
          <w:iCs/>
          <w:color w:val="999999"/>
          <w:sz w:val="20"/>
          <w:szCs w:val="20"/>
        </w:rPr>
        <w:t xml:space="preserve">— End of User Manual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University of Maine · Wei et al. (2023)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888888"/>
        <w:sz w:val="18"/>
        <w:szCs w:val="18"/>
      </w:rPr>
      <w:t xml:space="preserve">Wood Products Carbon Tracker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D6A4F"/>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czvzaeu37cv9ic0fnzb0" Type="http://schemas.openxmlformats.org/officeDocument/2006/relationships/hyperlink" Target="https://xinyuanwylb19.github.io/xinyuanwylb19-Wood-Products-Carbon-Tracker/" TargetMode="External"/><Relationship Id="rIdnpxvxf80diorzwmblwvxi" Type="http://schemas.openxmlformats.org/officeDocument/2006/relationships/hyperlink" Target="https://doi.org/10.1186/s13021-022-00220-y" TargetMode="External"/><Relationship Id="rIdl_fhqyaqqd7nqxjebug1j" Type="http://schemas.openxmlformats.org/officeDocument/2006/relationships/hyperlink" Target="https://xinyuanwylb19.github.io/xinyuanwylb19-Wood-Products-Carbon-Tracker/"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2026-03-06T16:34:03.363Z</dcterms:created>
  <dcterms:modified xsi:type="dcterms:W3CDTF">2026-03-06T16:34:03.365Z</dcterms:modified>
</cp:coreProperties>
</file>

<file path=docProps/custom.xml><?xml version="1.0" encoding="utf-8"?>
<Properties xmlns="http://schemas.openxmlformats.org/officeDocument/2006/custom-properties" xmlns:vt="http://schemas.openxmlformats.org/officeDocument/2006/docPropsVTypes"/>
</file>