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36" w:lineRule="auto"/>
        <w:jc w:val="center"/>
      </w:pPr>
      <w:r>
        <w:rPr>
          <w:rFonts w:ascii="SimHei" w:hAnsi="SimHei" w:eastAsia="方正小标宋简体"/>
          <w:b/>
          <w:color w:val="000000"/>
          <w:sz w:val="44"/>
        </w:rPr>
        <w:t>广东交通建设项目档案管理制度标准体系</w:t>
        <w:br/>
      </w:r>
      <w:r>
        <w:rPr>
          <w:rFonts w:ascii="SimHei" w:hAnsi="SimHei" w:eastAsia="方正小标宋简体"/>
          <w:b/>
          <w:color w:val="000000"/>
          <w:sz w:val="44"/>
        </w:rPr>
        <w:t>（征询意见稿）评估与优化建议报告</w:t>
      </w:r>
    </w:p>
    <w:p>
      <w:pPr>
        <w:spacing w:after="360"/>
        <w:jc w:val="center"/>
      </w:pPr>
      <w:r>
        <w:rPr>
          <w:rFonts w:ascii="KaiTi" w:hAnsi="KaiTi" w:eastAsia="楷体"/>
          <w:b w:val="0"/>
          <w:color w:val="000000"/>
          <w:sz w:val="28"/>
        </w:rPr>
        <w:t>（2026年7月3日）</w:t>
      </w:r>
    </w:p>
    <w:p>
      <w:pPr>
        <w:spacing w:line="324" w:lineRule="auto" w:after="40"/>
        <w:ind w:firstLine="480"/>
      </w:pPr>
      <w:r>
        <w:rPr>
          <w:rFonts w:ascii="FangSong" w:hAnsi="FangSong" w:eastAsia="仿宋"/>
          <w:b w:val="0"/>
          <w:color w:val="000000"/>
          <w:sz w:val="24"/>
        </w:rPr>
        <w:t>受托对广东省交通运输厅组织编制的广东省公路、水运及省管铁路建设项目档案管理制度标准体系（征询意见稿）全套文件进行专家评估。本人以资深档案管理专家身份，依据国家档案法律法规、现行档案业务标准和交通建设项目档案管理实务经验，对七个文件逐件逐条审读比对，形成本评估与优化建议报告，供起草组修改完善时参考。</w:t>
      </w:r>
    </w:p>
    <w:p>
      <w:pPr>
        <w:spacing w:before="280" w:after="120" w:line="336" w:lineRule="auto"/>
      </w:pPr>
      <w:r>
        <w:rPr>
          <w:rFonts w:ascii="SimHei" w:hAnsi="SimHei" w:eastAsia="黑体"/>
          <w:b/>
          <w:color w:val="000000"/>
          <w:sz w:val="30"/>
        </w:rPr>
        <w:t>一、评估工作概述</w:t>
      </w:r>
    </w:p>
    <w:p>
      <w:pPr>
        <w:spacing w:before="160" w:after="80" w:line="336" w:lineRule="auto"/>
        <w:ind w:firstLine="480"/>
      </w:pPr>
      <w:r>
        <w:rPr>
          <w:rFonts w:ascii="KaiTi" w:hAnsi="KaiTi" w:eastAsia="楷体"/>
          <w:b/>
          <w:color w:val="000000"/>
          <w:sz w:val="26"/>
        </w:rPr>
        <w:t>（一）评估背景与对象</w:t>
      </w:r>
    </w:p>
    <w:p>
      <w:pPr>
        <w:spacing w:line="324" w:lineRule="auto" w:after="40"/>
        <w:ind w:firstLine="480"/>
      </w:pPr>
      <w:r>
        <w:rPr>
          <w:rFonts w:ascii="FangSong" w:hAnsi="FangSong" w:eastAsia="仿宋"/>
          <w:b w:val="0"/>
          <w:color w:val="000000"/>
          <w:sz w:val="24"/>
        </w:rPr>
        <w:t>2010年以来，省交通运输厅先后印发粤交办〔2010〕783号、粤交办〔2012〕406号、粤交〔2021〕10号三个文件，分别规范水运、公路、省管铁路建设项目档案管理，对提升行业档案管理水平发挥了积极作用。但三个办法编制年代跨度大、体例口径不一，与新修订的《中华人民共和国档案法》及其实施条例、档案信息化发展要求存在脱节。为此，省厅启动交通建设工程项目档案“1+3+1”（1个管理办法、3个技术指南、1个统一信息系统）制度标准体系构建工作，方向正确、恰逢其时。</w:t>
      </w:r>
    </w:p>
    <w:p>
      <w:pPr>
        <w:spacing w:line="324" w:lineRule="auto" w:after="40"/>
        <w:ind w:firstLine="480"/>
      </w:pPr>
      <w:r>
        <w:rPr>
          <w:rFonts w:ascii="FangSong" w:hAnsi="FangSong" w:eastAsia="仿宋"/>
          <w:b w:val="0"/>
          <w:color w:val="000000"/>
          <w:sz w:val="24"/>
        </w:rPr>
        <w:t>本次评估对象为征询意见稿全套七个文件：（1）省厅征求修订意见的通知；（2）附件1《广东省交通建设项目档案管理办法（征询意见稿）》（九章四十七条，附验收评分表，以下简称《管理办法》）；（3）附件2、3、4分别为公路、水运、省管铁路建设项目档案技术指南大纲（征询意见版，以下统称三个大纲）；（4）附件5《管理办法》编制说明；（5）附件6技术指南编制大纲编制说明。</w:t>
      </w:r>
    </w:p>
    <w:p>
      <w:pPr>
        <w:spacing w:before="160" w:after="80" w:line="336" w:lineRule="auto"/>
        <w:ind w:firstLine="480"/>
      </w:pPr>
      <w:r>
        <w:rPr>
          <w:rFonts w:ascii="KaiTi" w:hAnsi="KaiTi" w:eastAsia="楷体"/>
          <w:b/>
          <w:color w:val="000000"/>
          <w:sz w:val="26"/>
        </w:rPr>
        <w:t>（二）评估依据</w:t>
      </w:r>
    </w:p>
    <w:p>
      <w:pPr>
        <w:spacing w:line="324" w:lineRule="auto" w:after="40"/>
        <w:ind w:firstLine="480"/>
      </w:pPr>
      <w:r>
        <w:rPr>
          <w:rFonts w:ascii="FangSong" w:hAnsi="FangSong" w:eastAsia="仿宋"/>
          <w:b w:val="0"/>
          <w:color w:val="000000"/>
          <w:sz w:val="24"/>
        </w:rPr>
        <w:t>主要依据包括：《中华人民共和国档案法》《中华人民共和国档案法实施条例》《广东省档案条例》；《建设项目档案管理规范》（DA/T 28—2018）、《重大建设项目档案验收办法》（档发〔2006〕2号）、《科学技术档案案卷构成的一般要求》（GB/T 11822）、《电子文件归档与电子档案管理规范》（GB/T 18894）、《纸质档案数字化规范》（DA/T 31）、《照片档案管理规范》（GB/T 11821）、《数码照片归档与管理规范》（DA/T 50）、《电子档案移交与接收办法》，以及交通运输部关于公路、水运工程档案管理和竣（交）工验收的有关规定。</w:t>
      </w:r>
    </w:p>
    <w:p>
      <w:pPr>
        <w:spacing w:before="160" w:after="80" w:line="336" w:lineRule="auto"/>
        <w:ind w:firstLine="480"/>
      </w:pPr>
      <w:r>
        <w:rPr>
          <w:rFonts w:ascii="KaiTi" w:hAnsi="KaiTi" w:eastAsia="楷体"/>
          <w:b/>
          <w:color w:val="000000"/>
          <w:sz w:val="26"/>
        </w:rPr>
        <w:t>（三）评估方法</w:t>
      </w:r>
    </w:p>
    <w:p>
      <w:pPr>
        <w:spacing w:line="324" w:lineRule="auto" w:after="40"/>
        <w:ind w:firstLine="480"/>
      </w:pPr>
      <w:r>
        <w:rPr>
          <w:rFonts w:ascii="FangSong" w:hAnsi="FangSong" w:eastAsia="仿宋"/>
          <w:b w:val="0"/>
          <w:color w:val="000000"/>
          <w:sz w:val="24"/>
        </w:rPr>
        <w:t>采取五种方法交叉验证：一是合法合规性审查，核对条文与上位法及规范性文件制定要求的符合性；二是标准符合性比对，逐条对照现行国家、行业档案标准；三是体系完整性分析，检验“1+3+1”架构各要素是否闭合、文件之间是否衔接；四是可操作性评估，站在建设单位、参建单位档案人员角度检验条款能否落地；五是文本质量校核，对名称、编号、引用、标点进行技术性审校。</w:t>
      </w:r>
    </w:p>
    <w:p>
      <w:pPr>
        <w:spacing w:before="280" w:after="120" w:line="336" w:lineRule="auto"/>
      </w:pPr>
      <w:r>
        <w:rPr>
          <w:rFonts w:ascii="SimHei" w:hAnsi="SimHei" w:eastAsia="黑体"/>
          <w:b/>
          <w:color w:val="000000"/>
          <w:sz w:val="30"/>
        </w:rPr>
        <w:t>二、总体评价</w:t>
      </w:r>
    </w:p>
    <w:p>
      <w:pPr>
        <w:spacing w:before="160" w:after="80" w:line="336" w:lineRule="auto"/>
        <w:ind w:firstLine="480"/>
      </w:pPr>
      <w:r>
        <w:rPr>
          <w:rFonts w:ascii="KaiTi" w:hAnsi="KaiTi" w:eastAsia="楷体"/>
          <w:b/>
          <w:color w:val="000000"/>
          <w:sz w:val="26"/>
        </w:rPr>
        <w:t>（一）体系架构科学，顶层设计值得肯定</w:t>
      </w:r>
    </w:p>
    <w:p>
      <w:pPr>
        <w:spacing w:line="324" w:lineRule="auto" w:after="40"/>
        <w:ind w:firstLine="480"/>
      </w:pPr>
      <w:r>
        <w:rPr>
          <w:rFonts w:ascii="FangSong" w:hAnsi="FangSong" w:eastAsia="仿宋"/>
          <w:b w:val="0"/>
          <w:color w:val="000000"/>
          <w:sz w:val="24"/>
        </w:rPr>
        <w:t>“1+3+1”总架构层次清晰：《管理办法》定位为综合管理制度，解决“管什么、谁来管、怎么管、管不好怎么办”的规则问题；三个技术指南定位为实操性工作手册，解决“具体怎么做”的技术问题；统一信息系统承载“怎么管得高效”的工具问题。“一主一辅”的制度分层符合现代制度标准体系建设的通行做法。以一个管理办法整合替代原“三个办法”，终结了三类工程档案制度分散、尺度不一的局面；三个大纲采用“一级目录统一、二级目录固定、三级目录自定义”的框架，兼顾全省标准化管控与公路、水运、铁路的行业差异，是务实的制度创新。</w:t>
      </w:r>
    </w:p>
    <w:p>
      <w:pPr>
        <w:spacing w:before="160" w:after="80" w:line="336" w:lineRule="auto"/>
        <w:ind w:firstLine="480"/>
      </w:pPr>
      <w:r>
        <w:rPr>
          <w:rFonts w:ascii="KaiTi" w:hAnsi="KaiTi" w:eastAsia="楷体"/>
          <w:b/>
          <w:color w:val="000000"/>
          <w:sz w:val="26"/>
        </w:rPr>
        <w:t>（二）主要亮点</w:t>
      </w:r>
    </w:p>
    <w:p>
      <w:pPr>
        <w:spacing w:line="324" w:lineRule="auto" w:after="40"/>
        <w:ind w:firstLine="480"/>
      </w:pPr>
      <w:r>
        <w:rPr>
          <w:rFonts w:ascii="FangSong" w:hAnsi="FangSong" w:eastAsia="仿宋"/>
          <w:b w:val="0"/>
          <w:color w:val="000000"/>
          <w:sz w:val="24"/>
        </w:rPr>
        <w:t>一是全生命周期管理理念贯穿始终。《管理办法》覆盖档案形成、收集、整理、移交、验收、保管、利用及监督全链条，明确运营单位统筹建设期与运营期档案，提出“建、管、养、运一体化档案服务”，理念先进。二是责任体系较为清晰。确立项目法人负责制，明确建设单位主要负责人为档案工作第一责任人，将档案要求纳入建设计划、管理程序、合同管理和岗位责任制，抓住了项目档案工作的“牛鼻子”。三是验收闭环设计到位。坚持档案专项验收前置于竣工验收的刚性约束，设置交工前自检、验前检查、整改复核、重新申报等环节，形成闭环。四是信息化条款顺应转型方向。明确电子档案与传统载体档案同等效力，规定异地备份、灾难备份、业务系统与档案系统衔接、网络安全要求。五是监督与信用联动。将检查结果纳入交通运输行业信用评价体系，通报表扬与追责并举，增强了制度约束力。六是验收评价可量化。配套百分制评分表，明确抽查案卷比例，具备较强可操作性。</w:t>
      </w:r>
    </w:p>
    <w:p>
      <w:pPr>
        <w:spacing w:before="160" w:after="80" w:line="336" w:lineRule="auto"/>
        <w:ind w:firstLine="480"/>
      </w:pPr>
      <w:r>
        <w:rPr>
          <w:rFonts w:ascii="KaiTi" w:hAnsi="KaiTi" w:eastAsia="楷体"/>
          <w:b/>
          <w:color w:val="000000"/>
          <w:sz w:val="26"/>
        </w:rPr>
        <w:t>（三）总体判断</w:t>
      </w:r>
    </w:p>
    <w:p>
      <w:pPr>
        <w:spacing w:line="324" w:lineRule="auto" w:after="40"/>
        <w:ind w:firstLine="480"/>
      </w:pPr>
      <w:r>
        <w:rPr>
          <w:rFonts w:ascii="FangSong" w:hAnsi="FangSong" w:eastAsia="仿宋"/>
          <w:b w:val="0"/>
          <w:color w:val="000000"/>
          <w:sz w:val="24"/>
        </w:rPr>
        <w:t>征询意见稿框架基本成熟、方向正确，具备修改完善后印发实施的基础。主要不足集中在五个方面：一是制度要素不完整，档案鉴定销毁、向国家综合档案馆和运营单位移交、法律责任等关键环节缺失，尤其是“1个统一信息系统”在制度文本中缺乏支撑，体系第三个“1”事实上落空；二是部分条文与现行上位标准衔接不足，引用标准存在旧名称、旧代号，个别技术要求已经过时；三是三个大纲层级编号错误较多，电子文件元数据、分类编号方案等关键技术条目缺项，与征求意见通知自身提出的编制要求不符；四是全套文件之间名称、附件序号、交叉表述不一致，文本质量需系统校核；五是养护工程、多元投资项目等情形的适用规则不明。以下分件详述。</w:t>
      </w:r>
    </w:p>
    <w:p>
      <w:pPr>
        <w:spacing w:before="280" w:after="120" w:line="336" w:lineRule="auto"/>
      </w:pPr>
      <w:r>
        <w:rPr>
          <w:rFonts w:ascii="SimHei" w:hAnsi="SimHei" w:eastAsia="黑体"/>
          <w:b/>
          <w:color w:val="000000"/>
          <w:sz w:val="30"/>
        </w:rPr>
        <w:t>三、《管理办法》的评估与修改建议</w:t>
      </w:r>
    </w:p>
    <w:p>
      <w:pPr>
        <w:spacing w:before="160" w:after="80" w:line="336" w:lineRule="auto"/>
        <w:ind w:firstLine="480"/>
      </w:pPr>
      <w:r>
        <w:rPr>
          <w:rFonts w:ascii="KaiTi" w:hAnsi="KaiTi" w:eastAsia="楷体"/>
          <w:b/>
          <w:color w:val="000000"/>
          <w:sz w:val="26"/>
        </w:rPr>
        <w:t>（一）总则：完善定义与适用规则</w:t>
      </w:r>
    </w:p>
    <w:p>
      <w:pPr>
        <w:spacing w:line="324" w:lineRule="auto" w:after="40"/>
        <w:ind w:firstLine="480"/>
      </w:pPr>
      <w:r>
        <w:rPr>
          <w:rFonts w:ascii="FangSong" w:hAnsi="FangSong" w:eastAsia="仿宋"/>
          <w:b w:val="0"/>
          <w:color w:val="000000"/>
          <w:sz w:val="24"/>
        </w:rPr>
        <w:t>1．项目文件定义起点偏晚、口径不全。第二条将项目文件界定为“自项目立项审批（核准）至竣工验收过程中产生”，一方面把项目建议书、可行性研究报告、专题论证、批复前的征地及环评文件等立项批复之前形成的重要前期文件排除在外，与DA/T 28—2018关于项目文件涵盖项目提出、审批等前期活动的界定不符；另一方面遗漏了“备案”制项目。建议修改为“在项目提出、审批（核准、备案）、征地拆迁、勘察设计、施工、监理、试验检测、交（竣）工验收等全过程中形成的……”。</w:t>
      </w:r>
    </w:p>
    <w:p>
      <w:pPr>
        <w:spacing w:line="324" w:lineRule="auto" w:after="40"/>
        <w:ind w:firstLine="480"/>
      </w:pPr>
      <w:r>
        <w:rPr>
          <w:rFonts w:ascii="FangSong" w:hAnsi="FangSong" w:eastAsia="仿宋"/>
          <w:b w:val="0"/>
          <w:color w:val="000000"/>
          <w:sz w:val="24"/>
        </w:rPr>
        <w:t>2．养护工程适用规则不明。第三条将养护工程纳入适用范围值得肯定，但办法主体条款均按基本建设程序（交工验收、竣工验收）设计，养护工程在立项方式、实施周期、验收程序上与新改建项目差异较大，直接套用将产生大量执行歧义。建议增设专条明确养护工程档案的简化适用规则，或授权技术指南分类细化。</w:t>
      </w:r>
    </w:p>
    <w:p>
      <w:pPr>
        <w:spacing w:line="324" w:lineRule="auto" w:after="40"/>
        <w:ind w:firstLine="480"/>
      </w:pPr>
      <w:r>
        <w:rPr>
          <w:rFonts w:ascii="FangSong" w:hAnsi="FangSong" w:eastAsia="仿宋"/>
          <w:b w:val="0"/>
          <w:color w:val="000000"/>
          <w:sz w:val="24"/>
        </w:rPr>
        <w:t>3．建议增设术语条款。对“电子档案”“数字化副本”“归档”“专项验收”“预立卷”“首卷验收”等核心概念作出定义，与技术指南“3 术语和定义”上下呼应。特别是第九条出现的“预立卷、首卷验收”属于广东特色做法，如不定义，外省参建单位难以准确理解执行。</w:t>
      </w:r>
    </w:p>
    <w:p>
      <w:pPr>
        <w:spacing w:before="160" w:after="80" w:line="336" w:lineRule="auto"/>
        <w:ind w:firstLine="480"/>
      </w:pPr>
      <w:r>
        <w:rPr>
          <w:rFonts w:ascii="KaiTi" w:hAnsi="KaiTi" w:eastAsia="楷体"/>
          <w:b/>
          <w:color w:val="000000"/>
          <w:sz w:val="26"/>
        </w:rPr>
        <w:t>（二）职责分工：补齐主体、修正残文</w:t>
      </w:r>
    </w:p>
    <w:p>
      <w:pPr>
        <w:spacing w:line="324" w:lineRule="auto" w:after="40"/>
        <w:ind w:firstLine="480"/>
      </w:pPr>
      <w:r>
        <w:rPr>
          <w:rFonts w:ascii="FangSong" w:hAnsi="FangSong" w:eastAsia="仿宋"/>
          <w:b w:val="0"/>
          <w:color w:val="000000"/>
          <w:sz w:val="24"/>
        </w:rPr>
        <w:t>1．第七条存在文字残缺。“省级交通运输主管部门负责省内项目档案的管理工作，业级及以上档案主管部门的监督和指导”语句不通，疑漏“接受同”等字样，应更正为“……，并接受同级及以上档案主管部门的监督和指导”，同时建议进一步明确省档案主管部门与省交通运输主管部门在专项验收、业务监督上的职责界面。</w:t>
      </w:r>
    </w:p>
    <w:p>
      <w:pPr>
        <w:spacing w:line="324" w:lineRule="auto" w:after="40"/>
        <w:ind w:firstLine="480"/>
      </w:pPr>
      <w:r>
        <w:rPr>
          <w:rFonts w:ascii="FangSong" w:hAnsi="FangSong" w:eastAsia="仿宋"/>
          <w:b w:val="0"/>
          <w:color w:val="000000"/>
          <w:sz w:val="24"/>
        </w:rPr>
        <w:t>2．参建单位职责覆盖不全。第十条标题列出勘察、设计、施工、监理四类单位，正文却仅对设计单位（参与竣工图审核）、总承包单位（统筹协调）、监理单位（审核档案）作了规定，勘察单位、施工单位的具体职责整体缺失。施工单位是项目文件最大的形成主体和竣工图编制主体，其文件形成质量责任、竣工图编制责任、分包文件统筹责任必须逐项明确；试验检测、造价咨询、征地拆迁实施、第三方监测等单位的归档责任也应补充规定，与技术指南组织管理章相衔接。</w:t>
      </w:r>
    </w:p>
    <w:p>
      <w:pPr>
        <w:spacing w:line="324" w:lineRule="auto" w:after="40"/>
        <w:ind w:firstLine="480"/>
      </w:pPr>
      <w:r>
        <w:rPr>
          <w:rFonts w:ascii="FangSong" w:hAnsi="FangSong" w:eastAsia="仿宋"/>
          <w:b w:val="0"/>
          <w:color w:val="000000"/>
          <w:sz w:val="24"/>
        </w:rPr>
        <w:t>3．多元投资项目档案归属缺位。对采用PPP、BOT、投资人+EPC等模式建设的项目，档案的所有权归属、建设期保管责任、特许经营期满移交路径均无规定，存在档案流失风险，建议增设原则条款。</w:t>
      </w:r>
    </w:p>
    <w:p>
      <w:pPr>
        <w:spacing w:line="324" w:lineRule="auto" w:after="40"/>
        <w:ind w:firstLine="480"/>
      </w:pPr>
      <w:r>
        <w:rPr>
          <w:rFonts w:ascii="FangSong" w:hAnsi="FangSong" w:eastAsia="仿宋"/>
          <w:b w:val="0"/>
          <w:color w:val="000000"/>
          <w:sz w:val="24"/>
        </w:rPr>
        <w:t>4．建议补充人员保障细化要求。第十二条要求配备专职档案人员，建议同步规定关键岗位人员相对稳定、上岗培训和继续教育要求，与评分表“人员配备”考核项形成正文依据。</w:t>
      </w:r>
    </w:p>
    <w:p>
      <w:pPr>
        <w:spacing w:before="160" w:after="80" w:line="336" w:lineRule="auto"/>
        <w:ind w:firstLine="480"/>
      </w:pPr>
      <w:r>
        <w:rPr>
          <w:rFonts w:ascii="KaiTi" w:hAnsi="KaiTi" w:eastAsia="楷体"/>
          <w:b/>
          <w:color w:val="000000"/>
          <w:sz w:val="26"/>
        </w:rPr>
        <w:t>（三）整理归档：更新过时要求、补充缺项</w:t>
      </w:r>
    </w:p>
    <w:p>
      <w:pPr>
        <w:spacing w:line="324" w:lineRule="auto" w:after="40"/>
        <w:ind w:firstLine="480"/>
      </w:pPr>
      <w:r>
        <w:rPr>
          <w:rFonts w:ascii="FangSong" w:hAnsi="FangSong" w:eastAsia="仿宋"/>
          <w:b w:val="0"/>
          <w:color w:val="000000"/>
          <w:sz w:val="24"/>
        </w:rPr>
        <w:t>1．第十七条“照片应形成纸质文件”的要求已不适应数码影像普遍应用的实际，与DA/T 50以数码照片电子归档为主的技术路线不符，且将显著增加基层成本。建议改为“重要照片可输出纸质件与数码文件一并归档，数码照片按DA/T 50整理”。</w:t>
      </w:r>
    </w:p>
    <w:p>
      <w:pPr>
        <w:spacing w:line="324" w:lineRule="auto" w:after="40"/>
        <w:ind w:firstLine="480"/>
      </w:pPr>
      <w:r>
        <w:rPr>
          <w:rFonts w:ascii="FangSong" w:hAnsi="FangSong" w:eastAsia="仿宋"/>
          <w:b w:val="0"/>
          <w:color w:val="000000"/>
          <w:sz w:val="24"/>
        </w:rPr>
        <w:t>2．第三十四条要求电子文件归档清单“按纸质档案整理规则执行”不妥。电子文件整理应执行GB/T 18894等电子档案专门标准，涉及元数据采集、格式转换、四性检测等纸质规则无法涵盖的环节，机械套用将造成实操困难。建议改为“电子文件的整理与归档按照国家电子档案管理有关标准执行，并与对应纸质档案建立关联”。</w:t>
      </w:r>
    </w:p>
    <w:p>
      <w:pPr>
        <w:spacing w:line="324" w:lineRule="auto" w:after="40"/>
        <w:ind w:firstLine="480"/>
      </w:pPr>
      <w:r>
        <w:rPr>
          <w:rFonts w:ascii="FangSong" w:hAnsi="FangSong" w:eastAsia="仿宋"/>
          <w:b w:val="0"/>
          <w:color w:val="000000"/>
          <w:sz w:val="24"/>
        </w:rPr>
        <w:t>3．本章缺少归档时间、归档套数、归档质量（书写字迹材料耐久性、禁用热敏纸等）的原则规定，也未对声像档案（除照片外的录音录像）、实物档案作出办法层面的安排，建议补充。</w:t>
      </w:r>
    </w:p>
    <w:p>
      <w:pPr>
        <w:spacing w:line="324" w:lineRule="auto" w:after="40"/>
        <w:ind w:firstLine="480"/>
      </w:pPr>
      <w:r>
        <w:rPr>
          <w:rFonts w:ascii="FangSong" w:hAnsi="FangSong" w:eastAsia="仿宋"/>
          <w:b w:val="0"/>
          <w:color w:val="000000"/>
          <w:sz w:val="24"/>
        </w:rPr>
        <w:t>4．全办法未涉及档案鉴定与销毁制度。保管期限届满档案的鉴定、销毁审批与监销程序是全生命周期管理必备环节，属于制度硬缺项，建议在“保管和利用”章增设条款。</w:t>
      </w:r>
    </w:p>
    <w:p>
      <w:pPr>
        <w:spacing w:before="160" w:after="80" w:line="336" w:lineRule="auto"/>
        <w:ind w:firstLine="480"/>
      </w:pPr>
      <w:r>
        <w:rPr>
          <w:rFonts w:ascii="KaiTi" w:hAnsi="KaiTi" w:eastAsia="楷体"/>
          <w:b/>
          <w:color w:val="000000"/>
          <w:sz w:val="26"/>
        </w:rPr>
        <w:t>（四）移交：打通两个断点</w:t>
      </w:r>
    </w:p>
    <w:p>
      <w:pPr>
        <w:spacing w:line="324" w:lineRule="auto" w:after="40"/>
        <w:ind w:firstLine="480"/>
      </w:pPr>
      <w:r>
        <w:rPr>
          <w:rFonts w:ascii="FangSong" w:hAnsi="FangSong" w:eastAsia="仿宋"/>
          <w:b w:val="0"/>
          <w:color w:val="000000"/>
          <w:sz w:val="24"/>
        </w:rPr>
        <w:t>1．缺少建设单位向运营（管养）单位移交档案的规定。第十一条要求运营单位“按规定接收项目档案”，但第四章仅规定参建单位向建设单位、建设单位向省级主管部门移交两类情形，“规定”落空，编制说明所称“区分两类场景”恰恰暴露了第三类场景的缺失，“建、管、养、运一体化”缺乏移交机制支撑。建议增设条款，明确向运营单位移交的范围、时限与手续。</w:t>
      </w:r>
    </w:p>
    <w:p>
      <w:pPr>
        <w:spacing w:line="324" w:lineRule="auto" w:after="40"/>
        <w:ind w:firstLine="480"/>
      </w:pPr>
      <w:r>
        <w:rPr>
          <w:rFonts w:ascii="FangSong" w:hAnsi="FangSong" w:eastAsia="仿宋"/>
          <w:b w:val="0"/>
          <w:color w:val="000000"/>
          <w:sz w:val="24"/>
        </w:rPr>
        <w:t>2．缺少向国家综合档案馆移交的衔接条款。依据《档案法》及其实施条例，列入档案馆接收范围的项目档案应按规定向有关国家档案馆移交，重大项目档案还应接受档案主管部门验收监督，办法应作出衔接性规定。</w:t>
      </w:r>
    </w:p>
    <w:p>
      <w:pPr>
        <w:spacing w:line="324" w:lineRule="auto" w:after="40"/>
        <w:ind w:firstLine="480"/>
      </w:pPr>
      <w:r>
        <w:rPr>
          <w:rFonts w:ascii="FangSong" w:hAnsi="FangSong" w:eastAsia="仿宋"/>
          <w:b w:val="0"/>
          <w:color w:val="000000"/>
          <w:sz w:val="24"/>
        </w:rPr>
        <w:t>3．勘察设计等前期文件形成早、周期长，建议允许按阶段移交，避免统一按交工验收后“六个月内”一次性移交造成前期档案长期滞留于形成单位。另外，第十九条“六个月”与第二十一条“3个月”数字体例不一，应统一。</w:t>
      </w:r>
    </w:p>
    <w:p>
      <w:pPr>
        <w:spacing w:before="160" w:after="80" w:line="336" w:lineRule="auto"/>
        <w:ind w:firstLine="480"/>
      </w:pPr>
      <w:r>
        <w:rPr>
          <w:rFonts w:ascii="KaiTi" w:hAnsi="KaiTi" w:eastAsia="楷体"/>
          <w:b/>
          <w:color w:val="000000"/>
          <w:sz w:val="26"/>
        </w:rPr>
        <w:t>（五）验收：统一评定方式、理顺分级安排</w:t>
      </w:r>
    </w:p>
    <w:p>
      <w:pPr>
        <w:spacing w:line="324" w:lineRule="auto" w:after="40"/>
        <w:ind w:firstLine="480"/>
      </w:pPr>
      <w:r>
        <w:rPr>
          <w:rFonts w:ascii="FangSong" w:hAnsi="FangSong" w:eastAsia="仿宋"/>
          <w:b w:val="0"/>
          <w:color w:val="000000"/>
          <w:sz w:val="24"/>
        </w:rPr>
        <w:t>1．第三十一条并列百分制评分与合格制两种评定方式，但未明确各自适用情形，同类项目可能因组织单位偏好而适用不同尺度，有失公平。建议明确划分适用范围（如省级组织验收的重大项目采用评分制、其余采用合格制），或统一为一种方式。</w:t>
      </w:r>
    </w:p>
    <w:p>
      <w:pPr>
        <w:spacing w:line="324" w:lineRule="auto" w:after="40"/>
        <w:ind w:firstLine="480"/>
      </w:pPr>
      <w:r>
        <w:rPr>
          <w:rFonts w:ascii="FangSong" w:hAnsi="FangSong" w:eastAsia="仿宋"/>
          <w:b w:val="0"/>
          <w:color w:val="000000"/>
          <w:sz w:val="24"/>
        </w:rPr>
        <w:t>2．评分等级“优秀—优良—良好—合格—不合格”中“优良”高于“良好”，与社会通行认知相悖，极易混淆。建议调整为“优秀、良好、合格、不合格”四级，并同步修改评分表分数区间。</w:t>
      </w:r>
    </w:p>
    <w:p>
      <w:pPr>
        <w:spacing w:line="324" w:lineRule="auto" w:after="40"/>
        <w:ind w:firstLine="480"/>
      </w:pPr>
      <w:r>
        <w:rPr>
          <w:rFonts w:ascii="FangSong" w:hAnsi="FangSong" w:eastAsia="仿宋"/>
          <w:b w:val="0"/>
          <w:color w:val="000000"/>
          <w:sz w:val="24"/>
        </w:rPr>
        <w:t>3．第二十四条规定由省级主管部门档案管理部门组织所有项目的验前检查，与第二十六条可委托地市组织验收的分级安排不衔接，且省级力量难以覆盖全省项目。建议按“谁组织验收、谁组织验前检查”原则调整。</w:t>
      </w:r>
    </w:p>
    <w:p>
      <w:pPr>
        <w:spacing w:line="324" w:lineRule="auto" w:after="40"/>
        <w:ind w:firstLine="480"/>
      </w:pPr>
      <w:r>
        <w:rPr>
          <w:rFonts w:ascii="FangSong" w:hAnsi="FangSong" w:eastAsia="仿宋"/>
          <w:b w:val="0"/>
          <w:color w:val="000000"/>
          <w:sz w:val="24"/>
        </w:rPr>
        <w:t>4．建议补充验收时限要求（如专项验收应在竣工验收前完成、交工验收后原则上多少个月内申请），明确验收意见书格式与效力，防止档案验收长期悬置。</w:t>
      </w:r>
    </w:p>
    <w:p>
      <w:pPr>
        <w:spacing w:before="160" w:after="80" w:line="336" w:lineRule="auto"/>
        <w:ind w:firstLine="480"/>
      </w:pPr>
      <w:r>
        <w:rPr>
          <w:rFonts w:ascii="KaiTi" w:hAnsi="KaiTi" w:eastAsia="楷体"/>
          <w:b/>
          <w:color w:val="000000"/>
          <w:sz w:val="26"/>
        </w:rPr>
        <w:t>（六）信息化建设：补上体系最大短板</w:t>
      </w:r>
    </w:p>
    <w:p>
      <w:pPr>
        <w:spacing w:line="324" w:lineRule="auto" w:after="40"/>
        <w:ind w:firstLine="480"/>
      </w:pPr>
      <w:r>
        <w:rPr>
          <w:rFonts w:ascii="FangSong" w:hAnsi="FangSong" w:eastAsia="仿宋"/>
          <w:b w:val="0"/>
          <w:color w:val="000000"/>
          <w:sz w:val="24"/>
        </w:rPr>
        <w:t>“1个统一信息系统”是本轮体系构建区别于原三个办法的核心增量，但第六章仅对建设单位自建系统提出一般性要求，对全省统一的交通建设项目档案信息系统的建设主体、功能定位、应用义务、数据标准只字未提，体系架构的第三个“1”在制度文本中完全落空，这是征询意见稿最突出的结构性缺陷。建议：一是增设专条，明确统一信息系统由省级主管部门组织建设，承担在线归档指导、在线移交、在线验收、远程监督检查等功能，明确各级主管部门、建设单位的接入和应用义务；二是明确全省统一的项目电子档案数据标准，包括电子文件元数据方案、数据交换接口、存储格式要求，并授权另行制定技术标准作为体系配套文件；三是补充电子档案“四性”（真实性、完整性、可用性、安全性）检测制度，明确在归档、移交、验收环节实施检测并保存检测记录——现稿全文未出现四性检测要求，与国家电子档案管理规范明显脱节；四是结合国家电子文件单套管理改革方向，为具备条件的项目开展单套制归档试点预留制度接口。</w:t>
      </w:r>
    </w:p>
    <w:p>
      <w:pPr>
        <w:spacing w:before="160" w:after="80" w:line="336" w:lineRule="auto"/>
        <w:ind w:firstLine="480"/>
      </w:pPr>
      <w:r>
        <w:rPr>
          <w:rFonts w:ascii="KaiTi" w:hAnsi="KaiTi" w:eastAsia="楷体"/>
          <w:b/>
          <w:color w:val="000000"/>
          <w:sz w:val="26"/>
        </w:rPr>
        <w:t>（七）保管和利用：充实单薄章节</w:t>
      </w:r>
    </w:p>
    <w:p>
      <w:pPr>
        <w:spacing w:line="324" w:lineRule="auto" w:after="40"/>
        <w:ind w:firstLine="480"/>
      </w:pPr>
      <w:r>
        <w:rPr>
          <w:rFonts w:ascii="FangSong" w:hAnsi="FangSong" w:eastAsia="仿宋"/>
          <w:b w:val="0"/>
          <w:color w:val="000000"/>
          <w:sz w:val="24"/>
        </w:rPr>
        <w:t>本章仅两条，与章名承载的功能明显不匹配，编制说明“共2条”的表述本身即暴露此问题。建议补充：档案库房建设与“八防”设施标准的引用、档案定期检查与破损修复、涉密档案专门管理、档案利用规则（借阅、复制、共享、保密审查）、档案信息资源开发（编研、数据服务于养护决策和改扩建）等内容；档案鉴定销毁条款亦可置于本章。</w:t>
      </w:r>
    </w:p>
    <w:p>
      <w:pPr>
        <w:spacing w:before="160" w:after="80" w:line="336" w:lineRule="auto"/>
        <w:ind w:firstLine="480"/>
      </w:pPr>
      <w:r>
        <w:rPr>
          <w:rFonts w:ascii="KaiTi" w:hAnsi="KaiTi" w:eastAsia="楷体"/>
          <w:b/>
          <w:color w:val="000000"/>
          <w:sz w:val="26"/>
        </w:rPr>
        <w:t>（八）监督检查与法律责任：兑现“违规责任”承诺</w:t>
      </w:r>
    </w:p>
    <w:p>
      <w:pPr>
        <w:spacing w:line="324" w:lineRule="auto" w:after="40"/>
        <w:ind w:firstLine="480"/>
      </w:pPr>
      <w:r>
        <w:rPr>
          <w:rFonts w:ascii="FangSong" w:hAnsi="FangSong" w:eastAsia="仿宋"/>
          <w:b w:val="0"/>
          <w:color w:val="000000"/>
          <w:sz w:val="24"/>
        </w:rPr>
        <w:t>征求意见通知和编制说明均明确办法应包含“违规责任”内容，但正文仅有信用评价和“依法依规追究责任”的笼统表述，缺乏可执行的责任条款。建议增设“责任追究”条款或专节，对项目档案损毁、丢失、涂改、伪造，归档文件弄虚作假，拒不整改，以及未经档案验收擅自组织竣工验收等情形，分别明确行业内处理措施及与《档案法》第五章法律责任的移送衔接，保证制度刚性。</w:t>
      </w:r>
    </w:p>
    <w:p>
      <w:pPr>
        <w:spacing w:before="160" w:after="80" w:line="336" w:lineRule="auto"/>
        <w:ind w:firstLine="480"/>
      </w:pPr>
      <w:r>
        <w:rPr>
          <w:rFonts w:ascii="KaiTi" w:hAnsi="KaiTi" w:eastAsia="楷体"/>
          <w:b/>
          <w:color w:val="000000"/>
          <w:sz w:val="26"/>
        </w:rPr>
        <w:t>（九）附则与验收评分表</w:t>
      </w:r>
    </w:p>
    <w:p>
      <w:pPr>
        <w:spacing w:line="324" w:lineRule="auto" w:after="40"/>
        <w:ind w:firstLine="480"/>
      </w:pPr>
      <w:r>
        <w:rPr>
          <w:rFonts w:ascii="FangSong" w:hAnsi="FangSong" w:eastAsia="仿宋"/>
          <w:b w:val="0"/>
          <w:color w:val="000000"/>
          <w:sz w:val="24"/>
        </w:rPr>
        <w:t>1．依据行政规范性文件管理规定，建议标注有效期，并明确已开工在建项目的新旧制度过渡适用安排，避免执行断档。2．附件《验收评分表》存在四方面问题：一是引用名称有误，“《国家重点建设档案管理登记表》”应为“《国家重点建设项目档案管理登记表》”，“《国家重大档案建设项目文件归档范围和保管期限表》”应为“《国家重大建设项目文件归档范围和保管期限表》”，且宜按DA/T 28—2018更新为现行附录名称；二是“长期存储的电子文件使用不可擦除型光盘”的要求技术上已过时，应改为“采用符合长期保存要求的存储介质并实施异地备份”，与正文第三十七条保持一致；三是信息化考核仅4分，与体系信息化导向不匹配，建议提高权重并将四性检测、系统应用纳入指标；四是等级区间应与第三十一条修改后的等级命名同步调整。评分表整体沿用多年前重大项目验收评分框架，建议对照现行标准全面修订。</w:t>
      </w:r>
    </w:p>
    <w:p>
      <w:pPr>
        <w:spacing w:before="280" w:after="120" w:line="336" w:lineRule="auto"/>
      </w:pPr>
      <w:r>
        <w:rPr>
          <w:rFonts w:ascii="SimHei" w:hAnsi="SimHei" w:eastAsia="黑体"/>
          <w:b/>
          <w:color w:val="000000"/>
          <w:sz w:val="30"/>
        </w:rPr>
        <w:t>四、三个技术指南大纲的评估与建议</w:t>
      </w:r>
    </w:p>
    <w:p>
      <w:pPr>
        <w:spacing w:before="160" w:after="80" w:line="336" w:lineRule="auto"/>
        <w:ind w:firstLine="480"/>
      </w:pPr>
      <w:r>
        <w:rPr>
          <w:rFonts w:ascii="KaiTi" w:hAnsi="KaiTi" w:eastAsia="楷体"/>
          <w:b/>
          <w:color w:val="000000"/>
          <w:sz w:val="26"/>
        </w:rPr>
        <w:t>（一）共性问题</w:t>
      </w:r>
    </w:p>
    <w:p>
      <w:pPr>
        <w:spacing w:line="324" w:lineRule="auto" w:after="40"/>
        <w:ind w:firstLine="480"/>
      </w:pPr>
      <w:r>
        <w:rPr>
          <w:rFonts w:ascii="FangSong" w:hAnsi="FangSong" w:eastAsia="仿宋"/>
          <w:b w:val="0"/>
          <w:color w:val="000000"/>
          <w:sz w:val="24"/>
        </w:rPr>
        <w:t>1．层级编号错误较多，须全面校核。三个大纲第4章均出现两个“4.3”（施工单位与监理单位重号，后续序号相应错位）；“9,6.3图形与数字”将下脚点误为逗号；第11.2节之下“11.1.1准备工作、11.2.1数字化扫描的要求、11.2.1数字成果的处理”编号错乱且重复；第14.1节之下出现两个“14.1.1”（外部移交应为14.1.2）；第5章章名“5.”带下脚点与其他章体例不一。作为将指导全省数千名档案人员作业的技术文件，编号体系必须零差错。</w:t>
      </w:r>
    </w:p>
    <w:p>
      <w:pPr>
        <w:spacing w:line="324" w:lineRule="auto" w:after="40"/>
        <w:ind w:firstLine="480"/>
      </w:pPr>
      <w:r>
        <w:rPr>
          <w:rFonts w:ascii="FangSong" w:hAnsi="FangSong" w:eastAsia="仿宋"/>
          <w:b w:val="0"/>
          <w:color w:val="000000"/>
          <w:sz w:val="24"/>
        </w:rPr>
        <w:t>2．电子文件元数据条目缺失。征求意见通知明确技术指南应细化“归档范围、分类方法、整理标准、装订格式、电子文件元数据等要求”，但三个大纲第11章均无元数据条目，属于对自身编制任务书的偏离。建议在11.3之下增设“电子文件元数据方案”节，明确元数据项、采集环节、封装与检测要求，并将元数据表列入附件。</w:t>
      </w:r>
    </w:p>
    <w:p>
      <w:pPr>
        <w:spacing w:line="324" w:lineRule="auto" w:after="40"/>
        <w:ind w:firstLine="480"/>
      </w:pPr>
      <w:r>
        <w:rPr>
          <w:rFonts w:ascii="FangSong" w:hAnsi="FangSong" w:eastAsia="仿宋"/>
          <w:b w:val="0"/>
          <w:color w:val="000000"/>
          <w:sz w:val="24"/>
        </w:rPr>
        <w:t>3．缺少“项目档案分类与档号编制”专节。通知要求细化“分类方法”，大纲仅在7.2组卷中隐含分类逻辑，未就项目档案分类体系（按建设阶段、单位工程、文件类别的层级划分）和档号结构（项目代号—分类号—案卷号等）作出统一安排。分类编号是三类工程差异最大、基层争议最多的环节，也是统一信息系统数据组织的基础，建议单独设章或在第7章前置专节。</w:t>
      </w:r>
    </w:p>
    <w:p>
      <w:pPr>
        <w:spacing w:line="324" w:lineRule="auto" w:after="40"/>
        <w:ind w:firstLine="480"/>
      </w:pPr>
      <w:r>
        <w:rPr>
          <w:rFonts w:ascii="FangSong" w:hAnsi="FangSong" w:eastAsia="仿宋"/>
          <w:b w:val="0"/>
          <w:color w:val="000000"/>
          <w:sz w:val="24"/>
        </w:rPr>
        <w:t>4．“一级目录统一、二级目录固定”的编制原则与大纲实际不符：三个大纲第4章参建单位构成（公路含检测单位）、第5章阶段划分（公路八阶段、水运七阶段、铁路九阶段）的二级目录并不相同。这种差异本身是合理的行业适配，问题在于表述自相矛盾。建议将编制原则改为“一级目录统一，二级目录原则上统一、可结合行业特点调整，三级目录自定义”。</w:t>
      </w:r>
    </w:p>
    <w:p>
      <w:pPr>
        <w:spacing w:line="324" w:lineRule="auto" w:after="40"/>
        <w:ind w:firstLine="480"/>
      </w:pPr>
      <w:r>
        <w:rPr>
          <w:rFonts w:ascii="FangSong" w:hAnsi="FangSong" w:eastAsia="仿宋"/>
          <w:b w:val="0"/>
          <w:color w:val="000000"/>
          <w:sz w:val="24"/>
        </w:rPr>
        <w:t>5．建议增补的技术内容：电子档案四性检测指标与操作方法；涉密文件的归档、标识与管理；档案数字化及整理外包的安全管理要求；无人机航拍、视频监控等新型声像资料的取舍与归档规则；改扩建项目对既有档案的利用与关联；与验收评分表配套的自检、检查操作指引。</w:t>
      </w:r>
    </w:p>
    <w:p>
      <w:pPr>
        <w:spacing w:line="324" w:lineRule="auto" w:after="40"/>
        <w:ind w:firstLine="480"/>
      </w:pPr>
      <w:r>
        <w:rPr>
          <w:rFonts w:ascii="FangSong" w:hAnsi="FangSong" w:eastAsia="仿宋"/>
          <w:b w:val="0"/>
          <w:color w:val="000000"/>
          <w:sz w:val="24"/>
        </w:rPr>
        <w:t>6．附件清单应予列全。目前仅示例“归档范围、整理单位和保管期限表”一项，建议统一明确列出：归档工作流程图，案卷封面、卷内目录、备考表、案卷目录式样，竣工图章式样，移交清册式样，电子文件元数据表，四性检测指标表等，保证三个指南附件同构，便于系统固化。</w:t>
      </w:r>
    </w:p>
    <w:p>
      <w:pPr>
        <w:spacing w:before="160" w:after="80" w:line="336" w:lineRule="auto"/>
        <w:ind w:firstLine="480"/>
      </w:pPr>
      <w:r>
        <w:rPr>
          <w:rFonts w:ascii="KaiTi" w:hAnsi="KaiTi" w:eastAsia="楷体"/>
          <w:b/>
          <w:color w:val="000000"/>
          <w:sz w:val="26"/>
        </w:rPr>
        <w:t>（二）公路指南的具体建议</w:t>
      </w:r>
    </w:p>
    <w:p>
      <w:pPr>
        <w:spacing w:line="324" w:lineRule="auto" w:after="40"/>
        <w:ind w:firstLine="480"/>
      </w:pPr>
      <w:r>
        <w:rPr>
          <w:rFonts w:ascii="FangSong" w:hAnsi="FangSong" w:eastAsia="仿宋"/>
          <w:b w:val="0"/>
          <w:color w:val="000000"/>
          <w:sz w:val="24"/>
        </w:rPr>
        <w:t>公路大纲将检测单位单独纳入组织管理，符合公路工程试验检测管理实际，予以肯定。建议：一是5.5交工、5.6试运行、5.7竣工三个阶段的任务清单编制注意与交通运输部公路工程竣（交）工验收有关规定衔接，明确试运行期档案（缺陷责任期整改、交安设施完善等）的归属；二是三级目录中补充房建工程、机电工程（收费、监控、通信、供配电）文件归档，以及桥梁隧道监控量测、超前地质预报等公路特有资料的整理要求。</w:t>
      </w:r>
    </w:p>
    <w:p>
      <w:pPr>
        <w:spacing w:before="160" w:after="80" w:line="336" w:lineRule="auto"/>
        <w:ind w:firstLine="480"/>
      </w:pPr>
      <w:r>
        <w:rPr>
          <w:rFonts w:ascii="KaiTi" w:hAnsi="KaiTi" w:eastAsia="楷体"/>
          <w:b/>
          <w:color w:val="000000"/>
          <w:sz w:val="26"/>
        </w:rPr>
        <w:t>（三）水运指南的具体建议</w:t>
      </w:r>
    </w:p>
    <w:p>
      <w:pPr>
        <w:spacing w:line="324" w:lineRule="auto" w:after="40"/>
        <w:ind w:firstLine="480"/>
      </w:pPr>
      <w:r>
        <w:rPr>
          <w:rFonts w:ascii="FangSong" w:hAnsi="FangSong" w:eastAsia="仿宋"/>
          <w:b w:val="0"/>
          <w:color w:val="000000"/>
          <w:sz w:val="24"/>
        </w:rPr>
        <w:t>一是组织管理未单列检测单位，水运工程同样实行试验检测制度，建议与公路大纲保持一致增列。二是5.5将交工与试运行合并为一个阶段符合水运工程验收实际，但任务清单中应区分两者的档案节点。三是三级目录建议突出水运特有内容：疏浚与吹填工程计量资料、水下隐蔽工程的声像记录要求、水工构筑物沉降位移观测资料、航标及导助航设施文件、通航安全与防洪评价文件等。</w:t>
      </w:r>
    </w:p>
    <w:p>
      <w:pPr>
        <w:spacing w:before="160" w:after="80" w:line="336" w:lineRule="auto"/>
        <w:ind w:firstLine="480"/>
      </w:pPr>
      <w:r>
        <w:rPr>
          <w:rFonts w:ascii="KaiTi" w:hAnsi="KaiTi" w:eastAsia="楷体"/>
          <w:b/>
          <w:color w:val="000000"/>
          <w:sz w:val="26"/>
        </w:rPr>
        <w:t>（四）铁路指南的具体建议</w:t>
      </w:r>
    </w:p>
    <w:p>
      <w:pPr>
        <w:spacing w:line="324" w:lineRule="auto" w:after="40"/>
        <w:ind w:firstLine="480"/>
      </w:pPr>
      <w:r>
        <w:rPr>
          <w:rFonts w:ascii="FangSong" w:hAnsi="FangSong" w:eastAsia="仿宋"/>
          <w:b w:val="0"/>
          <w:color w:val="000000"/>
          <w:sz w:val="24"/>
        </w:rPr>
        <w:t>铁路大纲第5章按静态验收、动态验收、初步验收、正式验收划分阶段，契合铁路工程验收程序，是三个大纲中行业适配度最高的设计，予以肯定。建议：一是补充联调联试、运行试验、安全评估文件的归档要求；二是“四电”工程（通信、信号、电力、电力牵引供电）及站房、动走线等专业工程文件在三级目录中单列；三是省管铁路多与国铁路网衔接或共建，建议明确涉及接轨段落时与国家铁路集团档案标准的适用协调规则，避免同一项目两套尺度。</w:t>
      </w:r>
    </w:p>
    <w:p>
      <w:pPr>
        <w:spacing w:before="160" w:after="80" w:line="336" w:lineRule="auto"/>
        <w:ind w:firstLine="480"/>
      </w:pPr>
      <w:r>
        <w:rPr>
          <w:rFonts w:ascii="KaiTi" w:hAnsi="KaiTi" w:eastAsia="楷体"/>
          <w:b/>
          <w:color w:val="000000"/>
          <w:sz w:val="26"/>
        </w:rPr>
        <w:t>（五）大纲文件的编号勘误</w:t>
      </w:r>
    </w:p>
    <w:p>
      <w:pPr>
        <w:spacing w:line="324" w:lineRule="auto" w:after="40"/>
        <w:ind w:firstLine="480"/>
      </w:pPr>
      <w:r>
        <w:rPr>
          <w:rFonts w:ascii="FangSong" w:hAnsi="FangSong" w:eastAsia="仿宋"/>
          <w:b w:val="0"/>
          <w:color w:val="000000"/>
          <w:sz w:val="24"/>
        </w:rPr>
        <w:t>三个大纲文件内部首页均标注“附件3”，与通知所列附件2、3、4序号不符，应分别更正；三个大纲正文其余差错见本报告第七部分勘误清单。</w:t>
      </w:r>
    </w:p>
    <w:p>
      <w:pPr>
        <w:spacing w:before="280" w:after="120" w:line="336" w:lineRule="auto"/>
      </w:pPr>
      <w:r>
        <w:rPr>
          <w:rFonts w:ascii="SimHei" w:hAnsi="SimHei" w:eastAsia="黑体"/>
          <w:b/>
          <w:color w:val="000000"/>
          <w:sz w:val="30"/>
        </w:rPr>
        <w:t>五、编制说明及征求意见通知的问题与建议</w:t>
      </w:r>
    </w:p>
    <w:p>
      <w:pPr>
        <w:spacing w:before="160" w:after="80" w:line="336" w:lineRule="auto"/>
        <w:ind w:firstLine="480"/>
      </w:pPr>
      <w:r>
        <w:rPr>
          <w:rFonts w:ascii="KaiTi" w:hAnsi="KaiTi" w:eastAsia="楷体"/>
          <w:b/>
          <w:color w:val="000000"/>
          <w:sz w:val="26"/>
        </w:rPr>
        <w:t>（一）名称与附件编号应全面统一</w:t>
      </w:r>
    </w:p>
    <w:p>
      <w:pPr>
        <w:spacing w:line="324" w:lineRule="auto" w:after="40"/>
        <w:ind w:firstLine="480"/>
      </w:pPr>
      <w:r>
        <w:rPr>
          <w:rFonts w:ascii="FangSong" w:hAnsi="FangSong" w:eastAsia="仿宋"/>
          <w:b w:val="0"/>
          <w:color w:val="000000"/>
          <w:sz w:val="24"/>
        </w:rPr>
        <w:t>通知文件名中“《广东省水运（公路、省管铁路）建设项目档案技术指南统一编制框架》”与通知正文“《广东省公路（水运、省管铁路）建设项目档案技术指南编制大纲》”表述不一致；附件5内部首页误标为“附件1”，附件6内部首页误标为“附件3”；附件6正文还出现“《……建设项目档案技术编制指南》”的语序错误。同一批文件对技术指南出现“统一编制框架”“编制大纲”“技术编制指南”三种称谓，正式印发前应对全套文件的名称、附件序号、交叉引用进行一次专项校核，统一定名。</w:t>
      </w:r>
    </w:p>
    <w:p>
      <w:pPr>
        <w:spacing w:before="160" w:after="80" w:line="336" w:lineRule="auto"/>
        <w:ind w:firstLine="480"/>
      </w:pPr>
      <w:r>
        <w:rPr>
          <w:rFonts w:ascii="KaiTi" w:hAnsi="KaiTi" w:eastAsia="楷体"/>
          <w:b/>
          <w:color w:val="000000"/>
          <w:sz w:val="26"/>
        </w:rPr>
        <w:t>（二）编制依据需要更新升级</w:t>
      </w:r>
    </w:p>
    <w:p>
      <w:pPr>
        <w:spacing w:line="324" w:lineRule="auto" w:after="40"/>
        <w:ind w:firstLine="480"/>
      </w:pPr>
      <w:r>
        <w:rPr>
          <w:rFonts w:ascii="FangSong" w:hAnsi="FangSong" w:eastAsia="仿宋"/>
          <w:b w:val="0"/>
          <w:color w:val="000000"/>
          <w:sz w:val="24"/>
        </w:rPr>
        <w:t>两份编制说明均引用《国家重大建设项目文件归档要求与档案整理规范》（DA/T 28），该标准2018年修订后已更名为《建设项目档案管理规范》，应使用现行名称并标注年代号；标准代号书写应规范，“DAT/31”应为“DA/T 31”，“GBT18894”应为“GB/T 18894”。建议同步补充《中华人民共和国档案法实施条例》《广东省档案条例》《重大建设项目档案验收办法》（档发〔2006〕2号）、《电子档案移交与接收办法》等依据，并核查粤档发〔2006〕32号、粤档发〔2015〕61号等文件的现行有效性——引用已失效或已被替代的文件将影响办法自身的合法性基础。</w:t>
      </w:r>
    </w:p>
    <w:p>
      <w:pPr>
        <w:spacing w:before="160" w:after="80" w:line="336" w:lineRule="auto"/>
        <w:ind w:firstLine="480"/>
      </w:pPr>
      <w:r>
        <w:rPr>
          <w:rFonts w:ascii="KaiTi" w:hAnsi="KaiTi" w:eastAsia="楷体"/>
          <w:b/>
          <w:color w:val="000000"/>
          <w:sz w:val="26"/>
        </w:rPr>
        <w:t>（三）编制说明与正文的对应性应复核</w:t>
      </w:r>
    </w:p>
    <w:p>
      <w:pPr>
        <w:spacing w:line="324" w:lineRule="auto" w:after="40"/>
        <w:ind w:firstLine="480"/>
      </w:pPr>
      <w:r>
        <w:rPr>
          <w:rFonts w:ascii="FangSong" w:hAnsi="FangSong" w:eastAsia="仿宋"/>
          <w:b w:val="0"/>
          <w:color w:val="000000"/>
          <w:sz w:val="24"/>
        </w:rPr>
        <w:t>编制说明称办法明确了“违规责任”，正文并无对应条款；称移交章“区分两类场景”，恰与向运营单位移交缺失的问题相互印证；附件6中“管理技术要求。。”存在标点重复。建议正文修改后同步更新编制说明，并在编制说明中增加对征求意见采纳情况的说明安排，体现开门立制。</w:t>
      </w:r>
    </w:p>
    <w:p>
      <w:pPr>
        <w:spacing w:before="280" w:after="120" w:line="336" w:lineRule="auto"/>
      </w:pPr>
      <w:r>
        <w:rPr>
          <w:rFonts w:ascii="SimHei" w:hAnsi="SimHei" w:eastAsia="黑体"/>
          <w:b/>
          <w:color w:val="000000"/>
          <w:sz w:val="30"/>
        </w:rPr>
        <w:t>六、体系层面的优化建议</w:t>
      </w:r>
    </w:p>
    <w:p>
      <w:pPr>
        <w:spacing w:before="160" w:after="80" w:line="336" w:lineRule="auto"/>
        <w:ind w:firstLine="480"/>
      </w:pPr>
      <w:r>
        <w:rPr>
          <w:rFonts w:ascii="KaiTi" w:hAnsi="KaiTi" w:eastAsia="楷体"/>
          <w:b/>
          <w:color w:val="000000"/>
          <w:sz w:val="26"/>
        </w:rPr>
        <w:t>（一）补齐统一信息系统的制度供给</w:t>
      </w:r>
    </w:p>
    <w:p>
      <w:pPr>
        <w:spacing w:line="324" w:lineRule="auto" w:after="40"/>
        <w:ind w:firstLine="480"/>
      </w:pPr>
      <w:r>
        <w:rPr>
          <w:rFonts w:ascii="FangSong" w:hAnsi="FangSong" w:eastAsia="仿宋"/>
          <w:b w:val="0"/>
          <w:color w:val="000000"/>
          <w:sz w:val="24"/>
        </w:rPr>
        <w:t>建议在“1+3+1”框架下增加一项配套技术文件——《广东省交通建设项目档案信息系统数据标准与接口规范》（含电子文件元数据方案、四性检测指标、在线移交接口规范），与《管理办法》、技术指南同步发布或明确制定时间表；系统建设应坚持“标准先行、数据为要”，先固化分类编号、元数据和交换标准，再开发部署，防止先建系统后定标准造成返工。</w:t>
      </w:r>
    </w:p>
    <w:p>
      <w:pPr>
        <w:spacing w:before="160" w:after="80" w:line="336" w:lineRule="auto"/>
        <w:ind w:firstLine="480"/>
      </w:pPr>
      <w:r>
        <w:rPr>
          <w:rFonts w:ascii="KaiTi" w:hAnsi="KaiTi" w:eastAsia="楷体"/>
          <w:b/>
          <w:color w:val="000000"/>
          <w:sz w:val="26"/>
        </w:rPr>
        <w:t>（二）提升发文效力与部门协同</w:t>
      </w:r>
    </w:p>
    <w:p>
      <w:pPr>
        <w:spacing w:line="324" w:lineRule="auto" w:after="40"/>
        <w:ind w:firstLine="480"/>
      </w:pPr>
      <w:r>
        <w:rPr>
          <w:rFonts w:ascii="FangSong" w:hAnsi="FangSong" w:eastAsia="仿宋"/>
          <w:b w:val="0"/>
          <w:color w:val="000000"/>
          <w:sz w:val="24"/>
        </w:rPr>
        <w:t>项目档案专项验收和业务监督涉及档案主管部门法定职权，建议《管理办法》由省交通运输厅商省档案主管部门联合印发或会签发布，增强跨部门执行力；三个技术指南建议以厅规范性文件或行业标准化指导文件形式发布，并明确与国家标准、行业标准不一致时的适用规则（就高不就低）。</w:t>
      </w:r>
    </w:p>
    <w:p>
      <w:pPr>
        <w:spacing w:before="160" w:after="80" w:line="336" w:lineRule="auto"/>
        <w:ind w:firstLine="480"/>
      </w:pPr>
      <w:r>
        <w:rPr>
          <w:rFonts w:ascii="KaiTi" w:hAnsi="KaiTi" w:eastAsia="楷体"/>
          <w:b/>
          <w:color w:val="000000"/>
          <w:sz w:val="26"/>
        </w:rPr>
        <w:t>（三）建立动态维护与实施保障机制</w:t>
      </w:r>
    </w:p>
    <w:p>
      <w:pPr>
        <w:spacing w:line="324" w:lineRule="auto" w:after="40"/>
        <w:ind w:firstLine="480"/>
      </w:pPr>
      <w:r>
        <w:rPr>
          <w:rFonts w:ascii="FangSong" w:hAnsi="FangSong" w:eastAsia="仿宋"/>
          <w:b w:val="0"/>
          <w:color w:val="000000"/>
          <w:sz w:val="24"/>
        </w:rPr>
        <w:t>一是建立标准体系解释答疑与典型案例指导机制，由厅明确专责处室（单位）归口；二是设定定期评估修订周期（建议每三年评估一次），跟踪国家标准更新及时联动修订；三是办法出台后组织全省分层宣贯培训，将项目档案业务纳入行业人员继续教育；四是遴选不同类型在建项目开展新制度试点，检验归档范围表、评分表和信息系统的适用性后全面推开；五是明确在建项目过渡期适用规则。</w:t>
      </w:r>
    </w:p>
    <w:p>
      <w:pPr>
        <w:spacing w:before="160" w:after="80" w:line="336" w:lineRule="auto"/>
        <w:ind w:firstLine="480"/>
      </w:pPr>
      <w:r>
        <w:rPr>
          <w:rFonts w:ascii="KaiTi" w:hAnsi="KaiTi" w:eastAsia="楷体"/>
          <w:b/>
          <w:color w:val="000000"/>
          <w:sz w:val="26"/>
        </w:rPr>
        <w:t>（四）适度前瞻布局</w:t>
      </w:r>
    </w:p>
    <w:p>
      <w:pPr>
        <w:spacing w:line="324" w:lineRule="auto" w:after="40"/>
        <w:ind w:firstLine="480"/>
      </w:pPr>
      <w:r>
        <w:rPr>
          <w:rFonts w:ascii="FangSong" w:hAnsi="FangSong" w:eastAsia="仿宋"/>
          <w:b w:val="0"/>
          <w:color w:val="000000"/>
          <w:sz w:val="24"/>
        </w:rPr>
        <w:t>结合国家档案信息化战略部署，建议在体系中预留三个发展接口：电子文件单套制归档试点，人工智能辅助文件著录、竣工图核对与四性检测，项目档案数据服务于养护决策、资产管理和改扩建的开发利用机制，使制度体系保持前瞻性和生命力。</w:t>
      </w:r>
    </w:p>
    <w:p>
      <w:pPr>
        <w:spacing w:before="280" w:after="120" w:line="336" w:lineRule="auto"/>
      </w:pPr>
      <w:r>
        <w:rPr>
          <w:rFonts w:ascii="SimHei" w:hAnsi="SimHei" w:eastAsia="黑体"/>
          <w:b/>
          <w:color w:val="000000"/>
          <w:sz w:val="30"/>
        </w:rPr>
        <w:t>七、主要文字勘误清单</w:t>
      </w:r>
    </w:p>
    <w:p>
      <w:pPr>
        <w:spacing w:line="324" w:lineRule="auto" w:after="40"/>
        <w:ind w:firstLine="480"/>
      </w:pPr>
      <w:r>
        <w:rPr>
          <w:rFonts w:ascii="FangSong" w:hAnsi="FangSong" w:eastAsia="仿宋"/>
          <w:b w:val="0"/>
          <w:color w:val="000000"/>
          <w:sz w:val="24"/>
        </w:rPr>
        <w:t>除前述实质性修改意见外，现将审读中发现的主要文字技术性差错汇总如下表，建议逐项核改。</w:t>
      </w:r>
    </w:p>
    <w:tbl>
      <w:tblPr>
        <w:tblStyle w:val="TableGrid"/>
        <w:tblW w:type="auto" w:w="0"/>
        <w:jc w:val="center"/>
        <w:tblLook w:firstColumn="1" w:firstRow="1" w:lastColumn="0" w:lastRow="0" w:noHBand="0" w:noVBand="1" w:val="04A0"/>
      </w:tblPr>
      <w:tblGrid>
        <w:gridCol w:w="2211"/>
        <w:gridCol w:w="2211"/>
        <w:gridCol w:w="2211"/>
        <w:gridCol w:w="2211"/>
      </w:tblGrid>
      <w:tr>
        <w:tc>
          <w:tcPr>
            <w:tcW w:type="dxa" w:w="680"/>
          </w:tcPr>
          <w:p>
            <w:pPr>
              <w:jc w:val="center"/>
            </w:pPr>
            <w:r/>
            <w:r>
              <w:rPr>
                <w:rFonts w:ascii="SimHei" w:hAnsi="SimHei" w:eastAsia="黑体"/>
                <w:b/>
                <w:color w:val="000000"/>
                <w:sz w:val="21"/>
              </w:rPr>
              <w:t>序号</w:t>
            </w:r>
          </w:p>
        </w:tc>
        <w:tc>
          <w:tcPr>
            <w:tcW w:type="dxa" w:w="2041"/>
          </w:tcPr>
          <w:p>
            <w:pPr>
              <w:jc w:val="center"/>
            </w:pPr>
            <w:r/>
            <w:r>
              <w:rPr>
                <w:rFonts w:ascii="SimHei" w:hAnsi="SimHei" w:eastAsia="黑体"/>
                <w:b/>
                <w:color w:val="000000"/>
                <w:sz w:val="21"/>
              </w:rPr>
              <w:t>文件及位置</w:t>
            </w:r>
          </w:p>
        </w:tc>
        <w:tc>
          <w:tcPr>
            <w:tcW w:type="dxa" w:w="3061"/>
          </w:tcPr>
          <w:p>
            <w:pPr>
              <w:jc w:val="center"/>
            </w:pPr>
            <w:r/>
            <w:r>
              <w:rPr>
                <w:rFonts w:ascii="SimHei" w:hAnsi="SimHei" w:eastAsia="黑体"/>
                <w:b/>
                <w:color w:val="000000"/>
                <w:sz w:val="21"/>
              </w:rPr>
              <w:t>存在问题</w:t>
            </w:r>
          </w:p>
        </w:tc>
        <w:tc>
          <w:tcPr>
            <w:tcW w:type="dxa" w:w="3061"/>
          </w:tcPr>
          <w:p>
            <w:pPr>
              <w:jc w:val="center"/>
            </w:pPr>
            <w:r/>
            <w:r>
              <w:rPr>
                <w:rFonts w:ascii="SimHei" w:hAnsi="SimHei" w:eastAsia="黑体"/>
                <w:b/>
                <w:color w:val="000000"/>
                <w:sz w:val="21"/>
              </w:rPr>
              <w:t>修改建议</w:t>
            </w:r>
          </w:p>
        </w:tc>
      </w:tr>
      <w:tr>
        <w:tc>
          <w:tcPr>
            <w:tcW w:type="dxa" w:w="680"/>
          </w:tcPr>
          <w:p>
            <w:pPr>
              <w:jc w:val="center"/>
            </w:pPr>
            <w:r/>
            <w:r>
              <w:rPr>
                <w:rFonts w:ascii="SimSun" w:hAnsi="SimSun" w:eastAsia="宋体"/>
                <w:b w:val="0"/>
                <w:color w:val="000000"/>
                <w:sz w:val="21"/>
              </w:rPr>
              <w:t>1</w:t>
            </w:r>
          </w:p>
        </w:tc>
        <w:tc>
          <w:tcPr>
            <w:tcW w:type="dxa" w:w="2041"/>
          </w:tcPr>
          <w:p>
            <w:r/>
            <w:r>
              <w:rPr>
                <w:rFonts w:ascii="SimSun" w:hAnsi="SimSun" w:eastAsia="宋体"/>
                <w:b w:val="0"/>
                <w:color w:val="000000"/>
                <w:sz w:val="21"/>
              </w:rPr>
              <w:t>附件1第七条</w:t>
            </w:r>
          </w:p>
        </w:tc>
        <w:tc>
          <w:tcPr>
            <w:tcW w:type="dxa" w:w="3061"/>
          </w:tcPr>
          <w:p>
            <w:r/>
            <w:r>
              <w:rPr>
                <w:rFonts w:ascii="SimSun" w:hAnsi="SimSun" w:eastAsia="宋体"/>
                <w:b w:val="0"/>
                <w:color w:val="000000"/>
                <w:sz w:val="21"/>
              </w:rPr>
              <w:t>“业级及以上档案主管部门的监督和指导”语句残缺不通</w:t>
            </w:r>
          </w:p>
        </w:tc>
        <w:tc>
          <w:tcPr>
            <w:tcW w:type="dxa" w:w="3061"/>
          </w:tcPr>
          <w:p>
            <w:r/>
            <w:r>
              <w:rPr>
                <w:rFonts w:ascii="SimSun" w:hAnsi="SimSun" w:eastAsia="宋体"/>
                <w:b w:val="0"/>
                <w:color w:val="000000"/>
                <w:sz w:val="21"/>
              </w:rPr>
              <w:t>改为“……，并接受同级及以上档案主管部门的监督和指导”</w:t>
            </w:r>
          </w:p>
        </w:tc>
      </w:tr>
      <w:tr>
        <w:tc>
          <w:tcPr>
            <w:tcW w:type="dxa" w:w="680"/>
          </w:tcPr>
          <w:p>
            <w:pPr>
              <w:jc w:val="center"/>
            </w:pPr>
            <w:r/>
            <w:r>
              <w:rPr>
                <w:rFonts w:ascii="SimSun" w:hAnsi="SimSun" w:eastAsia="宋体"/>
                <w:b w:val="0"/>
                <w:color w:val="000000"/>
                <w:sz w:val="21"/>
              </w:rPr>
              <w:t>2</w:t>
            </w:r>
          </w:p>
        </w:tc>
        <w:tc>
          <w:tcPr>
            <w:tcW w:type="dxa" w:w="2041"/>
          </w:tcPr>
          <w:p>
            <w:r/>
            <w:r>
              <w:rPr>
                <w:rFonts w:ascii="SimSun" w:hAnsi="SimSun" w:eastAsia="宋体"/>
                <w:b w:val="0"/>
                <w:color w:val="000000"/>
                <w:sz w:val="21"/>
              </w:rPr>
              <w:t>附件1第十条</w:t>
            </w:r>
          </w:p>
        </w:tc>
        <w:tc>
          <w:tcPr>
            <w:tcW w:type="dxa" w:w="3061"/>
          </w:tcPr>
          <w:p>
            <w:r/>
            <w:r>
              <w:rPr>
                <w:rFonts w:ascii="SimSun" w:hAnsi="SimSun" w:eastAsia="宋体"/>
                <w:b w:val="0"/>
                <w:color w:val="000000"/>
                <w:sz w:val="21"/>
              </w:rPr>
              <w:t>标题列勘察、施工单位，正文无对应职责条款</w:t>
            </w:r>
          </w:p>
        </w:tc>
        <w:tc>
          <w:tcPr>
            <w:tcW w:type="dxa" w:w="3061"/>
          </w:tcPr>
          <w:p>
            <w:r/>
            <w:r>
              <w:rPr>
                <w:rFonts w:ascii="SimSun" w:hAnsi="SimSun" w:eastAsia="宋体"/>
                <w:b w:val="0"/>
                <w:color w:val="000000"/>
                <w:sz w:val="21"/>
              </w:rPr>
              <w:t>补充勘察单位、施工单位具体职责</w:t>
            </w:r>
          </w:p>
        </w:tc>
      </w:tr>
      <w:tr>
        <w:tc>
          <w:tcPr>
            <w:tcW w:type="dxa" w:w="680"/>
          </w:tcPr>
          <w:p>
            <w:pPr>
              <w:jc w:val="center"/>
            </w:pPr>
            <w:r/>
            <w:r>
              <w:rPr>
                <w:rFonts w:ascii="SimSun" w:hAnsi="SimSun" w:eastAsia="宋体"/>
                <w:b w:val="0"/>
                <w:color w:val="000000"/>
                <w:sz w:val="21"/>
              </w:rPr>
              <w:t>3</w:t>
            </w:r>
          </w:p>
        </w:tc>
        <w:tc>
          <w:tcPr>
            <w:tcW w:type="dxa" w:w="2041"/>
          </w:tcPr>
          <w:p>
            <w:r/>
            <w:r>
              <w:rPr>
                <w:rFonts w:ascii="SimSun" w:hAnsi="SimSun" w:eastAsia="宋体"/>
                <w:b w:val="0"/>
                <w:color w:val="000000"/>
                <w:sz w:val="21"/>
              </w:rPr>
              <w:t>附件1第十九、二十一条</w:t>
            </w:r>
          </w:p>
        </w:tc>
        <w:tc>
          <w:tcPr>
            <w:tcW w:type="dxa" w:w="3061"/>
          </w:tcPr>
          <w:p>
            <w:r/>
            <w:r>
              <w:rPr>
                <w:rFonts w:ascii="SimSun" w:hAnsi="SimSun" w:eastAsia="宋体"/>
                <w:b w:val="0"/>
                <w:color w:val="000000"/>
                <w:sz w:val="21"/>
              </w:rPr>
              <w:t>“六个月”与“3个月”数字体例不统一</w:t>
            </w:r>
          </w:p>
        </w:tc>
        <w:tc>
          <w:tcPr>
            <w:tcW w:type="dxa" w:w="3061"/>
          </w:tcPr>
          <w:p>
            <w:r/>
            <w:r>
              <w:rPr>
                <w:rFonts w:ascii="SimSun" w:hAnsi="SimSun" w:eastAsia="宋体"/>
                <w:b w:val="0"/>
                <w:color w:val="000000"/>
                <w:sz w:val="21"/>
              </w:rPr>
              <w:t>按公文数字用法统一</w:t>
            </w:r>
          </w:p>
        </w:tc>
      </w:tr>
      <w:tr>
        <w:tc>
          <w:tcPr>
            <w:tcW w:type="dxa" w:w="680"/>
          </w:tcPr>
          <w:p>
            <w:pPr>
              <w:jc w:val="center"/>
            </w:pPr>
            <w:r/>
            <w:r>
              <w:rPr>
                <w:rFonts w:ascii="SimSun" w:hAnsi="SimSun" w:eastAsia="宋体"/>
                <w:b w:val="0"/>
                <w:color w:val="000000"/>
                <w:sz w:val="21"/>
              </w:rPr>
              <w:t>4</w:t>
            </w:r>
          </w:p>
        </w:tc>
        <w:tc>
          <w:tcPr>
            <w:tcW w:type="dxa" w:w="2041"/>
          </w:tcPr>
          <w:p>
            <w:r/>
            <w:r>
              <w:rPr>
                <w:rFonts w:ascii="SimSun" w:hAnsi="SimSun" w:eastAsia="宋体"/>
                <w:b w:val="0"/>
                <w:color w:val="000000"/>
                <w:sz w:val="21"/>
              </w:rPr>
              <w:t>附件1评分表1.2</w:t>
            </w:r>
          </w:p>
        </w:tc>
        <w:tc>
          <w:tcPr>
            <w:tcW w:type="dxa" w:w="3061"/>
          </w:tcPr>
          <w:p>
            <w:r/>
            <w:r>
              <w:rPr>
                <w:rFonts w:ascii="SimSun" w:hAnsi="SimSun" w:eastAsia="宋体"/>
                <w:b w:val="0"/>
                <w:color w:val="000000"/>
                <w:sz w:val="21"/>
              </w:rPr>
              <w:t>“《国家重点建设档案管理登记表》”名称有误</w:t>
            </w:r>
          </w:p>
        </w:tc>
        <w:tc>
          <w:tcPr>
            <w:tcW w:type="dxa" w:w="3061"/>
          </w:tcPr>
          <w:p>
            <w:r/>
            <w:r>
              <w:rPr>
                <w:rFonts w:ascii="SimSun" w:hAnsi="SimSun" w:eastAsia="宋体"/>
                <w:b w:val="0"/>
                <w:color w:val="000000"/>
                <w:sz w:val="21"/>
              </w:rPr>
              <w:t>改为“《国家重点建设项目档案管理登记表》”</w:t>
            </w:r>
          </w:p>
        </w:tc>
      </w:tr>
      <w:tr>
        <w:tc>
          <w:tcPr>
            <w:tcW w:type="dxa" w:w="680"/>
          </w:tcPr>
          <w:p>
            <w:pPr>
              <w:jc w:val="center"/>
            </w:pPr>
            <w:r/>
            <w:r>
              <w:rPr>
                <w:rFonts w:ascii="SimSun" w:hAnsi="SimSun" w:eastAsia="宋体"/>
                <w:b w:val="0"/>
                <w:color w:val="000000"/>
                <w:sz w:val="21"/>
              </w:rPr>
              <w:t>5</w:t>
            </w:r>
          </w:p>
        </w:tc>
        <w:tc>
          <w:tcPr>
            <w:tcW w:type="dxa" w:w="2041"/>
          </w:tcPr>
          <w:p>
            <w:r/>
            <w:r>
              <w:rPr>
                <w:rFonts w:ascii="SimSun" w:hAnsi="SimSun" w:eastAsia="宋体"/>
                <w:b w:val="0"/>
                <w:color w:val="000000"/>
                <w:sz w:val="21"/>
              </w:rPr>
              <w:t>附件1评分表2.1.1</w:t>
            </w:r>
          </w:p>
        </w:tc>
        <w:tc>
          <w:tcPr>
            <w:tcW w:type="dxa" w:w="3061"/>
          </w:tcPr>
          <w:p>
            <w:r/>
            <w:r>
              <w:rPr>
                <w:rFonts w:ascii="SimSun" w:hAnsi="SimSun" w:eastAsia="宋体"/>
                <w:b w:val="0"/>
                <w:color w:val="000000"/>
                <w:sz w:val="21"/>
              </w:rPr>
              <w:t>“《国家重大档案建设项目文件归档范围和保管期限表》”语序错误</w:t>
            </w:r>
          </w:p>
        </w:tc>
        <w:tc>
          <w:tcPr>
            <w:tcW w:type="dxa" w:w="3061"/>
          </w:tcPr>
          <w:p>
            <w:r/>
            <w:r>
              <w:rPr>
                <w:rFonts w:ascii="SimSun" w:hAnsi="SimSun" w:eastAsia="宋体"/>
                <w:b w:val="0"/>
                <w:color w:val="000000"/>
                <w:sz w:val="21"/>
              </w:rPr>
              <w:t>改为“《国家重大建设项目文件归档范围和保管期限表》”并按DA/T 28—2018更新</w:t>
            </w:r>
          </w:p>
        </w:tc>
      </w:tr>
      <w:tr>
        <w:tc>
          <w:tcPr>
            <w:tcW w:type="dxa" w:w="680"/>
          </w:tcPr>
          <w:p>
            <w:pPr>
              <w:jc w:val="center"/>
            </w:pPr>
            <w:r/>
            <w:r>
              <w:rPr>
                <w:rFonts w:ascii="SimSun" w:hAnsi="SimSun" w:eastAsia="宋体"/>
                <w:b w:val="0"/>
                <w:color w:val="000000"/>
                <w:sz w:val="21"/>
              </w:rPr>
              <w:t>6</w:t>
            </w:r>
          </w:p>
        </w:tc>
        <w:tc>
          <w:tcPr>
            <w:tcW w:type="dxa" w:w="2041"/>
          </w:tcPr>
          <w:p>
            <w:r/>
            <w:r>
              <w:rPr>
                <w:rFonts w:ascii="SimSun" w:hAnsi="SimSun" w:eastAsia="宋体"/>
                <w:b w:val="0"/>
                <w:color w:val="000000"/>
                <w:sz w:val="21"/>
              </w:rPr>
              <w:t>附件1评分表2.1.3</w:t>
            </w:r>
          </w:p>
        </w:tc>
        <w:tc>
          <w:tcPr>
            <w:tcW w:type="dxa" w:w="3061"/>
          </w:tcPr>
          <w:p>
            <w:r/>
            <w:r>
              <w:rPr>
                <w:rFonts w:ascii="SimSun" w:hAnsi="SimSun" w:eastAsia="宋体"/>
                <w:b w:val="0"/>
                <w:color w:val="000000"/>
                <w:sz w:val="21"/>
              </w:rPr>
              <w:t>“不可擦除型光盘”要求过时</w:t>
            </w:r>
          </w:p>
        </w:tc>
        <w:tc>
          <w:tcPr>
            <w:tcW w:type="dxa" w:w="3061"/>
          </w:tcPr>
          <w:p>
            <w:r/>
            <w:r>
              <w:rPr>
                <w:rFonts w:ascii="SimSun" w:hAnsi="SimSun" w:eastAsia="宋体"/>
                <w:b w:val="0"/>
                <w:color w:val="000000"/>
                <w:sz w:val="21"/>
              </w:rPr>
              <w:t>改为符合长期保存要求的存储介质并异地备份</w:t>
            </w:r>
          </w:p>
        </w:tc>
      </w:tr>
      <w:tr>
        <w:tc>
          <w:tcPr>
            <w:tcW w:type="dxa" w:w="680"/>
          </w:tcPr>
          <w:p>
            <w:pPr>
              <w:jc w:val="center"/>
            </w:pPr>
            <w:r/>
            <w:r>
              <w:rPr>
                <w:rFonts w:ascii="SimSun" w:hAnsi="SimSun" w:eastAsia="宋体"/>
                <w:b w:val="0"/>
                <w:color w:val="000000"/>
                <w:sz w:val="21"/>
              </w:rPr>
              <w:t>7</w:t>
            </w:r>
          </w:p>
        </w:tc>
        <w:tc>
          <w:tcPr>
            <w:tcW w:type="dxa" w:w="2041"/>
          </w:tcPr>
          <w:p>
            <w:r/>
            <w:r>
              <w:rPr>
                <w:rFonts w:ascii="SimSun" w:hAnsi="SimSun" w:eastAsia="宋体"/>
                <w:b w:val="0"/>
                <w:color w:val="000000"/>
                <w:sz w:val="21"/>
              </w:rPr>
              <w:t>附件2、3、4第4章</w:t>
            </w:r>
          </w:p>
        </w:tc>
        <w:tc>
          <w:tcPr>
            <w:tcW w:type="dxa" w:w="3061"/>
          </w:tcPr>
          <w:p>
            <w:r/>
            <w:r>
              <w:rPr>
                <w:rFonts w:ascii="SimSun" w:hAnsi="SimSun" w:eastAsia="宋体"/>
                <w:b w:val="0"/>
                <w:color w:val="000000"/>
                <w:sz w:val="21"/>
              </w:rPr>
              <w:t>出现两个“4.3”，序号重号错位</w:t>
            </w:r>
          </w:p>
        </w:tc>
        <w:tc>
          <w:tcPr>
            <w:tcW w:type="dxa" w:w="3061"/>
          </w:tcPr>
          <w:p>
            <w:r/>
            <w:r>
              <w:rPr>
                <w:rFonts w:ascii="SimSun" w:hAnsi="SimSun" w:eastAsia="宋体"/>
                <w:b w:val="0"/>
                <w:color w:val="000000"/>
                <w:sz w:val="21"/>
              </w:rPr>
              <w:t>施工单位4.3、监理单位4.4，后续顺延</w:t>
            </w:r>
          </w:p>
        </w:tc>
      </w:tr>
      <w:tr>
        <w:tc>
          <w:tcPr>
            <w:tcW w:type="dxa" w:w="680"/>
          </w:tcPr>
          <w:p>
            <w:pPr>
              <w:jc w:val="center"/>
            </w:pPr>
            <w:r/>
            <w:r>
              <w:rPr>
                <w:rFonts w:ascii="SimSun" w:hAnsi="SimSun" w:eastAsia="宋体"/>
                <w:b w:val="0"/>
                <w:color w:val="000000"/>
                <w:sz w:val="21"/>
              </w:rPr>
              <w:t>8</w:t>
            </w:r>
          </w:p>
        </w:tc>
        <w:tc>
          <w:tcPr>
            <w:tcW w:type="dxa" w:w="2041"/>
          </w:tcPr>
          <w:p>
            <w:r/>
            <w:r>
              <w:rPr>
                <w:rFonts w:ascii="SimSun" w:hAnsi="SimSun" w:eastAsia="宋体"/>
                <w:b w:val="0"/>
                <w:color w:val="000000"/>
                <w:sz w:val="21"/>
              </w:rPr>
              <w:t>附件2、3、4第9章</w:t>
            </w:r>
          </w:p>
        </w:tc>
        <w:tc>
          <w:tcPr>
            <w:tcW w:type="dxa" w:w="3061"/>
          </w:tcPr>
          <w:p>
            <w:r/>
            <w:r>
              <w:rPr>
                <w:rFonts w:ascii="SimSun" w:hAnsi="SimSun" w:eastAsia="宋体"/>
                <w:b w:val="0"/>
                <w:color w:val="000000"/>
                <w:sz w:val="21"/>
              </w:rPr>
              <w:t>“9,6.3”下脚点误为逗号</w:t>
            </w:r>
          </w:p>
        </w:tc>
        <w:tc>
          <w:tcPr>
            <w:tcW w:type="dxa" w:w="3061"/>
          </w:tcPr>
          <w:p>
            <w:r/>
            <w:r>
              <w:rPr>
                <w:rFonts w:ascii="SimSun" w:hAnsi="SimSun" w:eastAsia="宋体"/>
                <w:b w:val="0"/>
                <w:color w:val="000000"/>
                <w:sz w:val="21"/>
              </w:rPr>
              <w:t>改为“9.6.3”</w:t>
            </w:r>
          </w:p>
        </w:tc>
      </w:tr>
      <w:tr>
        <w:tc>
          <w:tcPr>
            <w:tcW w:type="dxa" w:w="680"/>
          </w:tcPr>
          <w:p>
            <w:pPr>
              <w:jc w:val="center"/>
            </w:pPr>
            <w:r/>
            <w:r>
              <w:rPr>
                <w:rFonts w:ascii="SimSun" w:hAnsi="SimSun" w:eastAsia="宋体"/>
                <w:b w:val="0"/>
                <w:color w:val="000000"/>
                <w:sz w:val="21"/>
              </w:rPr>
              <w:t>9</w:t>
            </w:r>
          </w:p>
        </w:tc>
        <w:tc>
          <w:tcPr>
            <w:tcW w:type="dxa" w:w="2041"/>
          </w:tcPr>
          <w:p>
            <w:r/>
            <w:r>
              <w:rPr>
                <w:rFonts w:ascii="SimSun" w:hAnsi="SimSun" w:eastAsia="宋体"/>
                <w:b w:val="0"/>
                <w:color w:val="000000"/>
                <w:sz w:val="21"/>
              </w:rPr>
              <w:t>附件2、3、4第11.2节</w:t>
            </w:r>
          </w:p>
        </w:tc>
        <w:tc>
          <w:tcPr>
            <w:tcW w:type="dxa" w:w="3061"/>
          </w:tcPr>
          <w:p>
            <w:r/>
            <w:r>
              <w:rPr>
                <w:rFonts w:ascii="SimSun" w:hAnsi="SimSun" w:eastAsia="宋体"/>
                <w:b w:val="0"/>
                <w:color w:val="000000"/>
                <w:sz w:val="21"/>
              </w:rPr>
              <w:t>“11.1.1／11.2.1／11.2.1”编号错乱重复</w:t>
            </w:r>
          </w:p>
        </w:tc>
        <w:tc>
          <w:tcPr>
            <w:tcW w:type="dxa" w:w="3061"/>
          </w:tcPr>
          <w:p>
            <w:r/>
            <w:r>
              <w:rPr>
                <w:rFonts w:ascii="SimSun" w:hAnsi="SimSun" w:eastAsia="宋体"/>
                <w:b w:val="0"/>
                <w:color w:val="000000"/>
                <w:sz w:val="21"/>
              </w:rPr>
              <w:t>改为11.2.1、11.2.2、11.2.3</w:t>
            </w:r>
          </w:p>
        </w:tc>
      </w:tr>
      <w:tr>
        <w:tc>
          <w:tcPr>
            <w:tcW w:type="dxa" w:w="680"/>
          </w:tcPr>
          <w:p>
            <w:pPr>
              <w:jc w:val="center"/>
            </w:pPr>
            <w:r/>
            <w:r>
              <w:rPr>
                <w:rFonts w:ascii="SimSun" w:hAnsi="SimSun" w:eastAsia="宋体"/>
                <w:b w:val="0"/>
                <w:color w:val="000000"/>
                <w:sz w:val="21"/>
              </w:rPr>
              <w:t>10</w:t>
            </w:r>
          </w:p>
        </w:tc>
        <w:tc>
          <w:tcPr>
            <w:tcW w:type="dxa" w:w="2041"/>
          </w:tcPr>
          <w:p>
            <w:r/>
            <w:r>
              <w:rPr>
                <w:rFonts w:ascii="SimSun" w:hAnsi="SimSun" w:eastAsia="宋体"/>
                <w:b w:val="0"/>
                <w:color w:val="000000"/>
                <w:sz w:val="21"/>
              </w:rPr>
              <w:t>附件2、3、4第14.1节</w:t>
            </w:r>
          </w:p>
        </w:tc>
        <w:tc>
          <w:tcPr>
            <w:tcW w:type="dxa" w:w="3061"/>
          </w:tcPr>
          <w:p>
            <w:r/>
            <w:r>
              <w:rPr>
                <w:rFonts w:ascii="SimSun" w:hAnsi="SimSun" w:eastAsia="宋体"/>
                <w:b w:val="0"/>
                <w:color w:val="000000"/>
                <w:sz w:val="21"/>
              </w:rPr>
              <w:t>两个“14.1.1”重号</w:t>
            </w:r>
          </w:p>
        </w:tc>
        <w:tc>
          <w:tcPr>
            <w:tcW w:type="dxa" w:w="3061"/>
          </w:tcPr>
          <w:p>
            <w:r/>
            <w:r>
              <w:rPr>
                <w:rFonts w:ascii="SimSun" w:hAnsi="SimSun" w:eastAsia="宋体"/>
                <w:b w:val="0"/>
                <w:color w:val="000000"/>
                <w:sz w:val="21"/>
              </w:rPr>
              <w:t>“外部移交”改为14.1.2</w:t>
            </w:r>
          </w:p>
        </w:tc>
      </w:tr>
      <w:tr>
        <w:tc>
          <w:tcPr>
            <w:tcW w:type="dxa" w:w="680"/>
          </w:tcPr>
          <w:p>
            <w:pPr>
              <w:jc w:val="center"/>
            </w:pPr>
            <w:r/>
            <w:r>
              <w:rPr>
                <w:rFonts w:ascii="SimSun" w:hAnsi="SimSun" w:eastAsia="宋体"/>
                <w:b w:val="0"/>
                <w:color w:val="000000"/>
                <w:sz w:val="21"/>
              </w:rPr>
              <w:t>11</w:t>
            </w:r>
          </w:p>
        </w:tc>
        <w:tc>
          <w:tcPr>
            <w:tcW w:type="dxa" w:w="2041"/>
          </w:tcPr>
          <w:p>
            <w:r/>
            <w:r>
              <w:rPr>
                <w:rFonts w:ascii="SimSun" w:hAnsi="SimSun" w:eastAsia="宋体"/>
                <w:b w:val="0"/>
                <w:color w:val="000000"/>
                <w:sz w:val="21"/>
              </w:rPr>
              <w:t>附件2、3、4首页</w:t>
            </w:r>
          </w:p>
        </w:tc>
        <w:tc>
          <w:tcPr>
            <w:tcW w:type="dxa" w:w="3061"/>
          </w:tcPr>
          <w:p>
            <w:r/>
            <w:r>
              <w:rPr>
                <w:rFonts w:ascii="SimSun" w:hAnsi="SimSun" w:eastAsia="宋体"/>
                <w:b w:val="0"/>
                <w:color w:val="000000"/>
                <w:sz w:val="21"/>
              </w:rPr>
              <w:t>内部序号均标“附件3”</w:t>
            </w:r>
          </w:p>
        </w:tc>
        <w:tc>
          <w:tcPr>
            <w:tcW w:type="dxa" w:w="3061"/>
          </w:tcPr>
          <w:p>
            <w:r/>
            <w:r>
              <w:rPr>
                <w:rFonts w:ascii="SimSun" w:hAnsi="SimSun" w:eastAsia="宋体"/>
                <w:b w:val="0"/>
                <w:color w:val="000000"/>
                <w:sz w:val="21"/>
              </w:rPr>
              <w:t>分别改为附件2、附件3、附件4</w:t>
            </w:r>
          </w:p>
        </w:tc>
      </w:tr>
      <w:tr>
        <w:tc>
          <w:tcPr>
            <w:tcW w:type="dxa" w:w="680"/>
          </w:tcPr>
          <w:p>
            <w:pPr>
              <w:jc w:val="center"/>
            </w:pPr>
            <w:r/>
            <w:r>
              <w:rPr>
                <w:rFonts w:ascii="SimSun" w:hAnsi="SimSun" w:eastAsia="宋体"/>
                <w:b w:val="0"/>
                <w:color w:val="000000"/>
                <w:sz w:val="21"/>
              </w:rPr>
              <w:t>12</w:t>
            </w:r>
          </w:p>
        </w:tc>
        <w:tc>
          <w:tcPr>
            <w:tcW w:type="dxa" w:w="2041"/>
          </w:tcPr>
          <w:p>
            <w:r/>
            <w:r>
              <w:rPr>
                <w:rFonts w:ascii="SimSun" w:hAnsi="SimSun" w:eastAsia="宋体"/>
                <w:b w:val="0"/>
                <w:color w:val="000000"/>
                <w:sz w:val="21"/>
              </w:rPr>
              <w:t>附件2、3、4第5章</w:t>
            </w:r>
          </w:p>
        </w:tc>
        <w:tc>
          <w:tcPr>
            <w:tcW w:type="dxa" w:w="3061"/>
          </w:tcPr>
          <w:p>
            <w:r/>
            <w:r>
              <w:rPr>
                <w:rFonts w:ascii="SimSun" w:hAnsi="SimSun" w:eastAsia="宋体"/>
                <w:b w:val="0"/>
                <w:color w:val="000000"/>
                <w:sz w:val="21"/>
              </w:rPr>
              <w:t>章名“5.”带下脚点，体例不一</w:t>
            </w:r>
          </w:p>
        </w:tc>
        <w:tc>
          <w:tcPr>
            <w:tcW w:type="dxa" w:w="3061"/>
          </w:tcPr>
          <w:p>
            <w:r/>
            <w:r>
              <w:rPr>
                <w:rFonts w:ascii="SimSun" w:hAnsi="SimSun" w:eastAsia="宋体"/>
                <w:b w:val="0"/>
                <w:color w:val="000000"/>
                <w:sz w:val="21"/>
              </w:rPr>
              <w:t>删除下脚点，与各章统一</w:t>
            </w:r>
          </w:p>
        </w:tc>
      </w:tr>
      <w:tr>
        <w:tc>
          <w:tcPr>
            <w:tcW w:type="dxa" w:w="680"/>
          </w:tcPr>
          <w:p>
            <w:pPr>
              <w:jc w:val="center"/>
            </w:pPr>
            <w:r/>
            <w:r>
              <w:rPr>
                <w:rFonts w:ascii="SimSun" w:hAnsi="SimSun" w:eastAsia="宋体"/>
                <w:b w:val="0"/>
                <w:color w:val="000000"/>
                <w:sz w:val="21"/>
              </w:rPr>
              <w:t>13</w:t>
            </w:r>
          </w:p>
        </w:tc>
        <w:tc>
          <w:tcPr>
            <w:tcW w:type="dxa" w:w="2041"/>
          </w:tcPr>
          <w:p>
            <w:r/>
            <w:r>
              <w:rPr>
                <w:rFonts w:ascii="SimSun" w:hAnsi="SimSun" w:eastAsia="宋体"/>
                <w:b w:val="0"/>
                <w:color w:val="000000"/>
                <w:sz w:val="21"/>
              </w:rPr>
              <w:t>附件5首页</w:t>
            </w:r>
          </w:p>
        </w:tc>
        <w:tc>
          <w:tcPr>
            <w:tcW w:type="dxa" w:w="3061"/>
          </w:tcPr>
          <w:p>
            <w:r/>
            <w:r>
              <w:rPr>
                <w:rFonts w:ascii="SimSun" w:hAnsi="SimSun" w:eastAsia="宋体"/>
                <w:b w:val="0"/>
                <w:color w:val="000000"/>
                <w:sz w:val="21"/>
              </w:rPr>
              <w:t>误标“附件1”</w:t>
            </w:r>
          </w:p>
        </w:tc>
        <w:tc>
          <w:tcPr>
            <w:tcW w:type="dxa" w:w="3061"/>
          </w:tcPr>
          <w:p>
            <w:r/>
            <w:r>
              <w:rPr>
                <w:rFonts w:ascii="SimSun" w:hAnsi="SimSun" w:eastAsia="宋体"/>
                <w:b w:val="0"/>
                <w:color w:val="000000"/>
                <w:sz w:val="21"/>
              </w:rPr>
              <w:t>改为“附件5”</w:t>
            </w:r>
          </w:p>
        </w:tc>
      </w:tr>
      <w:tr>
        <w:tc>
          <w:tcPr>
            <w:tcW w:type="dxa" w:w="680"/>
          </w:tcPr>
          <w:p>
            <w:pPr>
              <w:jc w:val="center"/>
            </w:pPr>
            <w:r/>
            <w:r>
              <w:rPr>
                <w:rFonts w:ascii="SimSun" w:hAnsi="SimSun" w:eastAsia="宋体"/>
                <w:b w:val="0"/>
                <w:color w:val="000000"/>
                <w:sz w:val="21"/>
              </w:rPr>
              <w:t>14</w:t>
            </w:r>
          </w:p>
        </w:tc>
        <w:tc>
          <w:tcPr>
            <w:tcW w:type="dxa" w:w="2041"/>
          </w:tcPr>
          <w:p>
            <w:r/>
            <w:r>
              <w:rPr>
                <w:rFonts w:ascii="SimSun" w:hAnsi="SimSun" w:eastAsia="宋体"/>
                <w:b w:val="0"/>
                <w:color w:val="000000"/>
                <w:sz w:val="21"/>
              </w:rPr>
              <w:t>附件6首页及正文</w:t>
            </w:r>
          </w:p>
        </w:tc>
        <w:tc>
          <w:tcPr>
            <w:tcW w:type="dxa" w:w="3061"/>
          </w:tcPr>
          <w:p>
            <w:r/>
            <w:r>
              <w:rPr>
                <w:rFonts w:ascii="SimSun" w:hAnsi="SimSun" w:eastAsia="宋体"/>
                <w:b w:val="0"/>
                <w:color w:val="000000"/>
                <w:sz w:val="21"/>
              </w:rPr>
              <w:t>误标“附件3”；“档案技术编制指南”语序错误；“。。”标点重复</w:t>
            </w:r>
          </w:p>
        </w:tc>
        <w:tc>
          <w:tcPr>
            <w:tcW w:type="dxa" w:w="3061"/>
          </w:tcPr>
          <w:p>
            <w:r/>
            <w:r>
              <w:rPr>
                <w:rFonts w:ascii="SimSun" w:hAnsi="SimSun" w:eastAsia="宋体"/>
                <w:b w:val="0"/>
                <w:color w:val="000000"/>
                <w:sz w:val="21"/>
              </w:rPr>
              <w:t>改为“附件6”；改为“档案技术指南”；删除多余句号</w:t>
            </w:r>
          </w:p>
        </w:tc>
      </w:tr>
      <w:tr>
        <w:tc>
          <w:tcPr>
            <w:tcW w:type="dxa" w:w="680"/>
          </w:tcPr>
          <w:p>
            <w:pPr>
              <w:jc w:val="center"/>
            </w:pPr>
            <w:r/>
            <w:r>
              <w:rPr>
                <w:rFonts w:ascii="SimSun" w:hAnsi="SimSun" w:eastAsia="宋体"/>
                <w:b w:val="0"/>
                <w:color w:val="000000"/>
                <w:sz w:val="21"/>
              </w:rPr>
              <w:t>15</w:t>
            </w:r>
          </w:p>
        </w:tc>
        <w:tc>
          <w:tcPr>
            <w:tcW w:type="dxa" w:w="2041"/>
          </w:tcPr>
          <w:p>
            <w:r/>
            <w:r>
              <w:rPr>
                <w:rFonts w:ascii="SimSun" w:hAnsi="SimSun" w:eastAsia="宋体"/>
                <w:b w:val="0"/>
                <w:color w:val="000000"/>
                <w:sz w:val="21"/>
              </w:rPr>
              <w:t>附件5、6编制依据</w:t>
            </w:r>
          </w:p>
        </w:tc>
        <w:tc>
          <w:tcPr>
            <w:tcW w:type="dxa" w:w="3061"/>
          </w:tcPr>
          <w:p>
            <w:r/>
            <w:r>
              <w:rPr>
                <w:rFonts w:ascii="SimSun" w:hAnsi="SimSun" w:eastAsia="宋体"/>
                <w:b w:val="0"/>
                <w:color w:val="000000"/>
                <w:sz w:val="21"/>
              </w:rPr>
              <w:t>“DAT/31”“GBT18894”代号书写不规范，DA/T 28名称过时</w:t>
            </w:r>
          </w:p>
        </w:tc>
        <w:tc>
          <w:tcPr>
            <w:tcW w:type="dxa" w:w="3061"/>
          </w:tcPr>
          <w:p>
            <w:r/>
            <w:r>
              <w:rPr>
                <w:rFonts w:ascii="SimSun" w:hAnsi="SimSun" w:eastAsia="宋体"/>
                <w:b w:val="0"/>
                <w:color w:val="000000"/>
                <w:sz w:val="21"/>
              </w:rPr>
              <w:t>规范书写为DA/T 31、GB/T 18894，更新标准现行名称并标注年代号</w:t>
            </w:r>
          </w:p>
        </w:tc>
      </w:tr>
      <w:tr>
        <w:tc>
          <w:tcPr>
            <w:tcW w:type="dxa" w:w="680"/>
          </w:tcPr>
          <w:p>
            <w:pPr>
              <w:jc w:val="center"/>
            </w:pPr>
            <w:r/>
            <w:r>
              <w:rPr>
                <w:rFonts w:ascii="SimSun" w:hAnsi="SimSun" w:eastAsia="宋体"/>
                <w:b w:val="0"/>
                <w:color w:val="000000"/>
                <w:sz w:val="21"/>
              </w:rPr>
              <w:t>16</w:t>
            </w:r>
          </w:p>
        </w:tc>
        <w:tc>
          <w:tcPr>
            <w:tcW w:type="dxa" w:w="2041"/>
          </w:tcPr>
          <w:p>
            <w:r/>
            <w:r>
              <w:rPr>
                <w:rFonts w:ascii="SimSun" w:hAnsi="SimSun" w:eastAsia="宋体"/>
                <w:b w:val="0"/>
                <w:color w:val="000000"/>
                <w:sz w:val="21"/>
              </w:rPr>
              <w:t>通知文件名与正文</w:t>
            </w:r>
          </w:p>
        </w:tc>
        <w:tc>
          <w:tcPr>
            <w:tcW w:type="dxa" w:w="3061"/>
          </w:tcPr>
          <w:p>
            <w:r/>
            <w:r>
              <w:rPr>
                <w:rFonts w:ascii="SimSun" w:hAnsi="SimSun" w:eastAsia="宋体"/>
                <w:b w:val="0"/>
                <w:color w:val="000000"/>
                <w:sz w:val="21"/>
              </w:rPr>
              <w:t>技术指南称谓“统一编制框架”与“编制大纲”不一致</w:t>
            </w:r>
          </w:p>
        </w:tc>
        <w:tc>
          <w:tcPr>
            <w:tcW w:type="dxa" w:w="3061"/>
          </w:tcPr>
          <w:p>
            <w:r/>
            <w:r>
              <w:rPr>
                <w:rFonts w:ascii="SimSun" w:hAnsi="SimSun" w:eastAsia="宋体"/>
                <w:b w:val="0"/>
                <w:color w:val="000000"/>
                <w:sz w:val="21"/>
              </w:rPr>
              <w:t>全套文件统一定名</w:t>
            </w:r>
          </w:p>
        </w:tc>
      </w:tr>
    </w:tbl>
    <w:p>
      <w:pPr>
        <w:spacing w:before="280" w:after="120" w:line="336" w:lineRule="auto"/>
      </w:pPr>
      <w:r>
        <w:rPr>
          <w:rFonts w:ascii="SimHei" w:hAnsi="SimHei" w:eastAsia="黑体"/>
          <w:b/>
          <w:color w:val="000000"/>
          <w:sz w:val="30"/>
        </w:rPr>
        <w:t>八、结语</w:t>
      </w:r>
    </w:p>
    <w:p>
      <w:pPr>
        <w:spacing w:line="324" w:lineRule="auto" w:after="40"/>
        <w:ind w:firstLine="480"/>
      </w:pPr>
      <w:r>
        <w:rPr>
          <w:rFonts w:ascii="FangSong" w:hAnsi="FangSong" w:eastAsia="仿宋"/>
          <w:b w:val="0"/>
          <w:color w:val="000000"/>
          <w:sz w:val="24"/>
        </w:rPr>
        <w:t>总体而言，本套征询意见稿顶层设计科学、框架基本完备、亮点特色突出，体现了起草组扎实的实践积累，经修改完善后可以出台。建议按照“先校核、再补缺、后完善”的路径推进修订：第一步，对全套文件开展名称、编号、标准引用专项校核，消除技术性差错；第二步，补齐档案鉴定销毁、向档案馆和运营单位移交、法律责任、电子文件元数据、四性检测、统一信息系统等制度缺项；第三步，结合各方反馈意见完善验收评定方式、养护工程适用等重点条款，商省档案主管部门后联合印发实施，并同步启动数据标准编制和宣贯培训。本报告所列意见供起草组逐条研究采纳，可作为修订工作底稿。</w:t>
      </w:r>
    </w:p>
    <w:p>
      <w:pPr>
        <w:spacing w:before="360"/>
        <w:jc w:val="right"/>
      </w:pPr>
      <w:r>
        <w:rPr>
          <w:rFonts w:ascii="FangSong" w:hAnsi="FangSong" w:eastAsia="仿宋"/>
          <w:b w:val="0"/>
          <w:color w:val="000000"/>
          <w:sz w:val="24"/>
        </w:rPr>
        <w:t>评估人：档案管理资深专家</w:t>
      </w:r>
    </w:p>
    <w:p>
      <w:pPr>
        <w:spacing w:before="360"/>
        <w:jc w:val="right"/>
      </w:pPr>
      <w:r>
        <w:rPr>
          <w:rFonts w:ascii="FangSong" w:hAnsi="FangSong" w:eastAsia="仿宋"/>
          <w:b w:val="0"/>
          <w:color w:val="000000"/>
          <w:sz w:val="24"/>
        </w:rPr>
        <w:t>2026年7月3日</w:t>
      </w:r>
    </w:p>
    <w:sectPr w:rsidR="00FC693F" w:rsidRPr="0006063C" w:rsidSect="00034616">
      <w:pgSz w:w="11906" w:h="16838"/>
      <w:pgMar w:top="1701" w:right="1474"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