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rPr>
          <w:rStyle w:val="19"/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i w:val="0"/>
          <w:iCs w:val="0"/>
          <w:caps w:val="0"/>
          <w:color w:val="000000" w:themeColor="text1"/>
          <w:spacing w:val="4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附件</w:t>
      </w:r>
      <w:r>
        <w:rPr>
          <w:rFonts w:hint="eastAsia" w:eastAsia="黑体" w:cs="Times New Roman"/>
          <w:i w:val="0"/>
          <w:iCs w:val="0"/>
          <w:caps w:val="0"/>
          <w:color w:val="000000" w:themeColor="text1"/>
          <w:spacing w:val="4"/>
          <w:kern w:val="0"/>
          <w:sz w:val="32"/>
          <w:szCs w:val="32"/>
          <w:shd w:val="clear" w:color="auto" w:fill="FFFFFF"/>
          <w:lang w:val="en-US" w:eastAsia="zh-CN" w:bidi="ar"/>
          <w14:textFill>
            <w14:solidFill>
              <w14:schemeClr w14:val="tx1"/>
            </w14:solidFill>
          </w14:textFill>
        </w:rPr>
        <w:t>3</w:t>
      </w:r>
    </w:p>
    <w:p>
      <w:pPr>
        <w:ind w:left="0" w:leftChars="0" w:firstLine="0" w:firstLineChars="0"/>
        <w:jc w:val="center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《广东省公路（水运、省管铁路）建设项目档案技术指南大纲》编制说明</w:t>
      </w:r>
    </w:p>
    <w:p>
      <w:pPr>
        <w:pStyle w:val="3"/>
        <w:numPr>
          <w:ilvl w:val="0"/>
          <w:numId w:val="3"/>
        </w:numPr>
        <w:bidi w:val="0"/>
        <w:ind w:left="800"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编制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目的和定位</w:t>
      </w:r>
    </w:p>
    <w:p>
      <w:pPr>
        <w:ind w:firstLine="0" w:firstLineChars="0"/>
        <w:rPr>
          <w:rFonts w:hint="eastAsia" w:eastAsia="仿宋_GB2312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《广东省公路（水运、省管铁路）建设项目档案技术编制指南》（下称《指南》）配套《广东省交通建设项目档案管理办法（征询意见稿）》编制，针对省内公路、水运、省管铁路项目档案从业人员标准理解不一、组卷编目、竣工图、电子档案实操不统一等问题制定，打通制度落地执行环节，形成 “管理办法 + 技术指南” 一主一辅的完整管理体系。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《管理办法》明确档案管理规则、各方责任、管理流程及行业监管四项核心内容的基本原则与工作要求；《指南》侧重实操技术与标准化作业，围绕项目档案全生命周期管理细化实操规范，可供建设、勘察、设计、施工、监理（公路工程含检测）单位档案人员直接参照执行。</w:t>
      </w:r>
    </w:p>
    <w:p>
      <w:pPr>
        <w:pStyle w:val="3"/>
        <w:numPr>
          <w:ilvl w:val="0"/>
          <w:numId w:val="3"/>
        </w:numPr>
        <w:bidi w:val="0"/>
        <w:ind w:left="800"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编制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依据</w:t>
      </w:r>
    </w:p>
    <w:p>
      <w:pPr>
        <w:pStyle w:val="4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（一）法律法规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《中华人民共和国档案法》《中华人民共和国档案法实施条例》《中华人民共和国电子签名法》《建设工程质量管理条例》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pStyle w:val="4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（二）国家及行业标准规范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《国家重大建设项目文件归档要求与档案整理规范》（DA/T28）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《科学技术档案案卷构成的一般要求》（GB/T11822）、《纸质档案数字化规范》（DA/T31）、《照片档案管理规范》（GB/T11821）、《数码照片归档与管理规范》（DA/T50）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、《电子文件归档与电子档案管理规范》（GBT18894）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交通运输部公路、水运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及相关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铁路项目档案管理相关规定。</w:t>
      </w:r>
    </w:p>
    <w:p>
      <w:pPr>
        <w:pStyle w:val="4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（三）省级规范性文件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粤档发〔2006〕32号、粤档发〔2015〕61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号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粤交办〔2012〕406 号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粤交〔20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〕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号档案管理相关文件。</w:t>
      </w:r>
    </w:p>
    <w:p>
      <w:pPr>
        <w:pStyle w:val="4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（四）实践依据</w:t>
      </w:r>
    </w:p>
    <w:p>
      <w:pPr>
        <w:ind w:firstLine="64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广东省多年公路、水运、省管铁路项目档案管理实操经验，各地市交通主管部门、建设单位、参建单位档案管理工作调研成果与优化建议。</w:t>
      </w:r>
    </w:p>
    <w:p>
      <w:pPr>
        <w:pStyle w:val="3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三、适用范围</w:t>
      </w:r>
    </w:p>
    <w:p>
      <w:pPr>
        <w:ind w:firstLine="0" w:firstLineChars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适用于</w:t>
      </w: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广东省行政区域内公路、水运、省管铁路新建、改（扩）建项目及养护工程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档案的形成、收集、整理、移交、保管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利用管理全过程。其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他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交通工程项目参照执行。</w:t>
      </w:r>
    </w:p>
    <w:p>
      <w:pPr>
        <w:pStyle w:val="3"/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总体思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路</w:t>
      </w:r>
    </w:p>
    <w:p>
      <w:pPr>
        <w:pStyle w:val="3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仿宋_GB2312"/>
          <w:color w:val="000000" w:themeColor="text1"/>
          <w:kern w:val="2"/>
          <w:szCs w:val="24"/>
          <w:lang w:val="en-US" w:eastAsia="zh-CN"/>
          <w14:textFill>
            <w14:solidFill>
              <w14:schemeClr w14:val="tx1"/>
            </w14:solidFill>
          </w14:textFill>
        </w:rPr>
        <w:t>（一）落实全过程管理，</w:t>
      </w:r>
      <w:r>
        <w:rPr>
          <w:rFonts w:hint="eastAsia" w:eastAsia="仿宋_GB2312"/>
          <w:color w:val="000000" w:themeColor="text1"/>
          <w:kern w:val="2"/>
          <w:szCs w:val="24"/>
          <w14:textFill>
            <w14:solidFill>
              <w14:schemeClr w14:val="tx1"/>
            </w14:solidFill>
          </w14:textFill>
        </w:rPr>
        <w:t>覆盖</w:t>
      </w:r>
      <w:r>
        <w:rPr>
          <w:rFonts w:hint="eastAsia" w:eastAsia="仿宋_GB2312"/>
          <w:color w:val="000000" w:themeColor="text1"/>
          <w:kern w:val="2"/>
          <w:szCs w:val="24"/>
          <w:lang w:val="en-US" w:eastAsia="zh-CN"/>
          <w14:textFill>
            <w14:solidFill>
              <w14:schemeClr w14:val="tx1"/>
            </w14:solidFill>
          </w14:textFill>
        </w:rPr>
        <w:t>档案</w:t>
      </w:r>
      <w:r>
        <w:rPr>
          <w:rFonts w:hint="eastAsia" w:eastAsia="仿宋_GB2312"/>
          <w:color w:val="000000" w:themeColor="text1"/>
          <w:kern w:val="2"/>
          <w:szCs w:val="24"/>
          <w14:textFill>
            <w14:solidFill>
              <w14:schemeClr w14:val="tx1"/>
            </w14:solidFill>
          </w14:textFill>
        </w:rPr>
        <w:t>全生命周期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以项目立项、勘察、设计、施工、交工、竣工、运营全过程为主线，对建设、勘察、设计、施工、监理（公路工程含检测）等参建单位差异化制定档案工作要求；统筹纸质档案、特殊载体档案、电子档案及档案数字化管理，覆盖档案形成、收集、整理、组卷、编目、验收、移交、保管各环节管理技术要求。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二）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细化配套管理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要求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，提升实操落地性。</w:t>
      </w:r>
    </w:p>
    <w:p>
      <w:pPr>
        <w:ind w:firstLine="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1. 规范全省管理技术标准，统一公路、水运、省管铁路建设项目技术指南的一、二级目录，三级目录结合公路、水运、省管铁路专业特性自主设置，兼顾全省标准化管控与各细分行业实操性。</w:t>
      </w:r>
    </w:p>
    <w:p>
      <w:pPr>
        <w:ind w:firstLine="640" w:firstLineChars="20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 紧扣《管理办法》编制逻辑，逐项细化制度要求，补充完善办法未明确的实操细则，建设、勘察、设计、施工、监理（公路工程含检测）、养护单位相关人员可直接参照执行。</w:t>
      </w:r>
      <w:bookmarkStart w:id="0" w:name="_GoBack"/>
      <w:bookmarkEnd w:id="0"/>
    </w:p>
    <w:p>
      <w:pPr>
        <w:pStyle w:val="2"/>
        <w:numPr>
          <w:ilvl w:val="-1"/>
          <w:numId w:val="0"/>
        </w:numPr>
        <w:ind w:left="0" w:firstLine="642" w:firstLineChars="0"/>
        <w:rPr>
          <w:rFonts w:hint="eastAsia"/>
          <w:b w:val="0"/>
          <w:bCs w:val="0"/>
          <w:color w:val="000000" w:themeColor="text1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 构建完整配套技术规范，为行业管理在开展档案监督、检查、验收等监管工作提供技术执行依据。</w:t>
      </w:r>
    </w:p>
    <w:p>
      <w:pPr>
        <w:pStyle w:val="3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五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主要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章节说明</w:t>
      </w:r>
    </w:p>
    <w:p>
      <w:pPr>
        <w:rPr>
          <w:rFonts w:hint="eastAsia" w:eastAsia="仿宋_GB2312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公路、水运、省管铁路特有档案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管理内容可自行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补充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入第三级内容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</w:p>
    <w:p>
      <w:pPr>
        <w:pStyle w:val="4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一）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 项目文件的形成、收集与整理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本章统一规范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建设单位及参建单位的项目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文件从生成到归集的基础操作要求。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6.1 形成：明确各类项目文件生成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规范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、原件要求、签字审批、时效管控等通用准则，统一文件生成阶段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文件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质量底线；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6.2 收集：划分各参建单位文件收集范围、定期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归档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节点、台账登记要求，厘清各主体文件收集责任；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6.3 整理：规定文件初步分类、预立卷、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首卷工作制，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数字化副本同步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收集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等前置整理操作，为后续正式组卷做好铺垫。</w:t>
      </w:r>
    </w:p>
    <w:p>
      <w:pPr>
        <w:pStyle w:val="4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二）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 案卷整理与排列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本章承接第6章文件收集成果，统一案卷组卷、排序实操规范，对齐国家档案标准。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7.</w:t>
      </w:r>
      <w:r>
        <w:rPr>
          <w:rFonts w:hint="eastAsia"/>
          <w:color w:val="000000" w:themeColor="text1"/>
          <w:lang w:eastAsia="zh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一般要求：</w:t>
      </w:r>
      <w:r>
        <w:rPr>
          <w:rFonts w:hint="eastAsia"/>
          <w:color w:val="000000" w:themeColor="text1"/>
          <w:lang w:eastAsia="zh"/>
          <w14:textFill>
            <w14:solidFill>
              <w14:schemeClr w14:val="tx1"/>
            </w14:solidFill>
          </w14:textFill>
        </w:rPr>
        <w:t>遵循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文件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分类科学、组卷合理、便于检索利用的</w:t>
      </w:r>
      <w:r>
        <w:rPr>
          <w:rFonts w:hint="eastAsia"/>
          <w:color w:val="000000" w:themeColor="text1"/>
          <w:lang w:eastAsia="zh"/>
          <w14:textFill>
            <w14:solidFill>
              <w14:schemeClr w14:val="tx1"/>
            </w14:solidFill>
          </w14:textFill>
        </w:rPr>
        <w:t>档案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整理准则</w:t>
      </w:r>
      <w:r>
        <w:rPr>
          <w:rFonts w:hint="eastAsia"/>
          <w:color w:val="000000" w:themeColor="text1"/>
          <w:lang w:eastAsia="zh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规范纸质文件、图纸、混合载体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电子文件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案卷整理通用硬性要求；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7.</w:t>
      </w:r>
      <w:r>
        <w:rPr>
          <w:rFonts w:hint="eastAsia"/>
          <w:color w:val="000000" w:themeColor="text1"/>
          <w:lang w:eastAsia="zh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组卷和排序：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按分类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细化案卷划分逻辑、卷内文件先后排序规则，统一全省案卷排列尺度。</w:t>
      </w:r>
    </w:p>
    <w:p>
      <w:pPr>
        <w:pStyle w:val="4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三）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 竣工图的编制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9.1 一般要求：明确竣工图同步编制、变更对应修改、原件修改、竣工图章签署、设计复核、监理审查全流程硬性操作标准，解决竣工图与现场不符、手续缺失等高频问题；其余9.2至9.7配套条款均围绕本条通用要求，细化图纸配套资料编制规范。</w:t>
      </w:r>
    </w:p>
    <w:p>
      <w:pPr>
        <w:pStyle w:val="4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四）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 特殊载体档案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规范纸质以外非传统载体档案标准化管理，补齐声像、实物档案操作空白。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10.1 声像档案：依据国标照片、音像档案规范，明确拍摄、整理、编号、归档、数字化全套流程；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10.2 实物档案：定义工程实物、奖牌、关键构件样品等实物归档范围、装盒、编号、存放管理要求。</w:t>
      </w:r>
    </w:p>
    <w:p>
      <w:pPr>
        <w:pStyle w:val="4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五）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 档案信息化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配套落实省管理办法电子档案、数字化管理全部条款，统一数字化与电子档案建设标准。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11.1 一般要求：明确项目档案信息化整体建设、系统搭建、制度配套基础要求；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11.2 档案数字化：统一扫描分辨率、色彩、存储、质检等数字化技术指标；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11.3 电子档案：规范电子文件归档清单、系统对接、异地备份、网络安全等级保护、长期保存全流程操作细则。</w:t>
      </w:r>
    </w:p>
    <w:p>
      <w:pPr>
        <w:pStyle w:val="4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六）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12 档案专项验收、13 监督检查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本两章节由</w:t>
      </w:r>
      <w:r>
        <w:rPr>
          <w:rFonts w:hint="eastAsia"/>
          <w:color w:val="000000" w:themeColor="text1"/>
          <w:lang w:eastAsia="zh"/>
          <w14:textFill>
            <w14:solidFill>
              <w14:schemeClr w14:val="tx1"/>
            </w14:solidFill>
          </w14:textFill>
        </w:rPr>
        <w:t>省交通运输政务服务和应急指挥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中心负责统筹撰写，衔接《广东省交通建设项目档案管理办法》验收、监督相关规定，细化验收条件、申请流程、现场查验、问题整改、行业监督检查、信用考核闭环实操流程，配套验收评分表落地执行。</w:t>
      </w:r>
    </w:p>
    <w:p>
      <w:pPr>
        <w:pStyle w:val="4"/>
        <w:bidi w:val="0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七）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 移交、保管与利用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规范档案竣工移交、长期库房保管、日常借阅全流程实操细则。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14.1 移交：统一参建单位向建设单位、建设单位向上级主管部门移交时限、清册编制、签字手续、数字化副本同步移交要求；</w:t>
      </w:r>
    </w:p>
    <w:p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14.2 保管：细化档案库房“八防”设施、温湿度管控、破损修复、电子档案载体定期检测、异地备份保管操作标准；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14.3 利用：制定档案借阅、复制、保密、归还登记标准化管理流程。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F95549A-7FE2-4235-8CE3-FE141081EA0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0" w:usb1="00000000" w:usb2="00000000" w:usb3="00000000" w:csb0="00000000" w:csb1="00000000"/>
    <w:embedRegular r:id="rId2" w:fontKey="{33511EB3-8574-4FE7-AD83-B83ACC4CE543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方正公文小标宋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  <w:embedRegular r:id="rId3" w:fontKey="{0D02BBF9-C5C4-493E-84BA-E75DF21D4363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EE28022"/>
    <w:multiLevelType w:val="singleLevel"/>
    <w:tmpl w:val="DEE28022"/>
    <w:lvl w:ilvl="0" w:tentative="0">
      <w:start w:val="1"/>
      <w:numFmt w:val="chineseCounting"/>
      <w:suff w:val="nothing"/>
      <w:lvlText w:val="%1、"/>
      <w:lvlJc w:val="left"/>
      <w:pPr>
        <w:ind w:left="800" w:leftChars="0" w:firstLine="0" w:firstLineChars="0"/>
      </w:pPr>
      <w:rPr>
        <w:rFonts w:hint="eastAsia"/>
      </w:rPr>
    </w:lvl>
  </w:abstractNum>
  <w:abstractNum w:abstractNumId="1">
    <w:nsid w:val="43D1ACB4"/>
    <w:multiLevelType w:val="multilevel"/>
    <w:tmpl w:val="43D1ACB4"/>
    <w:lvl w:ilvl="0" w:tentative="0">
      <w:start w:val="1"/>
      <w:numFmt w:val="japaneseCounting"/>
      <w:pStyle w:val="10"/>
      <w:lvlText w:val="%1、"/>
      <w:lvlJc w:val="left"/>
      <w:pPr>
        <w:tabs>
          <w:tab w:val="left" w:pos="720"/>
        </w:tabs>
        <w:ind w:left="720" w:hanging="720"/>
      </w:pPr>
      <w:rPr>
        <w:rFonts w:hint="eastAsia" w:ascii="宋体" w:hAnsi="宋体" w:eastAsia="宋体"/>
      </w:rPr>
    </w:lvl>
    <w:lvl w:ilvl="1" w:tentative="0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 w:ascii="仿宋_GB2312" w:eastAsia="仿宋_GB2312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2">
    <w:nsid w:val="48D6CDC3"/>
    <w:multiLevelType w:val="multilevel"/>
    <w:tmpl w:val="48D6CDC3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 w:ascii="宋体" w:hAnsi="宋体" w:eastAsia="宋体"/>
      </w:rPr>
    </w:lvl>
    <w:lvl w:ilvl="1" w:tentative="0">
      <w:start w:val="1"/>
      <w:numFmt w:val="decimal"/>
      <w:pStyle w:val="15"/>
      <w:lvlText w:val="%2、"/>
      <w:lvlJc w:val="left"/>
      <w:pPr>
        <w:tabs>
          <w:tab w:val="left" w:pos="780"/>
        </w:tabs>
        <w:ind w:left="780" w:hanging="360"/>
      </w:pPr>
      <w:rPr>
        <w:rFonts w:hint="eastAsia" w:ascii="仿宋_GB2312" w:eastAsia="仿宋_GB2312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B6A57"/>
    <w:rsid w:val="01AA6DBD"/>
    <w:rsid w:val="050E3F58"/>
    <w:rsid w:val="05F7526C"/>
    <w:rsid w:val="0DC74BB1"/>
    <w:rsid w:val="10CF3C1E"/>
    <w:rsid w:val="118E740F"/>
    <w:rsid w:val="165C73DE"/>
    <w:rsid w:val="167C35DD"/>
    <w:rsid w:val="197E6361"/>
    <w:rsid w:val="1BF55755"/>
    <w:rsid w:val="1DB84DF7"/>
    <w:rsid w:val="1FE2318E"/>
    <w:rsid w:val="203A31DB"/>
    <w:rsid w:val="213D6E16"/>
    <w:rsid w:val="21EE5D27"/>
    <w:rsid w:val="2228472D"/>
    <w:rsid w:val="23874160"/>
    <w:rsid w:val="249E530E"/>
    <w:rsid w:val="26345C82"/>
    <w:rsid w:val="26522074"/>
    <w:rsid w:val="284D4DD9"/>
    <w:rsid w:val="28F071AA"/>
    <w:rsid w:val="2A756801"/>
    <w:rsid w:val="2AC944BF"/>
    <w:rsid w:val="2B643C7C"/>
    <w:rsid w:val="2CCB26A2"/>
    <w:rsid w:val="2CDC2BCF"/>
    <w:rsid w:val="2D50621A"/>
    <w:rsid w:val="2D86161F"/>
    <w:rsid w:val="30373C08"/>
    <w:rsid w:val="34B315B1"/>
    <w:rsid w:val="350E3B42"/>
    <w:rsid w:val="359E1A84"/>
    <w:rsid w:val="36DE70E9"/>
    <w:rsid w:val="3AFE2460"/>
    <w:rsid w:val="3BC136BC"/>
    <w:rsid w:val="3C410359"/>
    <w:rsid w:val="3ED82DBD"/>
    <w:rsid w:val="41452699"/>
    <w:rsid w:val="4644098E"/>
    <w:rsid w:val="46CB1893"/>
    <w:rsid w:val="47365E17"/>
    <w:rsid w:val="47BC28CB"/>
    <w:rsid w:val="47C6205A"/>
    <w:rsid w:val="47D75595"/>
    <w:rsid w:val="4843078A"/>
    <w:rsid w:val="4989333F"/>
    <w:rsid w:val="4C486BB6"/>
    <w:rsid w:val="4CF3744D"/>
    <w:rsid w:val="4D8409ED"/>
    <w:rsid w:val="4EE26808"/>
    <w:rsid w:val="4F017160"/>
    <w:rsid w:val="4F612B52"/>
    <w:rsid w:val="51FC2C17"/>
    <w:rsid w:val="52036385"/>
    <w:rsid w:val="53611F4C"/>
    <w:rsid w:val="54B00481"/>
    <w:rsid w:val="58276B45"/>
    <w:rsid w:val="58B13598"/>
    <w:rsid w:val="5A9D11E9"/>
    <w:rsid w:val="5B353327"/>
    <w:rsid w:val="5BC21E4D"/>
    <w:rsid w:val="5C566086"/>
    <w:rsid w:val="5C6E7256"/>
    <w:rsid w:val="5C6F2485"/>
    <w:rsid w:val="5E0B315A"/>
    <w:rsid w:val="5EE4309A"/>
    <w:rsid w:val="60F11A9E"/>
    <w:rsid w:val="64DF4A2F"/>
    <w:rsid w:val="67134F1F"/>
    <w:rsid w:val="6780786F"/>
    <w:rsid w:val="6B7248D5"/>
    <w:rsid w:val="6D8C5D62"/>
    <w:rsid w:val="6ECB392F"/>
    <w:rsid w:val="6EDF7317"/>
    <w:rsid w:val="6F906926"/>
    <w:rsid w:val="717263F6"/>
    <w:rsid w:val="720E0702"/>
    <w:rsid w:val="73442A76"/>
    <w:rsid w:val="74EF76AB"/>
    <w:rsid w:val="75E25A65"/>
    <w:rsid w:val="76086D93"/>
    <w:rsid w:val="762D01D0"/>
    <w:rsid w:val="7878228D"/>
    <w:rsid w:val="78B174AA"/>
    <w:rsid w:val="78B63A27"/>
    <w:rsid w:val="7A731B57"/>
    <w:rsid w:val="7AB57B63"/>
    <w:rsid w:val="7B4056A4"/>
    <w:rsid w:val="7CCF6B55"/>
    <w:rsid w:val="7F291575"/>
    <w:rsid w:val="7F6C67A6"/>
    <w:rsid w:val="7FFE866B"/>
    <w:rsid w:val="D37FBCB9"/>
    <w:rsid w:val="DFDB6B0B"/>
    <w:rsid w:val="F38DF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60" w:lineRule="exact"/>
      <w:ind w:firstLine="721" w:firstLineChars="20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Autospacing="0" w:afterAutospacing="0" w:line="560" w:lineRule="exact"/>
      <w:ind w:firstLine="883" w:firstLineChars="200"/>
      <w:outlineLvl w:val="0"/>
    </w:pPr>
    <w:rPr>
      <w:rFonts w:ascii="Times New Roman" w:hAnsi="Times New Roman" w:eastAsia="黑体"/>
      <w:kern w:val="44"/>
      <w:sz w:val="32"/>
      <w:szCs w:val="22"/>
    </w:rPr>
  </w:style>
  <w:style w:type="paragraph" w:styleId="4">
    <w:name w:val="heading 2"/>
    <w:basedOn w:val="1"/>
    <w:next w:val="1"/>
    <w:unhideWhenUsed/>
    <w:qFormat/>
    <w:uiPriority w:val="0"/>
    <w:pPr>
      <w:spacing w:before="0" w:beforeAutospacing="0" w:after="0" w:afterAutospacing="0"/>
      <w:jc w:val="left"/>
      <w:outlineLvl w:val="1"/>
    </w:pPr>
    <w:rPr>
      <w:rFonts w:hint="eastAsia" w:ascii="Times New Roman" w:hAnsi="Times New Roman" w:eastAsia="楷体_GB2312" w:cs="宋体"/>
      <w:bCs/>
      <w:kern w:val="0"/>
      <w:szCs w:val="36"/>
      <w:lang w:bidi="ar"/>
    </w:rPr>
  </w:style>
  <w:style w:type="paragraph" w:styleId="5">
    <w:name w:val="heading 3"/>
    <w:basedOn w:val="1"/>
    <w:next w:val="1"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eastAsia" w:ascii="宋体" w:hAnsi="宋体" w:eastAsia="仿宋_GB2312" w:cs="宋体"/>
      <w:bCs/>
      <w:color w:val="auto"/>
      <w:kern w:val="0"/>
      <w:sz w:val="32"/>
      <w:szCs w:val="27"/>
      <w:lang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4"/>
    <w:basedOn w:val="1"/>
    <w:next w:val="1"/>
    <w:qFormat/>
    <w:uiPriority w:val="0"/>
    <w:pPr>
      <w:ind w:left="1260"/>
    </w:pPr>
    <w:rPr>
      <w:rFonts w:ascii="Times New Roman" w:hAnsi="Times New Roman" w:cs="Times New Roman"/>
      <w:b/>
      <w:bCs/>
      <w:szCs w:val="22"/>
    </w:rPr>
  </w:style>
  <w:style w:type="paragraph" w:customStyle="1" w:styleId="8">
    <w:name w:val="正文标题"/>
    <w:basedOn w:val="1"/>
    <w:qFormat/>
    <w:uiPriority w:val="0"/>
    <w:pPr>
      <w:spacing w:line="560" w:lineRule="exact"/>
      <w:ind w:firstLine="0" w:firstLineChars="0"/>
      <w:jc w:val="center"/>
    </w:pPr>
    <w:rPr>
      <w:rFonts w:ascii="仿宋_GB2312" w:hAnsi="仿宋_GB2312" w:eastAsia="方正小标宋简体" w:cs="仿宋_GB2312"/>
      <w:b/>
      <w:bCs/>
      <w:sz w:val="44"/>
      <w:szCs w:val="44"/>
    </w:rPr>
  </w:style>
  <w:style w:type="paragraph" w:customStyle="1" w:styleId="9">
    <w:name w:val="竣工说明-标题0名称"/>
    <w:basedOn w:val="1"/>
    <w:qFormat/>
    <w:uiPriority w:val="0"/>
    <w:pPr>
      <w:spacing w:line="480" w:lineRule="auto"/>
      <w:jc w:val="center"/>
    </w:pPr>
    <w:rPr>
      <w:rFonts w:hint="eastAsia" w:ascii="新宋体" w:hAnsi="新宋体" w:eastAsia="宋体"/>
      <w:b/>
      <w:bCs/>
      <w:sz w:val="52"/>
      <w:szCs w:val="52"/>
    </w:rPr>
  </w:style>
  <w:style w:type="paragraph" w:customStyle="1" w:styleId="10">
    <w:name w:val="说明-标题01"/>
    <w:basedOn w:val="1"/>
    <w:qFormat/>
    <w:uiPriority w:val="0"/>
    <w:pPr>
      <w:numPr>
        <w:ilvl w:val="0"/>
        <w:numId w:val="1"/>
      </w:numPr>
      <w:spacing w:line="360" w:lineRule="auto"/>
      <w:ind w:left="720" w:hanging="720"/>
      <w:outlineLvl w:val="0"/>
    </w:pPr>
    <w:rPr>
      <w:rFonts w:hint="eastAsia" w:ascii="新宋体" w:hAnsi="新宋体"/>
      <w:b/>
      <w:bCs/>
      <w:sz w:val="28"/>
      <w:szCs w:val="28"/>
    </w:rPr>
  </w:style>
  <w:style w:type="paragraph" w:customStyle="1" w:styleId="11">
    <w:name w:val="说明-表格-注释"/>
    <w:basedOn w:val="1"/>
    <w:qFormat/>
    <w:uiPriority w:val="0"/>
    <w:pPr>
      <w:spacing w:line="500" w:lineRule="exact"/>
      <w:ind w:left="180"/>
    </w:pPr>
    <w:rPr>
      <w:rFonts w:hint="eastAsia" w:ascii="新宋体" w:hAnsi="新宋体"/>
      <w:sz w:val="24"/>
    </w:rPr>
  </w:style>
  <w:style w:type="paragraph" w:customStyle="1" w:styleId="12">
    <w:name w:val="说明-表格-表格内容"/>
    <w:basedOn w:val="1"/>
    <w:qFormat/>
    <w:uiPriority w:val="0"/>
    <w:pPr>
      <w:spacing w:line="320" w:lineRule="exact"/>
      <w:jc w:val="center"/>
    </w:pPr>
    <w:rPr>
      <w:rFonts w:hint="eastAsia" w:ascii="仿宋_GB2312" w:hAnsi="仿宋_GB2312" w:eastAsia="仿宋_GB2312"/>
      <w:sz w:val="24"/>
    </w:rPr>
  </w:style>
  <w:style w:type="paragraph" w:customStyle="1" w:styleId="13">
    <w:name w:val="说明-表格-标题"/>
    <w:basedOn w:val="1"/>
    <w:qFormat/>
    <w:uiPriority w:val="0"/>
    <w:pPr>
      <w:spacing w:before="50" w:beforeLines="50" w:line="360" w:lineRule="auto"/>
      <w:ind w:left="420"/>
      <w:jc w:val="center"/>
    </w:pPr>
    <w:rPr>
      <w:rFonts w:hint="eastAsia" w:ascii="新宋体" w:hAnsi="新宋体" w:eastAsia="宋体"/>
      <w:sz w:val="28"/>
      <w:szCs w:val="28"/>
    </w:rPr>
  </w:style>
  <w:style w:type="paragraph" w:customStyle="1" w:styleId="14">
    <w:name w:val="说明-标题2"/>
    <w:basedOn w:val="1"/>
    <w:qFormat/>
    <w:uiPriority w:val="0"/>
    <w:pPr>
      <w:tabs>
        <w:tab w:val="left" w:pos="720"/>
      </w:tabs>
      <w:spacing w:line="360" w:lineRule="auto"/>
      <w:ind w:leftChars="0" w:firstLine="1044" w:firstLineChars="200"/>
      <w:outlineLvl w:val="0"/>
    </w:pPr>
    <w:rPr>
      <w:rFonts w:hint="eastAsia" w:ascii="新宋体" w:hAnsi="新宋体" w:eastAsia="楷体"/>
      <w:b/>
      <w:bCs/>
      <w:sz w:val="28"/>
      <w:szCs w:val="28"/>
    </w:rPr>
  </w:style>
  <w:style w:type="paragraph" w:customStyle="1" w:styleId="15">
    <w:name w:val="说明-正文"/>
    <w:basedOn w:val="1"/>
    <w:qFormat/>
    <w:uiPriority w:val="0"/>
    <w:pPr>
      <w:numPr>
        <w:ilvl w:val="1"/>
        <w:numId w:val="2"/>
      </w:numPr>
      <w:tabs>
        <w:tab w:val="left" w:pos="360"/>
        <w:tab w:val="left" w:pos="900"/>
        <w:tab w:val="clear" w:pos="780"/>
      </w:tabs>
      <w:spacing w:line="540" w:lineRule="exact"/>
      <w:ind w:left="1044" w:hanging="1044" w:hangingChars="200"/>
    </w:pPr>
    <w:rPr>
      <w:rFonts w:hint="eastAsia" w:ascii="仿宋_GB2312" w:hAnsi="仿宋_GB2312" w:eastAsia="仿宋_GB2312" w:cs="仿宋_GB2312"/>
      <w:sz w:val="28"/>
      <w:szCs w:val="28"/>
    </w:rPr>
  </w:style>
  <w:style w:type="paragraph" w:customStyle="1" w:styleId="16">
    <w:name w:val="说明-标题00"/>
    <w:basedOn w:val="1"/>
    <w:qFormat/>
    <w:uiPriority w:val="0"/>
    <w:pPr>
      <w:spacing w:line="480" w:lineRule="auto"/>
      <w:jc w:val="center"/>
    </w:pPr>
    <w:rPr>
      <w:rFonts w:hint="eastAsia" w:ascii="新宋体" w:hAnsi="新宋体" w:eastAsia="黑体"/>
      <w:b/>
      <w:bCs/>
      <w:sz w:val="52"/>
      <w:szCs w:val="52"/>
    </w:rPr>
  </w:style>
  <w:style w:type="paragraph" w:customStyle="1" w:styleId="17">
    <w:name w:val="文件标题"/>
    <w:link w:val="19"/>
    <w:qFormat/>
    <w:uiPriority w:val="0"/>
    <w:pPr>
      <w:keepNext/>
      <w:keepLines/>
      <w:widowControl w:val="0"/>
      <w:adjustRightInd w:val="0"/>
      <w:snapToGrid w:val="0"/>
      <w:ind w:firstLine="0" w:firstLineChars="0"/>
      <w:jc w:val="center"/>
    </w:pPr>
    <w:rPr>
      <w:rFonts w:hint="eastAsia" w:ascii="方正公文小标宋" w:hAnsi="方正公文小标宋" w:eastAsia="方正公文小标宋" w:cs="方正公文小标宋"/>
      <w:b/>
      <w:bCs/>
      <w:sz w:val="40"/>
      <w:szCs w:val="40"/>
    </w:rPr>
  </w:style>
  <w:style w:type="paragraph" w:customStyle="1" w:styleId="18">
    <w:name w:val="正文题目"/>
    <w:qFormat/>
    <w:uiPriority w:val="0"/>
    <w:pPr>
      <w:jc w:val="center"/>
    </w:pPr>
    <w:rPr>
      <w:rFonts w:hint="eastAsia" w:ascii="Calibri" w:hAnsi="Calibri" w:eastAsia="方正公文小标宋" w:cstheme="minorBidi"/>
      <w:sz w:val="36"/>
    </w:rPr>
  </w:style>
  <w:style w:type="character" w:customStyle="1" w:styleId="19">
    <w:name w:val="文件标题 Char"/>
    <w:link w:val="17"/>
    <w:qFormat/>
    <w:uiPriority w:val="0"/>
    <w:rPr>
      <w:rFonts w:hint="eastAsia" w:ascii="方正公文小标宋" w:hAnsi="方正公文小标宋" w:eastAsia="方正公文小标宋" w:cs="方正公文小标宋"/>
      <w:b/>
      <w:bCs/>
      <w:sz w:val="40"/>
      <w:szCs w:val="4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2403</Words>
  <Characters>2487</Characters>
  <Lines>0</Lines>
  <Paragraphs>0</Paragraphs>
  <TotalTime>9</TotalTime>
  <ScaleCrop>false</ScaleCrop>
  <LinksUpToDate>false</LinksUpToDate>
  <CharactersWithSpaces>2524</CharactersWithSpaces>
  <Application>WPS Office_10.8.0.6423_F1E327BC-269C-435d-A152-05C5408002CA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2025-04-30T00:30:00Z</dcterms:created>
  <dc:creator>Think</dc:creator>
  <cp:lastModifiedBy>郑晓峰</cp:lastModifiedBy>
  <dcterms:modified xsi:type="dcterms:W3CDTF">2026-07-03T06:50:29Z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2052-10.8.0.6423</vt:lpwstr>
  </property>
  <property fmtid="{D5CDD505-2E9C-101B-9397-08002B2CF9AE}" pid="3" name="ICV">
    <vt:lpwstr>5D9E07BDD54A497D8C561F8B85C54E70_13</vt:lpwstr>
  </property>
  <property fmtid="{D5CDD505-2E9C-101B-9397-08002B2CF9AE}" pid="4" name="KSOTemplateDocerSaveRecord">
    <vt:lpwstr>eyJoZGlkIjoiY2RhMjVmYjE3MWIyMGE3MDM1MmFiZmQ3MTg5NTg0YjEiLCJ1c2VySWQiOiIyNzcxNDgwMTYifQ==</vt:lpwstr>
  </property>
</Properties>
</file>