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3B63"/>
          <w:sz w:val="40"/>
        </w:rPr>
        <w:t>绩效管理办法（征集意见稿-拟过会）优化改进版</w:t>
      </w:r>
    </w:p>
    <w:p>
      <w:pPr>
        <w:jc w:val="center"/>
      </w:pPr>
      <w:r>
        <w:rPr>
          <w:rFonts w:ascii="黑体" w:hAnsi="黑体" w:eastAsia="黑体"/>
          <w:b w:val="0"/>
          <w:sz w:val="24"/>
        </w:rPr>
        <w:t>云基智慧股份有限公司 · 2026年7月22日 · 编号：cp+f5-20260722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修订总说明（相对原征集意见稿的九大改进）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本优化改进版在原《绩效管理办法（征集意见稿-拟过会）》基础上，围绕“以个人核算为中心的多级绩效核算及个人激励发放”这一主线，对准原稿在可执行性、可核算性、可追溯性上的短板，作出以下九项实质性改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515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原稿存在的问题</w:t>
            </w:r>
          </w:p>
        </w:tc>
        <w:tc>
          <w:tcPr>
            <w:tcW w:type="dxa" w:w="5102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本版改进内容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核算层级只提“公司—部门—项目—个人”，缺少板块层，公司级与部门级之间无法算清板块账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明确“公司—板块—部门—项目—个人”五级核算架构，逐级设立核算单元与核算责任人，五级账每月同口径关账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人员只提“分类分级”原则，没有可落地的分类分级标准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新增第五章“人员分类分级”，设经营开拓、生产交付、研发技术、职能支撑、经营管理五个序列，P1—P7专业职级与M1—M4管理职级双通道，逐级锚定标准年收入与创收创利标准值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工作核算只提“线索、开发、收入、研发、管理”统一核算，没有计量计价规则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新增第六章“工作分类分级与计量计价”，以工作包（WBS）为最小核算颗粒，实行标准点数制（PU），五类工作分别定义计点、计价、确权规则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交付成果没有分级验收标准，“干好干坏”体现不出差别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新增第七章“交付成果分类分级与验收”，交付物按A/B/C/D四级评定，对应1.2/1.0/0.7/0四档验收系数，直接乘入个人当月核算产值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月度奖金S3“结合多维因素确定发放方式及额度”表述模糊，主观空间大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S3给出唯一计算公式与发放闸门，达标率、信用系数、回款系数全部量化，任何人工调整须留痕并公示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“绩效-激励对照表”只提名称，未给出K值区间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在正文直接固化“综合达标率—年度收入系数K”对照表（0.30—1.80九档），并规定修订须过会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未回应AI时代人机协同工作的计量与激励问题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新增“AI Native绩效管理专章”，建立AI贡献度计量、人机协同产值分账、AI效能加分与AI弄虚作假追责规则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核算数据依赖邮件通知与人工填报，缺少系统与数据治理约束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明确以数字化核算平台为唯一核算载体，规定数据填报、双向确认、冻结、追溯的时点与责任，核算日历全年固定</w:t>
            </w:r>
          </w:p>
        </w:tc>
      </w:tr>
      <w:tr>
        <w:tc>
          <w:tcPr>
            <w:tcW w:type="dxa" w:w="68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351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罚则只覆盖虚报数据，缺少对核算迟报、拒签、平台外发薪等行为的约束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罚则扩展为数据造假、迟报漏报、审核失职、绕开平台发放四类，逐类明确责任与处理档次</w:t>
            </w:r>
          </w:p>
        </w:tc>
      </w:tr>
    </w:tbl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一、目的与原则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1.1 目的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为规范公司绩效管理工作，建立以个人核算为中心、公司—板块—部门—项目—个人五级贯通的价值创造、价值评价与价值分配机制，让每一个人的每一份工作都可计量、每一份交付都可评级、每一份收益都可追溯，真正做到“干和不干不一样，干多干少不一样，干好干坏不一样”，充分激发员工工作积极性与创造力，促进个人成长与组织目标协同发展，结合公司实际经营需求，特制定本办法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1.2 原则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核算基本定位：</w:t>
      </w:r>
      <w:r>
        <w:rPr>
          <w:rFonts w:ascii="宋体" w:hAnsi="宋体" w:eastAsia="宋体"/>
          <w:b w:val="0"/>
          <w:sz w:val="21"/>
        </w:rPr>
        <w:t>公司实行全量化绩效管理模式，明确区分于个体业务承包制。公司坚持“大河有水小河满”的共生逻辑，组织承载市场开拓、风险承担与资源投入，个人贡献专业价值与能力成长；通过科学量化分配机制，构建风险共担、成果共享的事业共同体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个人核算中心：</w:t>
      </w:r>
      <w:r>
        <w:rPr>
          <w:rFonts w:ascii="宋体" w:hAnsi="宋体" w:eastAsia="宋体"/>
          <w:b w:val="0"/>
          <w:sz w:val="21"/>
        </w:rPr>
        <w:t>以个人为最小核算单元，个人账是五级账的基石；项目账由个人账汇总穿透、部门账由项目账汇总穿透、板块账由部门账汇总穿透、公司账由板块账汇总穿透，任何一级账目不清即向下穿透追溯。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价值评价方法：</w:t>
      </w:r>
      <w:r>
        <w:rPr>
          <w:rFonts w:ascii="宋体" w:hAnsi="宋体" w:eastAsia="宋体"/>
          <w:b w:val="0"/>
          <w:sz w:val="21"/>
        </w:rPr>
        <w:t>采用相对价值评价法与绝对达标评价法相结合：月度以绝对达标率算账兑现，年度以相对位次定盘子、定晋升、定去留。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分配驱动工作：</w:t>
      </w:r>
      <w:r>
        <w:rPr>
          <w:rFonts w:ascii="宋体" w:hAnsi="宋体" w:eastAsia="宋体"/>
          <w:b w:val="0"/>
          <w:sz w:val="21"/>
        </w:rPr>
        <w:t>在工作启动前把“分钱逻辑”讲清楚，工作包发布即公示点数与计价，明确“干到什么程度、拿什么收益”，让员工对个人付出与回报形成确定预期。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员工自主管理：</w:t>
      </w:r>
      <w:r>
        <w:rPr>
          <w:rFonts w:ascii="宋体" w:hAnsi="宋体" w:eastAsia="宋体"/>
          <w:b w:val="0"/>
          <w:sz w:val="21"/>
        </w:rPr>
        <w:t>赋予员工工作自主权，工作包在平台公开发布、公开认领，打破被动等待模式，激发主动找活、自我管理的内生动力。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投入产出管理：</w:t>
      </w:r>
      <w:r>
        <w:rPr>
          <w:rFonts w:ascii="宋体" w:hAnsi="宋体" w:eastAsia="宋体"/>
          <w:b w:val="0"/>
          <w:sz w:val="21"/>
        </w:rPr>
        <w:t>以绩效核算为核心量化投入产出比，人工成本、AI算力成本均计入核算单元成本，以历史价值贡献为依据发放激励。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员工分类分级：</w:t>
      </w:r>
      <w:r>
        <w:rPr>
          <w:rFonts w:ascii="宋体" w:hAnsi="宋体" w:eastAsia="宋体"/>
          <w:b w:val="0"/>
          <w:sz w:val="21"/>
        </w:rPr>
        <w:t>根据员工序列、职级制定差异化考核与激励标准，同序列同职级同标尺，不同序列不同标尺，客观公正评价员工贡献。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多维度产出认可：</w:t>
      </w:r>
      <w:r>
        <w:rPr>
          <w:rFonts w:ascii="宋体" w:hAnsi="宋体" w:eastAsia="宋体"/>
          <w:b w:val="0"/>
          <w:sz w:val="21"/>
        </w:rPr>
        <w:t>对员工在线索、开发、收入、研发、管理等全类型工作统一折算为标准点数核算评价，认可多元价值贡献。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抓两头带中间：</w:t>
      </w:r>
      <w:r>
        <w:rPr>
          <w:rFonts w:ascii="宋体" w:hAnsi="宋体" w:eastAsia="宋体"/>
          <w:b w:val="0"/>
          <w:sz w:val="21"/>
        </w:rPr>
        <w:t>聚焦高绩效者给予超额激励与晋升优先，对低绩效者实施改进计划或依法退出，抓两头、带中间。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/>
          <w:sz w:val="21"/>
        </w:rPr>
        <w:t>AI Native原则：</w:t>
      </w:r>
      <w:r>
        <w:rPr>
          <w:rFonts w:ascii="宋体" w:hAnsi="宋体" w:eastAsia="宋体"/>
          <w:b w:val="0"/>
          <w:sz w:val="21"/>
        </w:rPr>
        <w:t>人机协同产出按“人的判断贡献+AI执行贡献”分账计量，鼓励用AI放大个人产能，禁止用AI伪造工作量。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二、适用范围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本办法适用于公司及分（子）公司全体员工（包括试用期员工、正式员工、实习生）。实习生与试用期员工按本办法核算记账、按其协议约定兑现。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三、术语定义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7257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定义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基础工资（S1）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执行深圳市最低工资标准，按月依据考勤核算发放，是劳动关系存续的保障性工资。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岗位工资（S2）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由岗位称重及岗位价值确定，在达成岗位要求、完成岗位基本任务前提下按月发放，与序列职级挂钩。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月度奖金（S3）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来源于项目核算奖金，依据个人月度累计综合达标率、信用系数与回款系数按公式核算，按月发放。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项目奖金（S4）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与项目里程碑确定性成果（中标、回款、验收）及个人在项目中的确权点数挂钩，达到兑现条件按月兑现。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个人标准年收入（Y0）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个人绩效达标（K=1.0）对应的个人标准年度收入，为目标年收入而非保底承诺，实际收入受年度收入系数K严格制约。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个人年度收入系数（K）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基于个人月度累计综合达标率对照“绩效-激励对照表”确定的系数，个人年度累计核算总收入=Y0×K。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核算单元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公司、板块、部门、项目、个人五级中承担独立算账责任的对象，每一核算单元有唯一责任人。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板块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公司按业务属性划分的经营核算群组（如区域发展板块、平台产品板块、职能支撑板块），是公司与部门之间的核算层级。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工作包（WBS）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可独立发布、认领、交付、验收的最小工作颗粒，是工作计量计价的基本对象。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标准点数（PU）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将线索、开发、收入、研发、管理五类工作统一折算的价值计量单位，1 PU对应的货币计价由公司每年核定并公示。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验收系数（Q）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交付成果按A/B/C/D四级评定对应的系数（1.2/1.0/0.7/0），乘入个人当月确权产值。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AI贡献度（α）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某工作包产出中由AI工具直接生成部分所占比例，用于人机协同分账与AI效能评价。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个人信用系数（C）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依据个人历史填报真实性、承诺兑现率评定的系数（0.8—1.05），影响S3当期兑现比例。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回款系数（R）</w:t>
            </w:r>
          </w:p>
        </w:tc>
        <w:tc>
          <w:tcPr>
            <w:tcW w:type="dxa" w:w="725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个人名下确权收入对应项目的回款完成率折算系数，影响S3当期兑现比例。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四、组织与职责分工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4.1 绩效管理委员会（新增）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由总裁任主任，分管副总裁、人力资源部、财务部、运营部、平台发展中心负责人为委员；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负责审定标准点数计价、绩效-激励对照表、序列职级标准的年度修订；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负责裁定跨板块核算争议与重大申诉事项。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4.2 员工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负责在数字化核算平台按要求认领工作包、填报全类型工作的产出数据及AI使用记录；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负责与项目经理完成每月工作量与验收等级的双向确认，逾期未确认视同认可平台记录。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4.3 项目经理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负责完成项目目标的签认，负责工作包分解、发布、计点计价与验收评级；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负责完成项目级工程核算、财务核算、绩效核算及核算数据填报；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负责对项目成员任务分配、计量计价、成果验收、绩效核算、数据签认；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负责向项目成员宣贯绩效政策及相关安排，对项目核算数据真实性负主体责任。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4.4 部门负责人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负责完成部门目标的签认，组织部门成员完成个人年度目标的签认；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负责组织部门所辖项目工程核算、财务核算、绩效核算及核算数据审核；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负责部门成员月度绩效申诉及问题处理，对部门核算数据真实性负管理责任。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4.5 板块负责人（新增）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负责板块年度与月度经营目标的签认、分解与下达；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负责板块级月度核算关账及板块内资源调配、跨部门核算争议的一级裁定；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负责组织穿透及处理板块内存在核算风险的部门及项目。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4.6 区域发展总部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负责组织各区域发展部项目级工作分解、交付物、产值、工料机资源配置；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负责组织各区域发展部项目级核算数据、个人核算数据的审核与结果确认；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负责组织穿透及处理存在核算风险的部门、项目及上报的绩效申诉问题。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4.7 平台发展中心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负责组织个人年度创收标准值、创利标准值及目标值制定；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负责标准点数（PU）计价体系、AI贡献度计量规则的制定与年度修订；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负责基于历年实际核算数据，积累并修订相关标准。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4.8 运营部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负责统筹线索、任务、项目的立项及管理，明确月度核算项目清单；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负责组织完成工程核算数据填报及校核，组织专家完成滑动收入确认；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负责统计项目回款完成率、个人及部门回款完成率结果；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负责数字化核算平台的运行维护与核算日历发布。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4.9 财务部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负责组织完成公司级、板块级、部门级年度与月度目标的下达及签认；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负责及时准确提供板块级、部门级、项目级实际成本数据（含AI算力成本分摊）；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负责组织完成财务核算数据填报及校核，每月完成公司级（毛利）核算结果及问题预警。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4.10 人力资源部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负责组织个人级创收标准值、创利标准值的发布及个人年度目标的下达与签认；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负责组织月度考勤填报及数据校验，完成月度绩效核算及考核发放；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负责组织“绩效-激励对照表”的测算与个人信用系数评定，负责绩效申诉问题处理。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4.11 分管副总裁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负责按权限核定风险评估结果及处理方案；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负责按权限处理各板块、部门上报的绩效申诉问题。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4.12 总裁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负责全面指导公司绩效管理工作；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负责裁定绩效管理过程中出现的重大问题及事项。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五、人员分类分级（新增）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5.1 五大序列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序列</w:t>
            </w:r>
          </w:p>
        </w:tc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覆盖岗位（示例）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核算重心</w:t>
            </w:r>
          </w:p>
        </w:tc>
        <w:tc>
          <w:tcPr>
            <w:tcW w:type="dxa" w:w="2494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创收/创利标准值权重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经营开拓序列（B）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市场、销售、商务、客户经理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线索、中标、回款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创收70%／创利30%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生产交付序列（D）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设计、工程、实施、交付经理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产值、验收、成本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创收40%／创利60%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研发技术序列（R）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研发、算法、产品、数据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研发点数、产品收入分成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创收30%／创利70%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职能支撑序列（F）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财务、人力、行政、法务、运营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服务点数、内部客户评价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服务达标率100%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经营管理序列（M）</w:t>
            </w:r>
          </w:p>
        </w:tc>
        <w:tc>
          <w:tcPr>
            <w:tcW w:type="dxa" w:w="260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项目经理、部门负责人、板块负责人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所辖核算单元经营结果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单元创收50%／单元创利50%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5.2 职级体系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专业通道设P1—P7七级，管理通道设M1—M4四级（M1项目经理、M2部门负责人、M3板块负责人、M4公司经营层），双通道可互转。每一职级锚定个人标准年收入Y0与个人年度创收、创利标准值；职级越高，标准值越高，杠杆越大。职级评定每年一次，以年度K值与能力认证为依据：连续两年K≥1.2者具备晋级资格，连续两年K&lt;0.7者降级或退出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5.3 分类分级与核算的挂接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个人年度创收、创利目标值=对应序列职级标准值×部门任务系数（0.8—1.3），由人力资源部下达并双向签认；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不同序列的达标率权重不同（见5.1表），确保“考什么序列的人，就算什么序列的账”；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新入职员工前3个月按试用期标准值（标准值×60%）核算，实习生按工作包点数直接结算。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六、工作分类分级与计量计价（新增）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6.1 五类工作统一点数制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工作类别</w:t>
            </w:r>
          </w:p>
        </w:tc>
        <w:tc>
          <w:tcPr>
            <w:tcW w:type="dxa" w:w="204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计量对象</w:t>
            </w:r>
          </w:p>
        </w:tc>
        <w:tc>
          <w:tcPr>
            <w:tcW w:type="dxa" w:w="3402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计点规则（示例）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确权时点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线索类（L）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有效线索、商机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按线索分级L1—L4计点，转化为立项后追加计点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线索经运营部立项确认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开发类（K）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投标、方案、合同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按合同额分档计点×中标难度系数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中标通知书/合同签订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收入类（I）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交付产值、确认收入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按确认收入折点，1万元收入对应点数由公司年度公示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收入确认+验收评级完成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研发类（Y）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研发工作包、专利、产品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按研发WBS预估点数×验收系数，产品化后按收入分成追加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研发成果验收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管理类（G）</w:t>
            </w:r>
          </w:p>
        </w:tc>
        <w:tc>
          <w:tcPr>
            <w:tcW w:type="dxa" w:w="204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管理岗管理事项包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按管理事项包月度定额点数×单元经营达标率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月度关账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6.2 工作分级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每一工作包发布时同步标注难度等级（甲/乙/丙）与基准点数：甲级（创新性、高风险）点数系数1.3，乙级（常规复杂）系数1.0，丙级（简单重复）系数0.7。丙级工作原则上优先由AI执行，员工承担丙级工作的点数上限不超过个人月度总点数的30%，引导人力向高价值工作迁移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6.3 计价与公示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1 PU的货币计价由绩效管理委员会每年核定，年内不变，全员公示；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工作包发布即公示点数、等级、交付标准与验收人，认领即锁定，事后不得单方调整；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多人协作工作包在认领时约定分配比例并平台留痕。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七、交付成果分类分级与验收（新增）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交付等级</w:t>
            </w:r>
          </w:p>
        </w:tc>
        <w:tc>
          <w:tcPr>
            <w:tcW w:type="dxa" w:w="3742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判定标准</w:t>
            </w:r>
          </w:p>
        </w:tc>
        <w:tc>
          <w:tcPr>
            <w:tcW w:type="dxa" w:w="1247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验收系数Q</w:t>
            </w:r>
          </w:p>
        </w:tc>
        <w:tc>
          <w:tcPr>
            <w:tcW w:type="dxa" w:w="2835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结果应用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A（优秀）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一次通过验收，超出交付标准，被客户/内部复用或表扬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点数上浮20%，纳入晋级案例库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B（合格）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一次通过验收，达到交付标准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按基准点数确权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C（勉强合格）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返工一次后通过，或存在非关键缺陷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0.7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点数下浮30%，计辅导记录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D（不合格）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返工两次仍未通过，或造成损失、逾期严重</w:t>
            </w:r>
          </w:p>
        </w:tc>
        <w:tc>
          <w:tcPr>
            <w:tcW w:type="dxa" w:w="1247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不确权，损失按罚则处理</w:t>
            </w:r>
          </w:p>
        </w:tc>
      </w:tr>
    </w:tbl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验收由工作包发布时指定的验收人执行，验收结论与证据须在平台留痕；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同一验收人月度A级评定比例超过40%的，触发抽检复核；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客户正式验收结论与内部评级冲突时，以客户结论为准并追溯调整。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八、多级绩效核算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8.1 五级核算架构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公司—板块—部门—项目—个人五级核算，自下而上汇总、自上而下穿透：个人账按工作包确权记账；项目账=Σ项目成员确权产值-项目成本；部门账=Σ所辖项目账+部门直接收支；板块账=Σ所辖部门账+板块公共收支；公司账=Σ板块账+公司总部收支。五级账每月同口径关账，年度累计滚动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8.2 目标管理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绩效目标来源于公司战略目标的逐级分解、逐级下达：公司→板块→部门→项目→个人，逐级签认；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个人年度标准创收、创利：基于行业社会劳动生产力水平、结合不同产品历史数据测算的标准职级员工应完成的标准值；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个人年度目标创收、创利：基于标准值，结合年度在手任务、项目过堂目标数据计算并下达；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因业务变化需调整项目年度目标的，由项目经理提出申请，经板块负责人审核、公司审批后生效，调整留痕。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8.3 核算周期与核算日历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员工绩效考核以月度为周期，年度算总账。公司发布全年核算日历：每月1—3日数据填报、4—5日双向确认、6—7日项目/部门核算、8日板块关账、9日公司关账及公示、10日随工资发放兑现（遇节假日顺延）。各节点以数字化核算平台为唯一载体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8.4 核算指标</w:t>
      </w:r>
    </w:p>
    <w:p>
      <w:pPr>
        <w:spacing w:line="312" w:lineRule="auto"/>
        <w:ind w:firstLine="420"/>
      </w:pPr>
      <w:r>
        <w:rPr>
          <w:rFonts w:ascii="宋体" w:hAnsi="宋体" w:eastAsia="宋体"/>
          <w:b/>
          <w:sz w:val="21"/>
        </w:rPr>
        <w:t>个人月度累计综合达标率 =【个人月度创收达标率×序列创收权重 + 个人月度创利达标率×序列创利权重】×个人月度绩效评价系数。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个人月度创收达标率=个人月度累计实际创收÷个人月度累计创收目标；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个人月度创利达标率=个人月度累计实际创利÷个人月度累计创利目标；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个人月度绩效评价系数=个人月度态度评价系数×50%+个人月度合规评价系数×50%；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个人实际创收、创利由个人名下确权工作包点数×计价×验收系数Q汇总生成，不接受平台外口径。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8.5 核算结果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年度收入系数K：根据个人月度累计综合达标率，对照公司“绩效-激励对照表”（见9.3）确定；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个人月度累计项目总奖金S=个人年度累计核算总收入-截止上月累计已发放（S1+S2+S3+S4）；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其中：个人年度累计核算总收入=个人标准年收入Y0×个人年度收入系数K。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九、薪酬结构与月度发放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9.1 月度工资发放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基础工资S1：执行深圳市最低工资标准，每月根据考勤结果核算发放；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岗位工资S2：由岗位称重及岗位价值确定，在达成岗位要求、完成岗位基本任务前提下，每月根据考勤结果核算发放；月度累计综合达标率&lt;60%的当月，S2按80%发放，差额待达标恢复后补发。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9.2 月度奖金发放</w:t>
      </w:r>
    </w:p>
    <w:p>
      <w:pPr>
        <w:spacing w:line="312" w:lineRule="auto"/>
        <w:ind w:firstLine="420"/>
      </w:pPr>
      <w:r>
        <w:rPr>
          <w:rFonts w:ascii="宋体" w:hAnsi="宋体" w:eastAsia="宋体"/>
          <w:b/>
          <w:sz w:val="21"/>
        </w:rPr>
        <w:t>月度奖金S3 = MAX（0，个人月度累计项目总奖金S×当期兑现比例β）×个人信用系数C×回款系数R。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当期兑现比例β：达标率≥100%取60%，80%—100%取50%，60%—80%取40%，&lt;60%取0，剩余部分滚存至年度算总账；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个人信用系数C（0.8—1.05）：依据历史填报真实性与承诺兑现率评定，季度更新；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回款系数R：个人名下确权收入对应项目回款完成率≥90%取1.0，70%—90%取0.85，&lt;70%取0.7，回款到位后差额补发。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9.3 绩效-激励对照表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月度累计综合达标率</w:t>
            </w:r>
          </w:p>
        </w:tc>
        <w:tc>
          <w:tcPr>
            <w:tcW w:type="dxa" w:w="3061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年度收入系数K</w:t>
            </w:r>
          </w:p>
        </w:tc>
        <w:tc>
          <w:tcPr>
            <w:tcW w:type="dxa" w:w="3175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定位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≥150%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1.50—1.80（超额累进）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卓越，超额分享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130%—150%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1.30—1.50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优秀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110%—130%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1.10—1.30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良好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100%—110%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1.00—1.10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达标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90%—100%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0.90—1.00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基本达标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80%—90%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0.75—0.90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待改进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70%—80%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0.60—0.75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预警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60%—70%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0.45—0.60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整改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&lt;60%</w:t>
            </w:r>
          </w:p>
        </w:tc>
        <w:tc>
          <w:tcPr>
            <w:tcW w:type="dxa" w:w="306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0.30—0.45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触发绩效改进/退出流程</w:t>
            </w:r>
          </w:p>
        </w:tc>
      </w:tr>
    </w:tbl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区间内按线性内插取值；对照表由绩效管理委员会年度审定，修订须过会并提前公示。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9.4 项目奖金发放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项目奖金S4坚持价值导向，强化月度兑现力度：对已中标、已回款、已验收等形成确定性价值成果的项目，按“中标兑现20%、回款兑现50%、验收兑现30%”的里程碑比例，个人按确权点数份额分配，累计达到500元起付额度时按月兑现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十、AI Native绩效管理专章（新增）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10.1 人机协同计量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员工填报工作包产出时须同步申报AI贡献度α（0—100%），平台按“人的判断贡献=（1-α）+α×30%”折算个人点数，AI执行部分的70%沉淀为组织资产点数；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AI算力与工具成本按使用量分摊进对应核算单元成本，纳入创利核算。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10.2 AI效能激励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设“AI效能加分”：同等交付质量下，使用AI使工时下降30%以上的，当月态度评价系数上浮0.05；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员工沉淀的提示词、智能体、自动化流程被他人复用的，按复用次数追加研发类点数；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每季度发布个人与部门AI效能榜，纳入晋级评审参考。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10.3 AI合规红线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禁止用AI生成虚假交付物、虚报工作量，一经核实按罚则最高档处理；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涉密数据禁止输入未经公司批准的外部AI工具，违者按信息安全制度处理。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十一、绩效面谈、反馈与申诉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11.1 绩效面谈与反馈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月度考核结束后，由项目经理或部门负责人对项目成员进行面谈，对评价结果进行确认，指出优点与不足，就下阶段改进达成一致意见并平台留痕；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如员工对评价结果存在异议，可根据申诉管理流程提出申诉。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11.2 绩效申诉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申诉提交：员工可在考核面谈结束后3日内提交绩效申诉申请流程；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申诉说明：申诉人提交书面申诉材料及举证证据，被申诉方提交核算依据、验收材料，谁主张谁举证；无异议部分薪酬按时足额发放，有异议部分暂不发放，裁定后多退少补；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三级申诉：按部门负责人、板块负责人、分管副总裁三级申诉机制，重大争议报总裁审批后执行；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结果确认：裁决结束后2日内，部门负责人与员工面谈并双方在申诉表上签名确认，交人力资源部存档；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处理意见执行：考核结果按最终处理结果执行，如需修改考核成绩，在原绩效考核表上修正并由部门负责人签名确认；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以上全部申诉程序应在考核完成一周内结束。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十二、绩效改进与退出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12.1 绩效整改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当月度累计综合达标率&lt;60%的，由部门负责人进行面谈，制定绩效改进计划，整改期通常不超过2个月；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绩效改进需明确改进目标、培训安排、辅导人、验收标准，每月至少开展2次绩效辅导并留存沟通记录，人力资源部全程监督；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整改期内达标率恢复至80%以上的退出改进流程；整改期满仍不达标的，按规则进行调岗、培训或依法启动解除程序。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12.2 调岗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连续3个月月度累计综合达标率&lt;60%、能力明显不匹配当前岗位的，与员工协商调岗，明确新岗位职责、薪酬、考核规则，原则上双方签署《岗位调整确认书》；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书面送达调岗通知，员工不服从工作安排或逾期不到岗的，按公司相关制度处置；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调岗后设置1—2个月适应期考核，达标留任，不达标触发待岗或依法启动解除程序。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12.3 待岗培训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无适配空缺岗位时，组织针对性通用技能或转岗培训（含AI技能重塑培训），记录培训考勤及考核结果，待岗期间按当地最低工资标准或劳动合同约定发放待岗工资；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公司定期发布内部招聘信息，鼓励待岗员工竞聘；培训考核合格或竞聘成功可重新上岗，考核不合格或拒绝竞聘、竞聘失败则依法启动解除程序。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12.4 解除劳动合同</w:t>
      </w:r>
    </w:p>
    <w:p>
      <w:pPr>
        <w:spacing w:line="312" w:lineRule="auto"/>
        <w:ind w:firstLine="420"/>
      </w:pPr>
      <w:r>
        <w:rPr>
          <w:rFonts w:ascii="宋体" w:hAnsi="宋体" w:eastAsia="宋体"/>
          <w:b w:val="0"/>
          <w:sz w:val="21"/>
        </w:rPr>
        <w:t>对于“不能胜任工作，经过培训或者调整工作岗位，仍不能胜任工作”最终无法匹配组织需求的员工，依法启动解除程序。</w:t>
      </w:r>
    </w:p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十三、数据治理与罚则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13.1 数据治理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数字化核算平台为绩效核算唯一载体，平台外数据不作为核算与发放依据；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核算数据关账后冻结，任何修改须走变更流程并全程留痕，保存期不少于5年；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员工对本人填报数据的真实性负责，项目经理对项目核算数据的真实性负主体责任，部门负责人对部门核算数据的真实性负管理责任，板块负责人对板块核算数据负领导责任。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5"/>
        </w:rPr>
        <w:t>13.2 罚则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28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违规类型</w:t>
            </w:r>
          </w:p>
        </w:tc>
        <w:tc>
          <w:tcPr>
            <w:tcW w:type="dxa" w:w="5669"/>
            <w:shd w:val="clear" w:fill="D9E2F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处理规则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数据造假（虚报工作量、虚增产值、伪造验收成果、AI造假）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一经核实，追回对应已发放全部薪酬收入，个人信用系数降至0.8，情节严重的按公司规章制度给予处分直至解除劳动合同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迟报漏报（逾期填报、拒不确认）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首次提醒，月内两次当月态度评价系数下调0.1，连续两月纳入信用系数扣减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审核失职（放任虚假数据通过核算）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项目经理、部门负责人承担连带责任，扣减当期管理类点数，情节严重的免职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绕开平台发放（体外循环、私分奖金）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全额追回，对责任人按公司规章制度给予处分直至解除劳动合同，并追究管理链条责任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color w:val="1F3B63"/>
          <w:sz w:val="30"/>
        </w:rPr>
        <w:t>十四、附则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本办法由人力资源部负责解释与修订，标准点数计价、绩效-激励对照表的修订须经绩效管理委员会审定过会；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本办法配套《以个人核算为中心的AI Native组织的多级绩效核算及个人激励发放成套规则》执行，规则细化条款与本办法不一致的，以本办法为准；</w:t>
      </w:r>
    </w:p>
    <w:p>
      <w:pPr>
        <w:pStyle w:val="ListBullet"/>
        <w:spacing w:line="300" w:lineRule="auto"/>
      </w:pPr>
      <w:r>
        <w:rPr>
          <w:rFonts w:ascii="宋体" w:hAnsi="宋体" w:eastAsia="宋体"/>
          <w:b w:val="0"/>
          <w:sz w:val="21"/>
        </w:rPr>
        <w:t>本办法自发布之日起生效，此前发布的办法与本办法不一致的，以本办法为准。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