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方正小标宋简体" w:hAnsi="方正小标宋简体" w:eastAsia="方正小标宋简体"/>
          <w:b/>
          <w:sz w:val="40"/>
        </w:rPr>
        <w:t>以个人核算为中心的绩效核算及激励发放规则</w:t>
      </w:r>
    </w:p>
    <w:p>
      <w:pPr>
        <w:jc w:val="center"/>
      </w:pPr>
      <w:r>
        <w:rPr>
          <w:rFonts w:ascii="楷体" w:hAnsi="楷体" w:eastAsia="楷体"/>
          <w:b w:val="0"/>
          <w:sz w:val="28"/>
        </w:rPr>
        <w:t>（f5-20260720）</w:t>
      </w:r>
    </w:p>
    <w:p/>
    <w:p>
      <w:pPr>
        <w:spacing w:before="240" w:after="120"/>
      </w:pPr>
      <w:r>
        <w:rPr>
          <w:rFonts w:ascii="黑体" w:hAnsi="黑体" w:eastAsia="黑体"/>
          <w:b/>
          <w:sz w:val="30"/>
        </w:rPr>
        <w:t>前  言</w:t>
      </w:r>
    </w:p>
    <w:p>
      <w:pPr>
        <w:spacing w:line="360" w:lineRule="auto"/>
        <w:ind w:firstLine="480"/>
      </w:pPr>
      <w:r>
        <w:rPr>
          <w:rFonts w:ascii="仿宋_GB2312" w:hAnsi="仿宋_GB2312" w:eastAsia="仿宋_GB2312"/>
          <w:b w:val="0"/>
          <w:sz w:val="24"/>
        </w:rPr>
        <w:t>为落实"干和不干不一样、干多干少不一样、干好干坏不一样"的分配导向，破除"大锅饭""平均主义"，公司决定推行以个人核算为中心的绩效核算及激励发放机制。本规则以"个人是最小核算单元"为基本理念，把每一名员工当作一个"经营体"来算账：算清楚每个人干了什么活（工作分类）、干到了什么程度（进展分类）、值多少钱（价值计量），并据此分门别类地组织月度工资发放。</w:t>
      </w:r>
    </w:p>
    <w:p>
      <w:pPr>
        <w:spacing w:line="360" w:lineRule="auto"/>
        <w:ind w:firstLine="480"/>
      </w:pPr>
      <w:r>
        <w:rPr>
          <w:rFonts w:ascii="仿宋_GB2312" w:hAnsi="仿宋_GB2312" w:eastAsia="仿宋_GB2312"/>
          <w:b w:val="0"/>
          <w:sz w:val="24"/>
        </w:rPr>
        <w:t>本规则遵循四项基本原则：一是价值导向原则，收入与创造的价值挂钩，而非与出勤、资历简单挂钩；二是可算清原则，凡纳入核算的工作必须可定义、可计量、可验收；三是分类分级原则，不同类别的工作、不同层级的人员适用不同的核算口径与发放节奏；四是公开透明原则，规则公开、过程留痕、结果可查、争议可诉。</w:t>
      </w:r>
    </w:p>
    <w:p>
      <w:pPr>
        <w:spacing w:before="240" w:after="120"/>
      </w:pPr>
      <w:r>
        <w:rPr>
          <w:rFonts w:ascii="黑体" w:hAnsi="黑体" w:eastAsia="黑体"/>
          <w:b/>
          <w:sz w:val="30"/>
        </w:rPr>
        <w:t>第一章  总体框架</w:t>
      </w:r>
    </w:p>
    <w:p>
      <w:pPr>
        <w:spacing w:before="160" w:after="80"/>
      </w:pPr>
      <w:r>
        <w:rPr>
          <w:rFonts w:ascii="楷体" w:hAnsi="楷体" w:eastAsia="楷体"/>
          <w:b/>
          <w:sz w:val="27"/>
        </w:rPr>
        <w:t>一、总体思路</w:t>
      </w:r>
    </w:p>
    <w:p>
      <w:pPr>
        <w:spacing w:line="360" w:lineRule="auto"/>
        <w:ind w:firstLine="480"/>
      </w:pPr>
      <w:r>
        <w:rPr>
          <w:rFonts w:ascii="仿宋_GB2312" w:hAnsi="仿宋_GB2312" w:eastAsia="仿宋_GB2312"/>
          <w:b w:val="0"/>
          <w:sz w:val="24"/>
        </w:rPr>
        <w:t>本机制的总体框架可以概括为"三个分类、一套算法、四类发放"：</w:t>
      </w:r>
    </w:p>
    <w:p>
      <w:pPr>
        <w:spacing w:line="360" w:lineRule="auto"/>
        <w:ind w:firstLine="480"/>
      </w:pPr>
      <w:r>
        <w:rPr>
          <w:rFonts w:ascii="仿宋_GB2312" w:hAnsi="仿宋_GB2312" w:eastAsia="仿宋_GB2312"/>
          <w:b w:val="0"/>
          <w:sz w:val="24"/>
        </w:rPr>
        <w:t>（一）三个分类：即对"人"分类分级、对"事"（工作）分类定价、对"进展"（完成状态）分类折算，形成核算的三个基础维度。</w:t>
      </w:r>
    </w:p>
    <w:p>
      <w:pPr>
        <w:spacing w:line="360" w:lineRule="auto"/>
        <w:ind w:firstLine="480"/>
      </w:pPr>
      <w:r>
        <w:rPr>
          <w:rFonts w:ascii="仿宋_GB2312" w:hAnsi="仿宋_GB2312" w:eastAsia="仿宋_GB2312"/>
          <w:b w:val="0"/>
          <w:sz w:val="24"/>
        </w:rPr>
        <w:t>（二）一套算法：以"个人月度绩效积分（价值分）"为统一度量衡，把不同类别的工作、不同的完成进展折算为可加总的价值分，再把价值分转换为货币化的绩效工资。</w:t>
      </w:r>
    </w:p>
    <w:p>
      <w:pPr>
        <w:spacing w:line="360" w:lineRule="auto"/>
        <w:ind w:firstLine="480"/>
      </w:pPr>
      <w:r>
        <w:rPr>
          <w:rFonts w:ascii="仿宋_GB2312" w:hAnsi="仿宋_GB2312" w:eastAsia="仿宋_GB2312"/>
          <w:b w:val="0"/>
          <w:sz w:val="24"/>
        </w:rPr>
        <w:t>（三）四类发放：月度工资按"固定保障部分＋绩效浮动部分＋专项激励部分＋递延兑现部分"四个通道分门别类发放，不同类别人员四部分的比例结构不同。</w:t>
      </w:r>
    </w:p>
    <w:p>
      <w:pPr>
        <w:spacing w:before="160" w:after="80"/>
      </w:pPr>
      <w:r>
        <w:rPr>
          <w:rFonts w:ascii="楷体" w:hAnsi="楷体" w:eastAsia="楷体"/>
          <w:b/>
          <w:sz w:val="27"/>
        </w:rPr>
        <w:t>二、核算模型</w:t>
      </w:r>
    </w:p>
    <w:p>
      <w:pPr>
        <w:spacing w:line="360" w:lineRule="auto"/>
        <w:ind w:firstLine="480"/>
      </w:pPr>
      <w:r>
        <w:rPr>
          <w:rFonts w:ascii="仿宋_GB2312" w:hAnsi="仿宋_GB2312" w:eastAsia="仿宋_GB2312"/>
          <w:b w:val="0"/>
          <w:sz w:val="24"/>
        </w:rPr>
        <w:t>个人月度应发工资 ＝ 岗位固定工资 ＋ 月度绩效工资 ＋ 专项激励 ＋ 到期递延兑现。</w:t>
      </w:r>
    </w:p>
    <w:p>
      <w:pPr>
        <w:spacing w:line="360" w:lineRule="auto"/>
        <w:ind w:firstLine="480"/>
      </w:pPr>
      <w:r>
        <w:rPr>
          <w:rFonts w:ascii="仿宋_GB2312" w:hAnsi="仿宋_GB2312" w:eastAsia="仿宋_GB2312"/>
          <w:b w:val="0"/>
          <w:sz w:val="24"/>
        </w:rPr>
        <w:t>其中：月度绩效工资 ＝ 个人当月有效价值分 × 分值单价 × 人员系数 × 组织效益系数。</w:t>
      </w:r>
    </w:p>
    <w:p>
      <w:pPr>
        <w:spacing w:line="360" w:lineRule="auto"/>
        <w:ind w:firstLine="480"/>
      </w:pPr>
      <w:r>
        <w:rPr>
          <w:rFonts w:ascii="仿宋_GB2312" w:hAnsi="仿宋_GB2312" w:eastAsia="仿宋_GB2312"/>
          <w:b w:val="0"/>
          <w:sz w:val="24"/>
        </w:rPr>
        <w:t>个人当月有效价值分 ＝ Σ（单项工作标准分 × 工作类别权重 × 进展折算系数 × 质量系数）。</w:t>
      </w:r>
    </w:p>
    <w:p>
      <w:pPr>
        <w:spacing w:line="360" w:lineRule="auto"/>
        <w:ind w:firstLine="480"/>
      </w:pPr>
      <w:r>
        <w:rPr>
          <w:rFonts w:ascii="仿宋_GB2312" w:hAnsi="仿宋_GB2312" w:eastAsia="仿宋_GB2312"/>
          <w:b w:val="0"/>
          <w:sz w:val="24"/>
        </w:rPr>
        <w:t>分值单价由公司依据月度可分配绩效薪酬包与全员有效价值分总量测算确定，可按季度校准，确保薪酬总额可控。</w:t>
      </w:r>
    </w:p>
    <w:p>
      <w:pPr>
        <w:spacing w:before="240" w:after="120"/>
      </w:pPr>
      <w:r>
        <w:rPr>
          <w:rFonts w:ascii="黑体" w:hAnsi="黑体" w:eastAsia="黑体"/>
          <w:b/>
          <w:sz w:val="30"/>
        </w:rPr>
        <w:t>第二章  基于所干工作的分类与定价</w:t>
      </w:r>
    </w:p>
    <w:p>
      <w:pPr>
        <w:spacing w:before="160" w:after="80"/>
      </w:pPr>
      <w:r>
        <w:rPr>
          <w:rFonts w:ascii="楷体" w:hAnsi="楷体" w:eastAsia="楷体"/>
          <w:b/>
          <w:sz w:val="27"/>
        </w:rPr>
        <w:t>一、工作四大类别</w:t>
      </w:r>
    </w:p>
    <w:p>
      <w:pPr>
        <w:spacing w:line="360" w:lineRule="auto"/>
        <w:ind w:firstLine="480"/>
      </w:pPr>
      <w:r>
        <w:rPr>
          <w:rFonts w:ascii="仿宋_GB2312" w:hAnsi="仿宋_GB2312" w:eastAsia="仿宋_GB2312"/>
          <w:b w:val="0"/>
          <w:sz w:val="24"/>
        </w:rPr>
        <w:t>将全部工作划分为四大类别，分别赋予类别权重，体现"干什么活、值什么价"：</w:t>
      </w:r>
    </w:p>
    <w:tbl>
      <w:tblPr>
        <w:tblStyle w:val="TableGrid"/>
        <w:tblW w:type="auto" w:w="0"/>
        <w:jc w:val="center"/>
        <w:tblLook w:firstColumn="1" w:firstRow="1" w:lastColumn="0" w:lastRow="0" w:noHBand="0" w:noVBand="1" w:val="04A0"/>
      </w:tblPr>
      <w:tblGrid>
        <w:gridCol w:w="1813"/>
        <w:gridCol w:w="1813"/>
        <w:gridCol w:w="1813"/>
        <w:gridCol w:w="1813"/>
        <w:gridCol w:w="1813"/>
      </w:tblGrid>
      <w:tr>
        <w:tc>
          <w:tcPr>
            <w:tcW w:type="dxa" w:w="850"/>
          </w:tcPr>
          <w:p>
            <w:pPr>
              <w:jc w:val="center"/>
            </w:pPr>
            <w:r/>
            <w:r>
              <w:rPr>
                <w:rFonts w:ascii="黑体" w:hAnsi="黑体" w:eastAsia="黑体"/>
                <w:b/>
                <w:sz w:val="21"/>
              </w:rPr>
              <w:t>类别</w:t>
            </w:r>
          </w:p>
        </w:tc>
        <w:tc>
          <w:tcPr>
            <w:tcW w:type="dxa" w:w="1247"/>
          </w:tcPr>
          <w:p>
            <w:pPr>
              <w:jc w:val="center"/>
            </w:pPr>
            <w:r/>
            <w:r>
              <w:rPr>
                <w:rFonts w:ascii="黑体" w:hAnsi="黑体" w:eastAsia="黑体"/>
                <w:b/>
                <w:sz w:val="21"/>
              </w:rPr>
              <w:t>名称</w:t>
            </w:r>
          </w:p>
        </w:tc>
        <w:tc>
          <w:tcPr>
            <w:tcW w:type="dxa" w:w="3402"/>
          </w:tcPr>
          <w:p>
            <w:pPr>
              <w:jc w:val="center"/>
            </w:pPr>
            <w:r/>
            <w:r>
              <w:rPr>
                <w:rFonts w:ascii="黑体" w:hAnsi="黑体" w:eastAsia="黑体"/>
                <w:b/>
                <w:sz w:val="21"/>
              </w:rPr>
              <w:t>定义与典型场景</w:t>
            </w:r>
          </w:p>
        </w:tc>
        <w:tc>
          <w:tcPr>
            <w:tcW w:type="dxa" w:w="1020"/>
          </w:tcPr>
          <w:p>
            <w:pPr>
              <w:jc w:val="center"/>
            </w:pPr>
            <w:r/>
            <w:r>
              <w:rPr>
                <w:rFonts w:ascii="黑体" w:hAnsi="黑体" w:eastAsia="黑体"/>
                <w:b/>
                <w:sz w:val="21"/>
              </w:rPr>
              <w:t>类别权重</w:t>
            </w:r>
          </w:p>
        </w:tc>
        <w:tc>
          <w:tcPr>
            <w:tcW w:type="dxa" w:w="1984"/>
          </w:tcPr>
          <w:p>
            <w:pPr>
              <w:jc w:val="center"/>
            </w:pPr>
            <w:r/>
            <w:r>
              <w:rPr>
                <w:rFonts w:ascii="黑体" w:hAnsi="黑体" w:eastAsia="黑体"/>
                <w:b/>
                <w:sz w:val="21"/>
              </w:rPr>
              <w:t>计价方式</w:t>
            </w:r>
          </w:p>
        </w:tc>
      </w:tr>
      <w:tr>
        <w:tc>
          <w:tcPr>
            <w:tcW w:type="dxa" w:w="850"/>
          </w:tcPr>
          <w:p>
            <w:r/>
            <w:r>
              <w:rPr>
                <w:rFonts w:ascii="仿宋_GB2312" w:hAnsi="仿宋_GB2312" w:eastAsia="仿宋_GB2312"/>
                <w:b w:val="0"/>
                <w:sz w:val="21"/>
              </w:rPr>
              <w:t>A类</w:t>
            </w:r>
          </w:p>
        </w:tc>
        <w:tc>
          <w:tcPr>
            <w:tcW w:type="dxa" w:w="1247"/>
          </w:tcPr>
          <w:p>
            <w:r/>
            <w:r>
              <w:rPr>
                <w:rFonts w:ascii="仿宋_GB2312" w:hAnsi="仿宋_GB2312" w:eastAsia="仿宋_GB2312"/>
                <w:b w:val="0"/>
                <w:sz w:val="21"/>
              </w:rPr>
              <w:t>价值创造类</w:t>
            </w:r>
          </w:p>
        </w:tc>
        <w:tc>
          <w:tcPr>
            <w:tcW w:type="dxa" w:w="3402"/>
          </w:tcPr>
          <w:p>
            <w:r/>
            <w:r>
              <w:rPr>
                <w:rFonts w:ascii="仿宋_GB2312" w:hAnsi="仿宋_GB2312" w:eastAsia="仿宋_GB2312"/>
                <w:b w:val="0"/>
                <w:sz w:val="21"/>
              </w:rPr>
              <w:t>直接产生收入、利润或可交付成果的工作，如销售签单、项目交付、产品开发里程碑、回款</w:t>
            </w:r>
          </w:p>
        </w:tc>
        <w:tc>
          <w:tcPr>
            <w:tcW w:type="dxa" w:w="1020"/>
          </w:tcPr>
          <w:p>
            <w:r/>
            <w:r>
              <w:rPr>
                <w:rFonts w:ascii="仿宋_GB2312" w:hAnsi="仿宋_GB2312" w:eastAsia="仿宋_GB2312"/>
                <w:b w:val="0"/>
                <w:sz w:val="21"/>
              </w:rPr>
              <w:t>1.2～1.5</w:t>
            </w:r>
          </w:p>
        </w:tc>
        <w:tc>
          <w:tcPr>
            <w:tcW w:type="dxa" w:w="1984"/>
          </w:tcPr>
          <w:p>
            <w:r/>
            <w:r>
              <w:rPr>
                <w:rFonts w:ascii="仿宋_GB2312" w:hAnsi="仿宋_GB2312" w:eastAsia="仿宋_GB2312"/>
                <w:b w:val="0"/>
                <w:sz w:val="21"/>
              </w:rPr>
              <w:t>按成果计件/按里程碑计价</w:t>
            </w:r>
          </w:p>
        </w:tc>
      </w:tr>
      <w:tr>
        <w:tc>
          <w:tcPr>
            <w:tcW w:type="dxa" w:w="850"/>
          </w:tcPr>
          <w:p>
            <w:r/>
            <w:r>
              <w:rPr>
                <w:rFonts w:ascii="仿宋_GB2312" w:hAnsi="仿宋_GB2312" w:eastAsia="仿宋_GB2312"/>
                <w:b w:val="0"/>
                <w:sz w:val="21"/>
              </w:rPr>
              <w:t>B类</w:t>
            </w:r>
          </w:p>
        </w:tc>
        <w:tc>
          <w:tcPr>
            <w:tcW w:type="dxa" w:w="1247"/>
          </w:tcPr>
          <w:p>
            <w:r/>
            <w:r>
              <w:rPr>
                <w:rFonts w:ascii="仿宋_GB2312" w:hAnsi="仿宋_GB2312" w:eastAsia="仿宋_GB2312"/>
                <w:b w:val="0"/>
                <w:sz w:val="21"/>
              </w:rPr>
              <w:t>任务履职类</w:t>
            </w:r>
          </w:p>
        </w:tc>
        <w:tc>
          <w:tcPr>
            <w:tcW w:type="dxa" w:w="3402"/>
          </w:tcPr>
          <w:p>
            <w:r/>
            <w:r>
              <w:rPr>
                <w:rFonts w:ascii="仿宋_GB2312" w:hAnsi="仿宋_GB2312" w:eastAsia="仿宋_GB2312"/>
                <w:b w:val="0"/>
                <w:sz w:val="21"/>
              </w:rPr>
              <w:t>岗位职责内的常规任务，有明确任务单和交付标准，如月度报表、例行运维、生产工单</w:t>
            </w:r>
          </w:p>
        </w:tc>
        <w:tc>
          <w:tcPr>
            <w:tcW w:type="dxa" w:w="1020"/>
          </w:tcPr>
          <w:p>
            <w:r/>
            <w:r>
              <w:rPr>
                <w:rFonts w:ascii="仿宋_GB2312" w:hAnsi="仿宋_GB2312" w:eastAsia="仿宋_GB2312"/>
                <w:b w:val="0"/>
                <w:sz w:val="21"/>
              </w:rPr>
              <w:t>1.0</w:t>
            </w:r>
          </w:p>
        </w:tc>
        <w:tc>
          <w:tcPr>
            <w:tcW w:type="dxa" w:w="1984"/>
          </w:tcPr>
          <w:p>
            <w:r/>
            <w:r>
              <w:rPr>
                <w:rFonts w:ascii="仿宋_GB2312" w:hAnsi="仿宋_GB2312" w:eastAsia="仿宋_GB2312"/>
                <w:b w:val="0"/>
                <w:sz w:val="21"/>
              </w:rPr>
              <w:t>按标准工作量（标准分）计价</w:t>
            </w:r>
          </w:p>
        </w:tc>
      </w:tr>
      <w:tr>
        <w:tc>
          <w:tcPr>
            <w:tcW w:type="dxa" w:w="850"/>
          </w:tcPr>
          <w:p>
            <w:r/>
            <w:r>
              <w:rPr>
                <w:rFonts w:ascii="仿宋_GB2312" w:hAnsi="仿宋_GB2312" w:eastAsia="仿宋_GB2312"/>
                <w:b w:val="0"/>
                <w:sz w:val="21"/>
              </w:rPr>
              <w:t>C类</w:t>
            </w:r>
          </w:p>
        </w:tc>
        <w:tc>
          <w:tcPr>
            <w:tcW w:type="dxa" w:w="1247"/>
          </w:tcPr>
          <w:p>
            <w:r/>
            <w:r>
              <w:rPr>
                <w:rFonts w:ascii="仿宋_GB2312" w:hAnsi="仿宋_GB2312" w:eastAsia="仿宋_GB2312"/>
                <w:b w:val="0"/>
                <w:sz w:val="21"/>
              </w:rPr>
              <w:t>支撑保障类</w:t>
            </w:r>
          </w:p>
        </w:tc>
        <w:tc>
          <w:tcPr>
            <w:tcW w:type="dxa" w:w="3402"/>
          </w:tcPr>
          <w:p>
            <w:r/>
            <w:r>
              <w:rPr>
                <w:rFonts w:ascii="仿宋_GB2312" w:hAnsi="仿宋_GB2312" w:eastAsia="仿宋_GB2312"/>
                <w:b w:val="0"/>
                <w:sz w:val="21"/>
              </w:rPr>
              <w:t>为他人或组织提供支撑的工作，如内部服务、协作配合、流程审批、培训带教</w:t>
            </w:r>
          </w:p>
        </w:tc>
        <w:tc>
          <w:tcPr>
            <w:tcW w:type="dxa" w:w="1020"/>
          </w:tcPr>
          <w:p>
            <w:r/>
            <w:r>
              <w:rPr>
                <w:rFonts w:ascii="仿宋_GB2312" w:hAnsi="仿宋_GB2312" w:eastAsia="仿宋_GB2312"/>
                <w:b w:val="0"/>
                <w:sz w:val="21"/>
              </w:rPr>
              <w:t>0.8～1.0</w:t>
            </w:r>
          </w:p>
        </w:tc>
        <w:tc>
          <w:tcPr>
            <w:tcW w:type="dxa" w:w="1984"/>
          </w:tcPr>
          <w:p>
            <w:r/>
            <w:r>
              <w:rPr>
                <w:rFonts w:ascii="仿宋_GB2312" w:hAnsi="仿宋_GB2312" w:eastAsia="仿宋_GB2312"/>
                <w:b w:val="0"/>
                <w:sz w:val="21"/>
              </w:rPr>
              <w:t>按服务量＋内部客户评价计价</w:t>
            </w:r>
          </w:p>
        </w:tc>
      </w:tr>
      <w:tr>
        <w:tc>
          <w:tcPr>
            <w:tcW w:type="dxa" w:w="850"/>
          </w:tcPr>
          <w:p>
            <w:r/>
            <w:r>
              <w:rPr>
                <w:rFonts w:ascii="仿宋_GB2312" w:hAnsi="仿宋_GB2312" w:eastAsia="仿宋_GB2312"/>
                <w:b w:val="0"/>
                <w:sz w:val="21"/>
              </w:rPr>
              <w:t>D类</w:t>
            </w:r>
          </w:p>
        </w:tc>
        <w:tc>
          <w:tcPr>
            <w:tcW w:type="dxa" w:w="1247"/>
          </w:tcPr>
          <w:p>
            <w:r/>
            <w:r>
              <w:rPr>
                <w:rFonts w:ascii="仿宋_GB2312" w:hAnsi="仿宋_GB2312" w:eastAsia="仿宋_GB2312"/>
                <w:b w:val="0"/>
                <w:sz w:val="21"/>
              </w:rPr>
              <w:t>改善创新类</w:t>
            </w:r>
          </w:p>
        </w:tc>
        <w:tc>
          <w:tcPr>
            <w:tcW w:type="dxa" w:w="3402"/>
          </w:tcPr>
          <w:p>
            <w:r/>
            <w:r>
              <w:rPr>
                <w:rFonts w:ascii="仿宋_GB2312" w:hAnsi="仿宋_GB2312" w:eastAsia="仿宋_GB2312"/>
                <w:b w:val="0"/>
                <w:sz w:val="21"/>
              </w:rPr>
              <w:t>超出岗位要求的改善、创新、攻关、降本增效类工作</w:t>
            </w:r>
          </w:p>
        </w:tc>
        <w:tc>
          <w:tcPr>
            <w:tcW w:type="dxa" w:w="1020"/>
          </w:tcPr>
          <w:p>
            <w:r/>
            <w:r>
              <w:rPr>
                <w:rFonts w:ascii="仿宋_GB2312" w:hAnsi="仿宋_GB2312" w:eastAsia="仿宋_GB2312"/>
                <w:b w:val="0"/>
                <w:sz w:val="21"/>
              </w:rPr>
              <w:t>1.3～2.0</w:t>
            </w:r>
          </w:p>
        </w:tc>
        <w:tc>
          <w:tcPr>
            <w:tcW w:type="dxa" w:w="1984"/>
          </w:tcPr>
          <w:p>
            <w:r/>
            <w:r>
              <w:rPr>
                <w:rFonts w:ascii="仿宋_GB2312" w:hAnsi="仿宋_GB2312" w:eastAsia="仿宋_GB2312"/>
                <w:b w:val="0"/>
                <w:sz w:val="21"/>
              </w:rPr>
              <w:t>按立项评审＋成效评估计价</w:t>
            </w:r>
          </w:p>
        </w:tc>
      </w:tr>
    </w:tbl>
    <w:p/>
    <w:p>
      <w:pPr>
        <w:spacing w:before="160" w:after="80"/>
      </w:pPr>
      <w:r>
        <w:rPr>
          <w:rFonts w:ascii="楷体" w:hAnsi="楷体" w:eastAsia="楷体"/>
          <w:b/>
          <w:sz w:val="27"/>
        </w:rPr>
        <w:t>二、工作任务化与标准分定价</w:t>
      </w:r>
    </w:p>
    <w:p>
      <w:pPr>
        <w:spacing w:line="360" w:lineRule="auto"/>
        <w:ind w:firstLine="480"/>
      </w:pPr>
      <w:r>
        <w:rPr>
          <w:rFonts w:ascii="仿宋_GB2312" w:hAnsi="仿宋_GB2312" w:eastAsia="仿宋_GB2312"/>
          <w:b w:val="0"/>
          <w:sz w:val="24"/>
        </w:rPr>
        <w:t>（一）任务单制。凡计入核算的工作必须形成"任务单"，明确任务名称、类别、交付标准、标准分、责任人、协作人、计划完成时间。任务单由直接上级或项目经理下达，员工也可自主申报（尤其是D类），经审核后生效。</w:t>
      </w:r>
    </w:p>
    <w:p>
      <w:pPr>
        <w:spacing w:line="360" w:lineRule="auto"/>
        <w:ind w:firstLine="480"/>
      </w:pPr>
      <w:r>
        <w:rPr>
          <w:rFonts w:ascii="仿宋_GB2312" w:hAnsi="仿宋_GB2312" w:eastAsia="仿宋_GB2312"/>
          <w:b w:val="0"/>
          <w:sz w:val="24"/>
        </w:rPr>
        <w:t>（二）标准分定价。每项任务在下达时即确定"标准分"，定价依据包括：工作量（标准工时）、难度系数（1.0/1.2/1.5三档）、重要度系数（对应公司/部门/岗位三级目标）。公司建立《任务标准分定价目录》，常规任务直接查目录取分，非常规任务由部门定价小组评审定分，杜绝事后"讨价还价"。</w:t>
      </w:r>
    </w:p>
    <w:p>
      <w:pPr>
        <w:spacing w:line="360" w:lineRule="auto"/>
        <w:ind w:firstLine="480"/>
      </w:pPr>
      <w:r>
        <w:rPr>
          <w:rFonts w:ascii="仿宋_GB2312" w:hAnsi="仿宋_GB2312" w:eastAsia="仿宋_GB2312"/>
          <w:b w:val="0"/>
          <w:sz w:val="24"/>
        </w:rPr>
        <w:t>（三）多人协作任务。协作任务的标准分按事先约定的贡献比例拆分到个人，拆分比例随任务单一并公示；未事先约定的，由任务负责人在验收时提出分配方案并经协作人确认。</w:t>
      </w:r>
    </w:p>
    <w:p>
      <w:pPr>
        <w:spacing w:before="160" w:after="80"/>
      </w:pPr>
      <w:r>
        <w:rPr>
          <w:rFonts w:ascii="楷体" w:hAnsi="楷体" w:eastAsia="楷体"/>
          <w:b/>
          <w:sz w:val="27"/>
        </w:rPr>
        <w:t>三、类别结构管控</w:t>
      </w:r>
    </w:p>
    <w:p>
      <w:pPr>
        <w:spacing w:line="360" w:lineRule="auto"/>
        <w:ind w:firstLine="480"/>
      </w:pPr>
      <w:r>
        <w:rPr>
          <w:rFonts w:ascii="仿宋_GB2312" w:hAnsi="仿宋_GB2312" w:eastAsia="仿宋_GB2312"/>
          <w:b w:val="0"/>
          <w:sz w:val="24"/>
        </w:rPr>
        <w:t>为防止人人抢做高权重工作、无人做保障工作，实行类别结构管控：每个岗位在岗位说明书中明确A/B/C/D四类工作的基准结构比例；B类、C类完成率低于80%的，当月D类得分打七折计入，确保"本职先干好、创新再加分"。</w:t>
      </w:r>
    </w:p>
    <w:p>
      <w:pPr>
        <w:spacing w:before="240" w:after="120"/>
      </w:pPr>
      <w:r>
        <w:rPr>
          <w:rFonts w:ascii="黑体" w:hAnsi="黑体" w:eastAsia="黑体"/>
          <w:b/>
          <w:sz w:val="30"/>
        </w:rPr>
        <w:t>第三章  基于工作实际进展的分类与折算</w:t>
      </w:r>
    </w:p>
    <w:p>
      <w:pPr>
        <w:spacing w:before="160" w:after="80"/>
      </w:pPr>
      <w:r>
        <w:rPr>
          <w:rFonts w:ascii="楷体" w:hAnsi="楷体" w:eastAsia="楷体"/>
          <w:b/>
          <w:sz w:val="27"/>
        </w:rPr>
        <w:t>一、进展五种状态</w:t>
      </w:r>
    </w:p>
    <w:p>
      <w:pPr>
        <w:spacing w:line="360" w:lineRule="auto"/>
        <w:ind w:firstLine="480"/>
      </w:pPr>
      <w:r>
        <w:rPr>
          <w:rFonts w:ascii="仿宋_GB2312" w:hAnsi="仿宋_GB2312" w:eastAsia="仿宋_GB2312"/>
          <w:b w:val="0"/>
          <w:sz w:val="24"/>
        </w:rPr>
        <w:t>每项任务在月度结算时点，按实际进展归入以下五种状态之一，并适用相应的进展折算系数：</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1587"/>
          </w:tcPr>
          <w:p>
            <w:pPr>
              <w:jc w:val="center"/>
            </w:pPr>
            <w:r/>
            <w:r>
              <w:rPr>
                <w:rFonts w:ascii="黑体" w:hAnsi="黑体" w:eastAsia="黑体"/>
                <w:b/>
                <w:sz w:val="21"/>
              </w:rPr>
              <w:t>状态</w:t>
            </w:r>
          </w:p>
        </w:tc>
        <w:tc>
          <w:tcPr>
            <w:tcW w:type="dxa" w:w="3118"/>
          </w:tcPr>
          <w:p>
            <w:pPr>
              <w:jc w:val="center"/>
            </w:pPr>
            <w:r/>
            <w:r>
              <w:rPr>
                <w:rFonts w:ascii="黑体" w:hAnsi="黑体" w:eastAsia="黑体"/>
                <w:b/>
                <w:sz w:val="21"/>
              </w:rPr>
              <w:t>定义</w:t>
            </w:r>
          </w:p>
        </w:tc>
        <w:tc>
          <w:tcPr>
            <w:tcW w:type="dxa" w:w="1417"/>
          </w:tcPr>
          <w:p>
            <w:pPr>
              <w:jc w:val="center"/>
            </w:pPr>
            <w:r/>
            <w:r>
              <w:rPr>
                <w:rFonts w:ascii="黑体" w:hAnsi="黑体" w:eastAsia="黑体"/>
                <w:b/>
                <w:sz w:val="21"/>
              </w:rPr>
              <w:t>折算系数</w:t>
            </w:r>
          </w:p>
        </w:tc>
        <w:tc>
          <w:tcPr>
            <w:tcW w:type="dxa" w:w="2835"/>
          </w:tcPr>
          <w:p>
            <w:pPr>
              <w:jc w:val="center"/>
            </w:pPr>
            <w:r/>
            <w:r>
              <w:rPr>
                <w:rFonts w:ascii="黑体" w:hAnsi="黑体" w:eastAsia="黑体"/>
                <w:b/>
                <w:sz w:val="21"/>
              </w:rPr>
              <w:t>结算规则</w:t>
            </w:r>
          </w:p>
        </w:tc>
      </w:tr>
      <w:tr>
        <w:tc>
          <w:tcPr>
            <w:tcW w:type="dxa" w:w="1587"/>
          </w:tcPr>
          <w:p>
            <w:r/>
            <w:r>
              <w:rPr>
                <w:rFonts w:ascii="仿宋_GB2312" w:hAnsi="仿宋_GB2312" w:eastAsia="仿宋_GB2312"/>
                <w:b w:val="0"/>
                <w:sz w:val="21"/>
              </w:rPr>
              <w:t>已完成并验收</w:t>
            </w:r>
          </w:p>
        </w:tc>
        <w:tc>
          <w:tcPr>
            <w:tcW w:type="dxa" w:w="3118"/>
          </w:tcPr>
          <w:p>
            <w:r/>
            <w:r>
              <w:rPr>
                <w:rFonts w:ascii="仿宋_GB2312" w:hAnsi="仿宋_GB2312" w:eastAsia="仿宋_GB2312"/>
                <w:b w:val="0"/>
                <w:sz w:val="21"/>
              </w:rPr>
              <w:t>按交付标准完成，通过验收</w:t>
            </w:r>
          </w:p>
        </w:tc>
        <w:tc>
          <w:tcPr>
            <w:tcW w:type="dxa" w:w="1417"/>
          </w:tcPr>
          <w:p>
            <w:r/>
            <w:r>
              <w:rPr>
                <w:rFonts w:ascii="仿宋_GB2312" w:hAnsi="仿宋_GB2312" w:eastAsia="仿宋_GB2312"/>
                <w:b w:val="0"/>
                <w:sz w:val="21"/>
              </w:rPr>
              <w:t>100%</w:t>
            </w:r>
          </w:p>
        </w:tc>
        <w:tc>
          <w:tcPr>
            <w:tcW w:type="dxa" w:w="2835"/>
          </w:tcPr>
          <w:p>
            <w:r/>
            <w:r>
              <w:rPr>
                <w:rFonts w:ascii="仿宋_GB2312" w:hAnsi="仿宋_GB2312" w:eastAsia="仿宋_GB2312"/>
                <w:b w:val="0"/>
                <w:sz w:val="21"/>
              </w:rPr>
              <w:t>当月全额计分</w:t>
            </w:r>
          </w:p>
        </w:tc>
      </w:tr>
      <w:tr>
        <w:tc>
          <w:tcPr>
            <w:tcW w:type="dxa" w:w="1587"/>
          </w:tcPr>
          <w:p>
            <w:r/>
            <w:r>
              <w:rPr>
                <w:rFonts w:ascii="仿宋_GB2312" w:hAnsi="仿宋_GB2312" w:eastAsia="仿宋_GB2312"/>
                <w:b w:val="0"/>
                <w:sz w:val="21"/>
              </w:rPr>
              <w:t>已完成待验收</w:t>
            </w:r>
          </w:p>
        </w:tc>
        <w:tc>
          <w:tcPr>
            <w:tcW w:type="dxa" w:w="3118"/>
          </w:tcPr>
          <w:p>
            <w:r/>
            <w:r>
              <w:rPr>
                <w:rFonts w:ascii="仿宋_GB2312" w:hAnsi="仿宋_GB2312" w:eastAsia="仿宋_GB2312"/>
                <w:b w:val="0"/>
                <w:sz w:val="21"/>
              </w:rPr>
              <w:t>责任人提交完成，验收未出结果</w:t>
            </w:r>
          </w:p>
        </w:tc>
        <w:tc>
          <w:tcPr>
            <w:tcW w:type="dxa" w:w="1417"/>
          </w:tcPr>
          <w:p>
            <w:r/>
            <w:r>
              <w:rPr>
                <w:rFonts w:ascii="仿宋_GB2312" w:hAnsi="仿宋_GB2312" w:eastAsia="仿宋_GB2312"/>
                <w:b w:val="0"/>
                <w:sz w:val="21"/>
              </w:rPr>
              <w:t>70%预结</w:t>
            </w:r>
          </w:p>
        </w:tc>
        <w:tc>
          <w:tcPr>
            <w:tcW w:type="dxa" w:w="2835"/>
          </w:tcPr>
          <w:p>
            <w:r/>
            <w:r>
              <w:rPr>
                <w:rFonts w:ascii="仿宋_GB2312" w:hAnsi="仿宋_GB2312" w:eastAsia="仿宋_GB2312"/>
                <w:b w:val="0"/>
                <w:sz w:val="21"/>
              </w:rPr>
              <w:t>当月预结70%，验收通过后次月补齐30%</w:t>
            </w:r>
          </w:p>
        </w:tc>
      </w:tr>
      <w:tr>
        <w:tc>
          <w:tcPr>
            <w:tcW w:type="dxa" w:w="1587"/>
          </w:tcPr>
          <w:p>
            <w:r/>
            <w:r>
              <w:rPr>
                <w:rFonts w:ascii="仿宋_GB2312" w:hAnsi="仿宋_GB2312" w:eastAsia="仿宋_GB2312"/>
                <w:b w:val="0"/>
                <w:sz w:val="21"/>
              </w:rPr>
              <w:t>正常在途</w:t>
            </w:r>
          </w:p>
        </w:tc>
        <w:tc>
          <w:tcPr>
            <w:tcW w:type="dxa" w:w="3118"/>
          </w:tcPr>
          <w:p>
            <w:r/>
            <w:r>
              <w:rPr>
                <w:rFonts w:ascii="仿宋_GB2312" w:hAnsi="仿宋_GB2312" w:eastAsia="仿宋_GB2312"/>
                <w:b w:val="0"/>
                <w:sz w:val="21"/>
              </w:rPr>
              <w:t>按计划节点推进，进度偏差≤10%</w:t>
            </w:r>
          </w:p>
        </w:tc>
        <w:tc>
          <w:tcPr>
            <w:tcW w:type="dxa" w:w="1417"/>
          </w:tcPr>
          <w:p>
            <w:r/>
            <w:r>
              <w:rPr>
                <w:rFonts w:ascii="仿宋_GB2312" w:hAnsi="仿宋_GB2312" w:eastAsia="仿宋_GB2312"/>
                <w:b w:val="0"/>
                <w:sz w:val="21"/>
              </w:rPr>
              <w:t>按里程碑计</w:t>
            </w:r>
          </w:p>
        </w:tc>
        <w:tc>
          <w:tcPr>
            <w:tcW w:type="dxa" w:w="2835"/>
          </w:tcPr>
          <w:p>
            <w:r/>
            <w:r>
              <w:rPr>
                <w:rFonts w:ascii="仿宋_GB2312" w:hAnsi="仿宋_GB2312" w:eastAsia="仿宋_GB2312"/>
                <w:b w:val="0"/>
                <w:sz w:val="21"/>
              </w:rPr>
              <w:t>跨月任务按已确认里程碑比例计分</w:t>
            </w:r>
          </w:p>
        </w:tc>
      </w:tr>
      <w:tr>
        <w:tc>
          <w:tcPr>
            <w:tcW w:type="dxa" w:w="1587"/>
          </w:tcPr>
          <w:p>
            <w:r/>
            <w:r>
              <w:rPr>
                <w:rFonts w:ascii="仿宋_GB2312" w:hAnsi="仿宋_GB2312" w:eastAsia="仿宋_GB2312"/>
                <w:b w:val="0"/>
                <w:sz w:val="21"/>
              </w:rPr>
              <w:t>滞后在途</w:t>
            </w:r>
          </w:p>
        </w:tc>
        <w:tc>
          <w:tcPr>
            <w:tcW w:type="dxa" w:w="3118"/>
          </w:tcPr>
          <w:p>
            <w:r/>
            <w:r>
              <w:rPr>
                <w:rFonts w:ascii="仿宋_GB2312" w:hAnsi="仿宋_GB2312" w:eastAsia="仿宋_GB2312"/>
                <w:b w:val="0"/>
                <w:sz w:val="21"/>
              </w:rPr>
              <w:t>进度偏差＞10%且＜30%，或关键节点延误</w:t>
            </w:r>
          </w:p>
        </w:tc>
        <w:tc>
          <w:tcPr>
            <w:tcW w:type="dxa" w:w="1417"/>
          </w:tcPr>
          <w:p>
            <w:r/>
            <w:r>
              <w:rPr>
                <w:rFonts w:ascii="仿宋_GB2312" w:hAnsi="仿宋_GB2312" w:eastAsia="仿宋_GB2312"/>
                <w:b w:val="0"/>
                <w:sz w:val="21"/>
              </w:rPr>
              <w:t>里程碑分×0.7</w:t>
            </w:r>
          </w:p>
        </w:tc>
        <w:tc>
          <w:tcPr>
            <w:tcW w:type="dxa" w:w="2835"/>
          </w:tcPr>
          <w:p>
            <w:r/>
            <w:r>
              <w:rPr>
                <w:rFonts w:ascii="仿宋_GB2312" w:hAnsi="仿宋_GB2312" w:eastAsia="仿宋_GB2312"/>
                <w:b w:val="0"/>
                <w:sz w:val="21"/>
              </w:rPr>
              <w:t>滞后部分计入个人"欠分账"，追平后返还</w:t>
            </w:r>
          </w:p>
        </w:tc>
      </w:tr>
      <w:tr>
        <w:tc>
          <w:tcPr>
            <w:tcW w:type="dxa" w:w="1587"/>
          </w:tcPr>
          <w:p>
            <w:r/>
            <w:r>
              <w:rPr>
                <w:rFonts w:ascii="仿宋_GB2312" w:hAnsi="仿宋_GB2312" w:eastAsia="仿宋_GB2312"/>
                <w:b w:val="0"/>
                <w:sz w:val="21"/>
              </w:rPr>
              <w:t>停滞/失败</w:t>
            </w:r>
          </w:p>
        </w:tc>
        <w:tc>
          <w:tcPr>
            <w:tcW w:type="dxa" w:w="3118"/>
          </w:tcPr>
          <w:p>
            <w:r/>
            <w:r>
              <w:rPr>
                <w:rFonts w:ascii="仿宋_GB2312" w:hAnsi="仿宋_GB2312" w:eastAsia="仿宋_GB2312"/>
                <w:b w:val="0"/>
                <w:sz w:val="21"/>
              </w:rPr>
              <w:t>偏差≥30%、长期无进展或任务失败</w:t>
            </w:r>
          </w:p>
        </w:tc>
        <w:tc>
          <w:tcPr>
            <w:tcW w:type="dxa" w:w="1417"/>
          </w:tcPr>
          <w:p>
            <w:r/>
            <w:r>
              <w:rPr>
                <w:rFonts w:ascii="仿宋_GB2312" w:hAnsi="仿宋_GB2312" w:eastAsia="仿宋_GB2312"/>
                <w:b w:val="0"/>
                <w:sz w:val="21"/>
              </w:rPr>
              <w:t>0%</w:t>
            </w:r>
          </w:p>
        </w:tc>
        <w:tc>
          <w:tcPr>
            <w:tcW w:type="dxa" w:w="2835"/>
          </w:tcPr>
          <w:p>
            <w:r/>
            <w:r>
              <w:rPr>
                <w:rFonts w:ascii="仿宋_GB2312" w:hAnsi="仿宋_GB2312" w:eastAsia="仿宋_GB2312"/>
                <w:b w:val="0"/>
                <w:sz w:val="21"/>
              </w:rPr>
              <w:t>不计分；因个人原因失败的，倒扣该任务标准分的20%</w:t>
            </w:r>
          </w:p>
        </w:tc>
      </w:tr>
    </w:tbl>
    <w:p/>
    <w:p>
      <w:pPr>
        <w:spacing w:before="160" w:after="80"/>
      </w:pPr>
      <w:r>
        <w:rPr>
          <w:rFonts w:ascii="楷体" w:hAnsi="楷体" w:eastAsia="楷体"/>
          <w:b/>
          <w:sz w:val="27"/>
        </w:rPr>
        <w:t>二、跨月长周期任务的里程碑核算</w:t>
      </w:r>
    </w:p>
    <w:p>
      <w:pPr>
        <w:spacing w:line="360" w:lineRule="auto"/>
        <w:ind w:firstLine="480"/>
      </w:pPr>
      <w:r>
        <w:rPr>
          <w:rFonts w:ascii="仿宋_GB2312" w:hAnsi="仿宋_GB2312" w:eastAsia="仿宋_GB2312"/>
          <w:b w:val="0"/>
          <w:sz w:val="24"/>
        </w:rPr>
        <w:t>（一）凡执行周期超过一个月的任务，下达时必须拆分为月度可验证的里程碑，每个里程碑单独定分。当月只结算已经确认的里程碑，防止"干了一半全额拿钱"或"干完了才一次性拿钱"两个极端。</w:t>
      </w:r>
    </w:p>
    <w:p>
      <w:pPr>
        <w:spacing w:line="360" w:lineRule="auto"/>
        <w:ind w:firstLine="480"/>
      </w:pPr>
      <w:r>
        <w:rPr>
          <w:rFonts w:ascii="仿宋_GB2312" w:hAnsi="仿宋_GB2312" w:eastAsia="仿宋_GB2312"/>
          <w:b w:val="0"/>
          <w:sz w:val="24"/>
        </w:rPr>
        <w:t>（二）长周期任务设置"过程分＋结果分"结构，过程分（里程碑）占60%～70%按月结算，结果分（整体验收）占30%～40%在最终验收后结算，验收不合格的扣回相应过程分。</w:t>
      </w:r>
    </w:p>
    <w:p>
      <w:pPr>
        <w:spacing w:before="160" w:after="80"/>
      </w:pPr>
      <w:r>
        <w:rPr>
          <w:rFonts w:ascii="楷体" w:hAnsi="楷体" w:eastAsia="楷体"/>
          <w:b/>
          <w:sz w:val="27"/>
        </w:rPr>
        <w:t>三、质量系数</w:t>
      </w:r>
    </w:p>
    <w:p>
      <w:pPr>
        <w:spacing w:line="360" w:lineRule="auto"/>
        <w:ind w:firstLine="480"/>
      </w:pPr>
      <w:r>
        <w:rPr>
          <w:rFonts w:ascii="仿宋_GB2312" w:hAnsi="仿宋_GB2312" w:eastAsia="仿宋_GB2312"/>
          <w:b w:val="0"/>
          <w:sz w:val="24"/>
        </w:rPr>
        <w:t>验收时对交付质量评定质量系数：优（1.1～1.2）、合格（1.0）、基本合格（0.8）、不合格（0，返工后按0.6重新计分）。质量系数与进展折算系数连乘，确保"不仅干完、还要干好"。</w:t>
      </w:r>
    </w:p>
    <w:p>
      <w:pPr>
        <w:spacing w:before="160" w:after="80"/>
      </w:pPr>
      <w:r>
        <w:rPr>
          <w:rFonts w:ascii="楷体" w:hAnsi="楷体" w:eastAsia="楷体"/>
          <w:b/>
          <w:sz w:val="27"/>
        </w:rPr>
        <w:t>四、非个人原因的进展保护</w:t>
      </w:r>
    </w:p>
    <w:p>
      <w:pPr>
        <w:spacing w:line="360" w:lineRule="auto"/>
        <w:ind w:firstLine="480"/>
      </w:pPr>
      <w:r>
        <w:rPr>
          <w:rFonts w:ascii="仿宋_GB2312" w:hAnsi="仿宋_GB2312" w:eastAsia="仿宋_GB2312"/>
          <w:b w:val="0"/>
          <w:sz w:val="24"/>
        </w:rPr>
        <w:t>因客户变更、上游延误、公司决策调整等非个人原因导致的滞后或停滞，由责任人在事发5个工作日内申报"进展异常单"，经审核确认后，该任务不适用折扣与倒扣，已投入工作量按B类标准据实计分。</w:t>
      </w:r>
    </w:p>
    <w:p>
      <w:pPr>
        <w:spacing w:before="240" w:after="120"/>
      </w:pPr>
      <w:r>
        <w:rPr>
          <w:rFonts w:ascii="黑体" w:hAnsi="黑体" w:eastAsia="黑体"/>
          <w:b/>
          <w:sz w:val="30"/>
        </w:rPr>
        <w:t>第四章  基于人员的分类分级</w:t>
      </w:r>
    </w:p>
    <w:p>
      <w:pPr>
        <w:spacing w:before="160" w:after="80"/>
      </w:pPr>
      <w:r>
        <w:rPr>
          <w:rFonts w:ascii="楷体" w:hAnsi="楷体" w:eastAsia="楷体"/>
          <w:b/>
          <w:sz w:val="27"/>
        </w:rPr>
        <w:t>一、人员四大序列</w:t>
      </w:r>
    </w:p>
    <w:p>
      <w:pPr>
        <w:spacing w:line="360" w:lineRule="auto"/>
        <w:ind w:firstLine="480"/>
      </w:pPr>
      <w:r>
        <w:rPr>
          <w:rFonts w:ascii="仿宋_GB2312" w:hAnsi="仿宋_GB2312" w:eastAsia="仿宋_GB2312"/>
          <w:b w:val="0"/>
          <w:sz w:val="24"/>
        </w:rPr>
        <w:t>按工作性质将人员划分为四个序列，不同序列适用不同的核算侧重与薪酬结构：</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154"/>
          </w:tcPr>
          <w:p>
            <w:pPr>
              <w:jc w:val="center"/>
            </w:pPr>
            <w:r/>
            <w:r>
              <w:rPr>
                <w:rFonts w:ascii="黑体" w:hAnsi="黑体" w:eastAsia="黑体"/>
                <w:b/>
                <w:sz w:val="21"/>
              </w:rPr>
              <w:t>序列</w:t>
            </w:r>
          </w:p>
        </w:tc>
        <w:tc>
          <w:tcPr>
            <w:tcW w:type="dxa" w:w="2551"/>
          </w:tcPr>
          <w:p>
            <w:pPr>
              <w:jc w:val="center"/>
            </w:pPr>
            <w:r/>
            <w:r>
              <w:rPr>
                <w:rFonts w:ascii="黑体" w:hAnsi="黑体" w:eastAsia="黑体"/>
                <w:b/>
                <w:sz w:val="21"/>
              </w:rPr>
              <w:t>覆盖人群</w:t>
            </w:r>
          </w:p>
        </w:tc>
        <w:tc>
          <w:tcPr>
            <w:tcW w:type="dxa" w:w="2551"/>
          </w:tcPr>
          <w:p>
            <w:pPr>
              <w:jc w:val="center"/>
            </w:pPr>
            <w:r/>
            <w:r>
              <w:rPr>
                <w:rFonts w:ascii="黑体" w:hAnsi="黑体" w:eastAsia="黑体"/>
                <w:b/>
                <w:sz w:val="21"/>
              </w:rPr>
              <w:t>核算侧重</w:t>
            </w:r>
          </w:p>
        </w:tc>
        <w:tc>
          <w:tcPr>
            <w:tcW w:type="dxa" w:w="1701"/>
          </w:tcPr>
          <w:p>
            <w:pPr>
              <w:jc w:val="center"/>
            </w:pPr>
            <w:r/>
            <w:r>
              <w:rPr>
                <w:rFonts w:ascii="黑体" w:hAnsi="黑体" w:eastAsia="黑体"/>
                <w:b/>
                <w:sz w:val="21"/>
              </w:rPr>
              <w:t>固定：浮动比例（参考）</w:t>
            </w:r>
          </w:p>
        </w:tc>
      </w:tr>
      <w:tr>
        <w:tc>
          <w:tcPr>
            <w:tcW w:type="dxa" w:w="2154"/>
          </w:tcPr>
          <w:p>
            <w:r/>
            <w:r>
              <w:rPr>
                <w:rFonts w:ascii="仿宋_GB2312" w:hAnsi="仿宋_GB2312" w:eastAsia="仿宋_GB2312"/>
                <w:b w:val="0"/>
                <w:sz w:val="21"/>
              </w:rPr>
              <w:t>经营管理序列（M）</w:t>
            </w:r>
          </w:p>
        </w:tc>
        <w:tc>
          <w:tcPr>
            <w:tcW w:type="dxa" w:w="2551"/>
          </w:tcPr>
          <w:p>
            <w:r/>
            <w:r>
              <w:rPr>
                <w:rFonts w:ascii="仿宋_GB2312" w:hAnsi="仿宋_GB2312" w:eastAsia="仿宋_GB2312"/>
                <w:b w:val="0"/>
                <w:sz w:val="21"/>
              </w:rPr>
              <w:t>各级管理者、经营单元负责人</w:t>
            </w:r>
          </w:p>
        </w:tc>
        <w:tc>
          <w:tcPr>
            <w:tcW w:type="dxa" w:w="2551"/>
          </w:tcPr>
          <w:p>
            <w:r/>
            <w:r>
              <w:rPr>
                <w:rFonts w:ascii="仿宋_GB2312" w:hAnsi="仿宋_GB2312" w:eastAsia="仿宋_GB2312"/>
                <w:b w:val="0"/>
                <w:sz w:val="21"/>
              </w:rPr>
              <w:t>组织业绩＋个人任务，重结果</w:t>
            </w:r>
          </w:p>
        </w:tc>
        <w:tc>
          <w:tcPr>
            <w:tcW w:type="dxa" w:w="1701"/>
          </w:tcPr>
          <w:p>
            <w:r/>
            <w:r>
              <w:rPr>
                <w:rFonts w:ascii="仿宋_GB2312" w:hAnsi="仿宋_GB2312" w:eastAsia="仿宋_GB2312"/>
                <w:b w:val="0"/>
                <w:sz w:val="21"/>
              </w:rPr>
              <w:t>4：6</w:t>
            </w:r>
          </w:p>
        </w:tc>
      </w:tr>
      <w:tr>
        <w:tc>
          <w:tcPr>
            <w:tcW w:type="dxa" w:w="2154"/>
          </w:tcPr>
          <w:p>
            <w:r/>
            <w:r>
              <w:rPr>
                <w:rFonts w:ascii="仿宋_GB2312" w:hAnsi="仿宋_GB2312" w:eastAsia="仿宋_GB2312"/>
                <w:b w:val="0"/>
                <w:sz w:val="21"/>
              </w:rPr>
              <w:t>专业技术序列（P）</w:t>
            </w:r>
          </w:p>
        </w:tc>
        <w:tc>
          <w:tcPr>
            <w:tcW w:type="dxa" w:w="2551"/>
          </w:tcPr>
          <w:p>
            <w:r/>
            <w:r>
              <w:rPr>
                <w:rFonts w:ascii="仿宋_GB2312" w:hAnsi="仿宋_GB2312" w:eastAsia="仿宋_GB2312"/>
                <w:b w:val="0"/>
                <w:sz w:val="21"/>
              </w:rPr>
              <w:t>研发、技术、专业职能人员</w:t>
            </w:r>
          </w:p>
        </w:tc>
        <w:tc>
          <w:tcPr>
            <w:tcW w:type="dxa" w:w="2551"/>
          </w:tcPr>
          <w:p>
            <w:r/>
            <w:r>
              <w:rPr>
                <w:rFonts w:ascii="仿宋_GB2312" w:hAnsi="仿宋_GB2312" w:eastAsia="仿宋_GB2312"/>
                <w:b w:val="0"/>
                <w:sz w:val="21"/>
              </w:rPr>
              <w:t>项目里程碑＋任务单，重交付</w:t>
            </w:r>
          </w:p>
        </w:tc>
        <w:tc>
          <w:tcPr>
            <w:tcW w:type="dxa" w:w="1701"/>
          </w:tcPr>
          <w:p>
            <w:r/>
            <w:r>
              <w:rPr>
                <w:rFonts w:ascii="仿宋_GB2312" w:hAnsi="仿宋_GB2312" w:eastAsia="仿宋_GB2312"/>
                <w:b w:val="0"/>
                <w:sz w:val="21"/>
              </w:rPr>
              <w:t>5：5</w:t>
            </w:r>
          </w:p>
        </w:tc>
      </w:tr>
      <w:tr>
        <w:tc>
          <w:tcPr>
            <w:tcW w:type="dxa" w:w="2154"/>
          </w:tcPr>
          <w:p>
            <w:r/>
            <w:r>
              <w:rPr>
                <w:rFonts w:ascii="仿宋_GB2312" w:hAnsi="仿宋_GB2312" w:eastAsia="仿宋_GB2312"/>
                <w:b w:val="0"/>
                <w:sz w:val="21"/>
              </w:rPr>
              <w:t>市场营销序列（S）</w:t>
            </w:r>
          </w:p>
        </w:tc>
        <w:tc>
          <w:tcPr>
            <w:tcW w:type="dxa" w:w="2551"/>
          </w:tcPr>
          <w:p>
            <w:r/>
            <w:r>
              <w:rPr>
                <w:rFonts w:ascii="仿宋_GB2312" w:hAnsi="仿宋_GB2312" w:eastAsia="仿宋_GB2312"/>
                <w:b w:val="0"/>
                <w:sz w:val="21"/>
              </w:rPr>
              <w:t>销售、市场、客户经理</w:t>
            </w:r>
          </w:p>
        </w:tc>
        <w:tc>
          <w:tcPr>
            <w:tcW w:type="dxa" w:w="2551"/>
          </w:tcPr>
          <w:p>
            <w:r/>
            <w:r>
              <w:rPr>
                <w:rFonts w:ascii="仿宋_GB2312" w:hAnsi="仿宋_GB2312" w:eastAsia="仿宋_GB2312"/>
                <w:b w:val="0"/>
                <w:sz w:val="21"/>
              </w:rPr>
              <w:t>签单、回款、毛利，重业绩提成</w:t>
            </w:r>
          </w:p>
        </w:tc>
        <w:tc>
          <w:tcPr>
            <w:tcW w:type="dxa" w:w="1701"/>
          </w:tcPr>
          <w:p>
            <w:r/>
            <w:r>
              <w:rPr>
                <w:rFonts w:ascii="仿宋_GB2312" w:hAnsi="仿宋_GB2312" w:eastAsia="仿宋_GB2312"/>
                <w:b w:val="0"/>
                <w:sz w:val="21"/>
              </w:rPr>
              <w:t>3：7</w:t>
            </w:r>
          </w:p>
        </w:tc>
      </w:tr>
      <w:tr>
        <w:tc>
          <w:tcPr>
            <w:tcW w:type="dxa" w:w="2154"/>
          </w:tcPr>
          <w:p>
            <w:r/>
            <w:r>
              <w:rPr>
                <w:rFonts w:ascii="仿宋_GB2312" w:hAnsi="仿宋_GB2312" w:eastAsia="仿宋_GB2312"/>
                <w:b w:val="0"/>
                <w:sz w:val="21"/>
              </w:rPr>
              <w:t>操作支撑序列（O）</w:t>
            </w:r>
          </w:p>
        </w:tc>
        <w:tc>
          <w:tcPr>
            <w:tcW w:type="dxa" w:w="2551"/>
          </w:tcPr>
          <w:p>
            <w:r/>
            <w:r>
              <w:rPr>
                <w:rFonts w:ascii="仿宋_GB2312" w:hAnsi="仿宋_GB2312" w:eastAsia="仿宋_GB2312"/>
                <w:b w:val="0"/>
                <w:sz w:val="21"/>
              </w:rPr>
              <w:t>生产操作、行政后勤、服务保障</w:t>
            </w:r>
          </w:p>
        </w:tc>
        <w:tc>
          <w:tcPr>
            <w:tcW w:type="dxa" w:w="2551"/>
          </w:tcPr>
          <w:p>
            <w:r/>
            <w:r>
              <w:rPr>
                <w:rFonts w:ascii="仿宋_GB2312" w:hAnsi="仿宋_GB2312" w:eastAsia="仿宋_GB2312"/>
                <w:b w:val="0"/>
                <w:sz w:val="21"/>
              </w:rPr>
              <w:t>标准工作量＋服务质量，重稳定</w:t>
            </w:r>
          </w:p>
        </w:tc>
        <w:tc>
          <w:tcPr>
            <w:tcW w:type="dxa" w:w="1701"/>
          </w:tcPr>
          <w:p>
            <w:r/>
            <w:r>
              <w:rPr>
                <w:rFonts w:ascii="仿宋_GB2312" w:hAnsi="仿宋_GB2312" w:eastAsia="仿宋_GB2312"/>
                <w:b w:val="0"/>
                <w:sz w:val="21"/>
              </w:rPr>
              <w:t>7：3</w:t>
            </w:r>
          </w:p>
        </w:tc>
      </w:tr>
    </w:tbl>
    <w:p/>
    <w:p>
      <w:pPr>
        <w:spacing w:before="160" w:after="80"/>
      </w:pPr>
      <w:r>
        <w:rPr>
          <w:rFonts w:ascii="楷体" w:hAnsi="楷体" w:eastAsia="楷体"/>
          <w:b/>
          <w:sz w:val="27"/>
        </w:rPr>
        <w:t>二、人员分级与人员系数</w:t>
      </w:r>
    </w:p>
    <w:p>
      <w:pPr>
        <w:spacing w:line="360" w:lineRule="auto"/>
        <w:ind w:firstLine="480"/>
      </w:pPr>
      <w:r>
        <w:rPr>
          <w:rFonts w:ascii="仿宋_GB2312" w:hAnsi="仿宋_GB2312" w:eastAsia="仿宋_GB2312"/>
          <w:b w:val="0"/>
          <w:sz w:val="24"/>
        </w:rPr>
        <w:t>（一）每个序列内设置职级带宽（如P1～P7），依据能力认证、历史业绩、任职年限综合评定，职级决定岗位固定工资档位。</w:t>
      </w:r>
    </w:p>
    <w:p>
      <w:pPr>
        <w:spacing w:line="360" w:lineRule="auto"/>
        <w:ind w:firstLine="480"/>
      </w:pPr>
      <w:r>
        <w:rPr>
          <w:rFonts w:ascii="仿宋_GB2312" w:hAnsi="仿宋_GB2312" w:eastAsia="仿宋_GB2312"/>
          <w:b w:val="0"/>
          <w:sz w:val="24"/>
        </w:rPr>
        <w:t>（二）设置"人员系数"用于绩效工资计算，体现同分不同价的层级差异与责任差异：初级0.9、中级1.0、高级1.1、资深/专家1.2、核心骨干1.3。人员系数每年评审调整一次，业绩连续优秀者可破格上调。</w:t>
      </w:r>
    </w:p>
    <w:p>
      <w:pPr>
        <w:spacing w:line="360" w:lineRule="auto"/>
        <w:ind w:firstLine="480"/>
      </w:pPr>
      <w:r>
        <w:rPr>
          <w:rFonts w:ascii="仿宋_GB2312" w:hAnsi="仿宋_GB2312" w:eastAsia="仿宋_GB2312"/>
          <w:b w:val="0"/>
          <w:sz w:val="24"/>
        </w:rPr>
        <w:t>（三）动态分级。连续3个月价值分排名序列前10%的，可提请职级/系数上调评审；连续3个月排名后10%且低于基准分70%的，启动下调、转岗或改进计划，真正实现"级随绩动"。</w:t>
      </w:r>
    </w:p>
    <w:p>
      <w:pPr>
        <w:spacing w:before="160" w:after="80"/>
      </w:pPr>
      <w:r>
        <w:rPr>
          <w:rFonts w:ascii="楷体" w:hAnsi="楷体" w:eastAsia="楷体"/>
          <w:b/>
          <w:sz w:val="27"/>
        </w:rPr>
        <w:t>三、基准分与"干与不干"的底线约束</w:t>
      </w:r>
    </w:p>
    <w:p>
      <w:pPr>
        <w:spacing w:line="360" w:lineRule="auto"/>
        <w:ind w:firstLine="480"/>
      </w:pPr>
      <w:r>
        <w:rPr>
          <w:rFonts w:ascii="仿宋_GB2312" w:hAnsi="仿宋_GB2312" w:eastAsia="仿宋_GB2312"/>
          <w:b w:val="0"/>
          <w:sz w:val="24"/>
        </w:rPr>
        <w:t>每个岗位设定"月度基准价值分"（即该岗位正常履职应达到的分值）。当月有效价值分低于基准分60%的，绩效工资为零且启动绩效面谈；连续两个月低于60%的，调整岗位或依法依规处理，确保"不干者不得食"。</w:t>
      </w:r>
    </w:p>
    <w:p>
      <w:pPr>
        <w:spacing w:before="240" w:after="120"/>
      </w:pPr>
      <w:r>
        <w:rPr>
          <w:rFonts w:ascii="黑体" w:hAnsi="黑体" w:eastAsia="黑体"/>
          <w:b/>
          <w:sz w:val="30"/>
        </w:rPr>
        <w:t>第五章  月度绩效核算实施流程</w:t>
      </w:r>
    </w:p>
    <w:p>
      <w:pPr>
        <w:spacing w:before="160" w:after="80"/>
      </w:pPr>
      <w:r>
        <w:rPr>
          <w:rFonts w:ascii="楷体" w:hAnsi="楷体" w:eastAsia="楷体"/>
          <w:b/>
          <w:sz w:val="27"/>
        </w:rPr>
        <w:t>一、月度核算日历</w:t>
      </w:r>
    </w:p>
    <w:tbl>
      <w:tblPr>
        <w:tblStyle w:val="TableGrid"/>
        <w:tblW w:type="auto" w:w="0"/>
        <w:jc w:val="center"/>
        <w:tblLook w:firstColumn="1" w:firstRow="1" w:lastColumn="0" w:lastRow="0" w:noHBand="0" w:noVBand="1" w:val="04A0"/>
      </w:tblPr>
      <w:tblGrid>
        <w:gridCol w:w="3022"/>
        <w:gridCol w:w="3022"/>
        <w:gridCol w:w="3022"/>
      </w:tblGrid>
      <w:tr>
        <w:tc>
          <w:tcPr>
            <w:tcW w:type="dxa" w:w="1814"/>
          </w:tcPr>
          <w:p>
            <w:pPr>
              <w:jc w:val="center"/>
            </w:pPr>
            <w:r/>
            <w:r>
              <w:rPr>
                <w:rFonts w:ascii="黑体" w:hAnsi="黑体" w:eastAsia="黑体"/>
                <w:b/>
                <w:sz w:val="21"/>
              </w:rPr>
              <w:t>时间节点</w:t>
            </w:r>
          </w:p>
        </w:tc>
        <w:tc>
          <w:tcPr>
            <w:tcW w:type="dxa" w:w="4535"/>
          </w:tcPr>
          <w:p>
            <w:pPr>
              <w:jc w:val="center"/>
            </w:pPr>
            <w:r/>
            <w:r>
              <w:rPr>
                <w:rFonts w:ascii="黑体" w:hAnsi="黑体" w:eastAsia="黑体"/>
                <w:b/>
                <w:sz w:val="21"/>
              </w:rPr>
              <w:t>事项</w:t>
            </w:r>
          </w:p>
        </w:tc>
        <w:tc>
          <w:tcPr>
            <w:tcW w:type="dxa" w:w="2154"/>
          </w:tcPr>
          <w:p>
            <w:pPr>
              <w:jc w:val="center"/>
            </w:pPr>
            <w:r/>
            <w:r>
              <w:rPr>
                <w:rFonts w:ascii="黑体" w:hAnsi="黑体" w:eastAsia="黑体"/>
                <w:b/>
                <w:sz w:val="21"/>
              </w:rPr>
              <w:t>责任主体</w:t>
            </w:r>
          </w:p>
        </w:tc>
      </w:tr>
      <w:tr>
        <w:tc>
          <w:tcPr>
            <w:tcW w:type="dxa" w:w="1814"/>
          </w:tcPr>
          <w:p>
            <w:r/>
            <w:r>
              <w:rPr>
                <w:rFonts w:ascii="仿宋_GB2312" w:hAnsi="仿宋_GB2312" w:eastAsia="仿宋_GB2312"/>
                <w:b w:val="0"/>
                <w:sz w:val="21"/>
              </w:rPr>
              <w:t>每月25日前</w:t>
            </w:r>
          </w:p>
        </w:tc>
        <w:tc>
          <w:tcPr>
            <w:tcW w:type="dxa" w:w="4535"/>
          </w:tcPr>
          <w:p>
            <w:r/>
            <w:r>
              <w:rPr>
                <w:rFonts w:ascii="仿宋_GB2312" w:hAnsi="仿宋_GB2312" w:eastAsia="仿宋_GB2312"/>
                <w:b w:val="0"/>
                <w:sz w:val="21"/>
              </w:rPr>
              <w:t>下月任务单下达/申报，标准分定价确认</w:t>
            </w:r>
          </w:p>
        </w:tc>
        <w:tc>
          <w:tcPr>
            <w:tcW w:type="dxa" w:w="2154"/>
          </w:tcPr>
          <w:p>
            <w:r/>
            <w:r>
              <w:rPr>
                <w:rFonts w:ascii="仿宋_GB2312" w:hAnsi="仿宋_GB2312" w:eastAsia="仿宋_GB2312"/>
                <w:b w:val="0"/>
                <w:sz w:val="21"/>
              </w:rPr>
              <w:t>部门负责人、员工</w:t>
            </w:r>
          </w:p>
        </w:tc>
      </w:tr>
      <w:tr>
        <w:tc>
          <w:tcPr>
            <w:tcW w:type="dxa" w:w="1814"/>
          </w:tcPr>
          <w:p>
            <w:r/>
            <w:r>
              <w:rPr>
                <w:rFonts w:ascii="仿宋_GB2312" w:hAnsi="仿宋_GB2312" w:eastAsia="仿宋_GB2312"/>
                <w:b w:val="0"/>
                <w:sz w:val="21"/>
              </w:rPr>
              <w:t>当月1—31日</w:t>
            </w:r>
          </w:p>
        </w:tc>
        <w:tc>
          <w:tcPr>
            <w:tcW w:type="dxa" w:w="4535"/>
          </w:tcPr>
          <w:p>
            <w:r/>
            <w:r>
              <w:rPr>
                <w:rFonts w:ascii="仿宋_GB2312" w:hAnsi="仿宋_GB2312" w:eastAsia="仿宋_GB2312"/>
                <w:b w:val="0"/>
                <w:sz w:val="21"/>
              </w:rPr>
              <w:t>任务执行、进展登记（每周更新）、异常申报</w:t>
            </w:r>
          </w:p>
        </w:tc>
        <w:tc>
          <w:tcPr>
            <w:tcW w:type="dxa" w:w="2154"/>
          </w:tcPr>
          <w:p>
            <w:r/>
            <w:r>
              <w:rPr>
                <w:rFonts w:ascii="仿宋_GB2312" w:hAnsi="仿宋_GB2312" w:eastAsia="仿宋_GB2312"/>
                <w:b w:val="0"/>
                <w:sz w:val="21"/>
              </w:rPr>
              <w:t>员工、任务负责人</w:t>
            </w:r>
          </w:p>
        </w:tc>
      </w:tr>
      <w:tr>
        <w:tc>
          <w:tcPr>
            <w:tcW w:type="dxa" w:w="1814"/>
          </w:tcPr>
          <w:p>
            <w:r/>
            <w:r>
              <w:rPr>
                <w:rFonts w:ascii="仿宋_GB2312" w:hAnsi="仿宋_GB2312" w:eastAsia="仿宋_GB2312"/>
                <w:b w:val="0"/>
                <w:sz w:val="21"/>
              </w:rPr>
              <w:t>次月1—3日</w:t>
            </w:r>
          </w:p>
        </w:tc>
        <w:tc>
          <w:tcPr>
            <w:tcW w:type="dxa" w:w="4535"/>
          </w:tcPr>
          <w:p>
            <w:r/>
            <w:r>
              <w:rPr>
                <w:rFonts w:ascii="仿宋_GB2312" w:hAnsi="仿宋_GB2312" w:eastAsia="仿宋_GB2312"/>
                <w:b w:val="0"/>
                <w:sz w:val="21"/>
              </w:rPr>
              <w:t>任务验收、进展状态认定、质量评定</w:t>
            </w:r>
          </w:p>
        </w:tc>
        <w:tc>
          <w:tcPr>
            <w:tcW w:type="dxa" w:w="2154"/>
          </w:tcPr>
          <w:p>
            <w:r/>
            <w:r>
              <w:rPr>
                <w:rFonts w:ascii="仿宋_GB2312" w:hAnsi="仿宋_GB2312" w:eastAsia="仿宋_GB2312"/>
                <w:b w:val="0"/>
                <w:sz w:val="21"/>
              </w:rPr>
              <w:t>验收人、直接上级</w:t>
            </w:r>
          </w:p>
        </w:tc>
      </w:tr>
      <w:tr>
        <w:tc>
          <w:tcPr>
            <w:tcW w:type="dxa" w:w="1814"/>
          </w:tcPr>
          <w:p>
            <w:r/>
            <w:r>
              <w:rPr>
                <w:rFonts w:ascii="仿宋_GB2312" w:hAnsi="仿宋_GB2312" w:eastAsia="仿宋_GB2312"/>
                <w:b w:val="0"/>
                <w:sz w:val="21"/>
              </w:rPr>
              <w:t>次月4—6日</w:t>
            </w:r>
          </w:p>
        </w:tc>
        <w:tc>
          <w:tcPr>
            <w:tcW w:type="dxa" w:w="4535"/>
          </w:tcPr>
          <w:p>
            <w:r/>
            <w:r>
              <w:rPr>
                <w:rFonts w:ascii="仿宋_GB2312" w:hAnsi="仿宋_GB2312" w:eastAsia="仿宋_GB2312"/>
                <w:b w:val="0"/>
                <w:sz w:val="21"/>
              </w:rPr>
              <w:t>个人价值分核算、部门内公示（不少于2个工作日）</w:t>
            </w:r>
          </w:p>
        </w:tc>
        <w:tc>
          <w:tcPr>
            <w:tcW w:type="dxa" w:w="2154"/>
          </w:tcPr>
          <w:p>
            <w:r/>
            <w:r>
              <w:rPr>
                <w:rFonts w:ascii="仿宋_GB2312" w:hAnsi="仿宋_GB2312" w:eastAsia="仿宋_GB2312"/>
                <w:b w:val="0"/>
                <w:sz w:val="21"/>
              </w:rPr>
              <w:t>核算专员、HRBP</w:t>
            </w:r>
          </w:p>
        </w:tc>
      </w:tr>
      <w:tr>
        <w:tc>
          <w:tcPr>
            <w:tcW w:type="dxa" w:w="1814"/>
          </w:tcPr>
          <w:p>
            <w:r/>
            <w:r>
              <w:rPr>
                <w:rFonts w:ascii="仿宋_GB2312" w:hAnsi="仿宋_GB2312" w:eastAsia="仿宋_GB2312"/>
                <w:b w:val="0"/>
                <w:sz w:val="21"/>
              </w:rPr>
              <w:t>次月7—8日</w:t>
            </w:r>
          </w:p>
        </w:tc>
        <w:tc>
          <w:tcPr>
            <w:tcW w:type="dxa" w:w="4535"/>
          </w:tcPr>
          <w:p>
            <w:r/>
            <w:r>
              <w:rPr>
                <w:rFonts w:ascii="仿宋_GB2312" w:hAnsi="仿宋_GB2312" w:eastAsia="仿宋_GB2312"/>
                <w:b w:val="0"/>
                <w:sz w:val="21"/>
              </w:rPr>
              <w:t>异议申诉与复核</w:t>
            </w:r>
          </w:p>
        </w:tc>
        <w:tc>
          <w:tcPr>
            <w:tcW w:type="dxa" w:w="2154"/>
          </w:tcPr>
          <w:p>
            <w:r/>
            <w:r>
              <w:rPr>
                <w:rFonts w:ascii="仿宋_GB2312" w:hAnsi="仿宋_GB2312" w:eastAsia="仿宋_GB2312"/>
                <w:b w:val="0"/>
                <w:sz w:val="21"/>
              </w:rPr>
              <w:t>绩效委员会</w:t>
            </w:r>
          </w:p>
        </w:tc>
      </w:tr>
      <w:tr>
        <w:tc>
          <w:tcPr>
            <w:tcW w:type="dxa" w:w="1814"/>
          </w:tcPr>
          <w:p>
            <w:r/>
            <w:r>
              <w:rPr>
                <w:rFonts w:ascii="仿宋_GB2312" w:hAnsi="仿宋_GB2312" w:eastAsia="仿宋_GB2312"/>
                <w:b w:val="0"/>
                <w:sz w:val="21"/>
              </w:rPr>
              <w:t>次月9—10日</w:t>
            </w:r>
          </w:p>
        </w:tc>
        <w:tc>
          <w:tcPr>
            <w:tcW w:type="dxa" w:w="4535"/>
          </w:tcPr>
          <w:p>
            <w:r/>
            <w:r>
              <w:rPr>
                <w:rFonts w:ascii="仿宋_GB2312" w:hAnsi="仿宋_GB2312" w:eastAsia="仿宋_GB2312"/>
                <w:b w:val="0"/>
                <w:sz w:val="21"/>
              </w:rPr>
              <w:t>核算结果审批、生成工资数据</w:t>
            </w:r>
          </w:p>
        </w:tc>
        <w:tc>
          <w:tcPr>
            <w:tcW w:type="dxa" w:w="2154"/>
          </w:tcPr>
          <w:p>
            <w:r/>
            <w:r>
              <w:rPr>
                <w:rFonts w:ascii="仿宋_GB2312" w:hAnsi="仿宋_GB2312" w:eastAsia="仿宋_GB2312"/>
                <w:b w:val="0"/>
                <w:sz w:val="21"/>
              </w:rPr>
              <w:t>HR、财务</w:t>
            </w:r>
          </w:p>
        </w:tc>
      </w:tr>
      <w:tr>
        <w:tc>
          <w:tcPr>
            <w:tcW w:type="dxa" w:w="1814"/>
          </w:tcPr>
          <w:p>
            <w:r/>
            <w:r>
              <w:rPr>
                <w:rFonts w:ascii="仿宋_GB2312" w:hAnsi="仿宋_GB2312" w:eastAsia="仿宋_GB2312"/>
                <w:b w:val="0"/>
                <w:sz w:val="21"/>
              </w:rPr>
              <w:t>次月15日（发薪日）</w:t>
            </w:r>
          </w:p>
        </w:tc>
        <w:tc>
          <w:tcPr>
            <w:tcW w:type="dxa" w:w="4535"/>
          </w:tcPr>
          <w:p>
            <w:r/>
            <w:r>
              <w:rPr>
                <w:rFonts w:ascii="仿宋_GB2312" w:hAnsi="仿宋_GB2312" w:eastAsia="仿宋_GB2312"/>
                <w:b w:val="0"/>
                <w:sz w:val="21"/>
              </w:rPr>
              <w:t>分类发放当月工资</w:t>
            </w:r>
          </w:p>
        </w:tc>
        <w:tc>
          <w:tcPr>
            <w:tcW w:type="dxa" w:w="2154"/>
          </w:tcPr>
          <w:p>
            <w:r/>
            <w:r>
              <w:rPr>
                <w:rFonts w:ascii="仿宋_GB2312" w:hAnsi="仿宋_GB2312" w:eastAsia="仿宋_GB2312"/>
                <w:b w:val="0"/>
                <w:sz w:val="21"/>
              </w:rPr>
              <w:t>财务</w:t>
            </w:r>
          </w:p>
        </w:tc>
      </w:tr>
    </w:tbl>
    <w:p/>
    <w:p>
      <w:pPr>
        <w:spacing w:before="160" w:after="80"/>
      </w:pPr>
      <w:r>
        <w:rPr>
          <w:rFonts w:ascii="楷体" w:hAnsi="楷体" w:eastAsia="楷体"/>
          <w:b/>
          <w:sz w:val="27"/>
        </w:rPr>
        <w:t>二、核算主体与三级确认</w:t>
      </w:r>
    </w:p>
    <w:p>
      <w:pPr>
        <w:spacing w:line="360" w:lineRule="auto"/>
        <w:ind w:firstLine="480"/>
      </w:pPr>
      <w:r>
        <w:rPr>
          <w:rFonts w:ascii="仿宋_GB2312" w:hAnsi="仿宋_GB2312" w:eastAsia="仿宋_GB2312"/>
          <w:b w:val="0"/>
          <w:sz w:val="24"/>
        </w:rPr>
        <w:t>实行"员工自报—上级/验收人认定—核算专员复核"三级确认机制：员工按任务单登记完成情况并自评；直接上级或指定验收人在3个工作日内认定进展状态与质量系数，逾期未认定的按员工自报预结（事后可纠错）；HRBP/核算专员复核计算口径与数据，杜绝人为凑分。</w:t>
      </w:r>
    </w:p>
    <w:p>
      <w:pPr>
        <w:spacing w:before="160" w:after="80"/>
      </w:pPr>
      <w:r>
        <w:rPr>
          <w:rFonts w:ascii="楷体" w:hAnsi="楷体" w:eastAsia="楷体"/>
          <w:b/>
          <w:sz w:val="27"/>
        </w:rPr>
        <w:t>三、公示、申诉与纠错</w:t>
      </w:r>
    </w:p>
    <w:p>
      <w:pPr>
        <w:spacing w:line="360" w:lineRule="auto"/>
        <w:ind w:firstLine="480"/>
      </w:pPr>
      <w:r>
        <w:rPr>
          <w:rFonts w:ascii="仿宋_GB2312" w:hAnsi="仿宋_GB2312" w:eastAsia="仿宋_GB2312"/>
          <w:b w:val="0"/>
          <w:sz w:val="24"/>
        </w:rPr>
        <w:t>（一）个人价值分明细（任务、状态、得分）在部门内公示，本人可查全量明细，他人可查汇总排名，兼顾透明与隐私。</w:t>
      </w:r>
    </w:p>
    <w:p>
      <w:pPr>
        <w:spacing w:line="360" w:lineRule="auto"/>
        <w:ind w:firstLine="480"/>
      </w:pPr>
      <w:r>
        <w:rPr>
          <w:rFonts w:ascii="仿宋_GB2312" w:hAnsi="仿宋_GB2312" w:eastAsia="仿宋_GB2312"/>
          <w:b w:val="0"/>
          <w:sz w:val="24"/>
        </w:rPr>
        <w:t>（二）员工对核算结果有异议的，公示期内向绩效委员会书面申诉，委员会5个工作日内答复；申诉不影响当期按已认定部分先行发放，复核改判的差额在次月补发或扣回。</w:t>
      </w:r>
    </w:p>
    <w:p>
      <w:pPr>
        <w:spacing w:line="360" w:lineRule="auto"/>
        <w:ind w:firstLine="480"/>
      </w:pPr>
      <w:r>
        <w:rPr>
          <w:rFonts w:ascii="仿宋_GB2312" w:hAnsi="仿宋_GB2312" w:eastAsia="仿宋_GB2312"/>
          <w:b w:val="0"/>
          <w:sz w:val="24"/>
        </w:rPr>
        <w:t>（三）发现虚报、串通刷分的，扣回相应得分并按当次得分的2倍扣减，情节严重的按违纪处理。</w:t>
      </w:r>
    </w:p>
    <w:p>
      <w:pPr>
        <w:spacing w:before="240" w:after="120"/>
      </w:pPr>
      <w:r>
        <w:rPr>
          <w:rFonts w:ascii="黑体" w:hAnsi="黑体" w:eastAsia="黑体"/>
          <w:b/>
          <w:sz w:val="30"/>
        </w:rPr>
        <w:t>第六章  月度工资分类发放规则</w:t>
      </w:r>
    </w:p>
    <w:p>
      <w:pPr>
        <w:spacing w:before="160" w:after="80"/>
      </w:pPr>
      <w:r>
        <w:rPr>
          <w:rFonts w:ascii="楷体" w:hAnsi="楷体" w:eastAsia="楷体"/>
          <w:b/>
          <w:sz w:val="27"/>
        </w:rPr>
        <w:t>一、工资四通道结构</w:t>
      </w:r>
    </w:p>
    <w:tbl>
      <w:tblPr>
        <w:tblStyle w:val="TableGrid"/>
        <w:tblW w:type="auto" w:w="0"/>
        <w:jc w:val="center"/>
        <w:tblLook w:firstColumn="1" w:firstRow="1" w:lastColumn="0" w:lastRow="0" w:noHBand="0" w:noVBand="1" w:val="04A0"/>
      </w:tblPr>
      <w:tblGrid>
        <w:gridCol w:w="3022"/>
        <w:gridCol w:w="3022"/>
        <w:gridCol w:w="3022"/>
      </w:tblGrid>
      <w:tr>
        <w:tc>
          <w:tcPr>
            <w:tcW w:type="dxa" w:w="1417"/>
          </w:tcPr>
          <w:p>
            <w:pPr>
              <w:jc w:val="center"/>
            </w:pPr>
            <w:r/>
            <w:r>
              <w:rPr>
                <w:rFonts w:ascii="黑体" w:hAnsi="黑体" w:eastAsia="黑体"/>
                <w:b/>
                <w:sz w:val="21"/>
              </w:rPr>
              <w:t>通道</w:t>
            </w:r>
          </w:p>
        </w:tc>
        <w:tc>
          <w:tcPr>
            <w:tcW w:type="dxa" w:w="3402"/>
          </w:tcPr>
          <w:p>
            <w:pPr>
              <w:jc w:val="center"/>
            </w:pPr>
            <w:r/>
            <w:r>
              <w:rPr>
                <w:rFonts w:ascii="黑体" w:hAnsi="黑体" w:eastAsia="黑体"/>
                <w:b/>
                <w:sz w:val="21"/>
              </w:rPr>
              <w:t>构成</w:t>
            </w:r>
          </w:p>
        </w:tc>
        <w:tc>
          <w:tcPr>
            <w:tcW w:type="dxa" w:w="3969"/>
          </w:tcPr>
          <w:p>
            <w:pPr>
              <w:jc w:val="center"/>
            </w:pPr>
            <w:r/>
            <w:r>
              <w:rPr>
                <w:rFonts w:ascii="黑体" w:hAnsi="黑体" w:eastAsia="黑体"/>
                <w:b/>
                <w:sz w:val="21"/>
              </w:rPr>
              <w:t>发放规则</w:t>
            </w:r>
          </w:p>
        </w:tc>
      </w:tr>
      <w:tr>
        <w:tc>
          <w:tcPr>
            <w:tcW w:type="dxa" w:w="1417"/>
          </w:tcPr>
          <w:p>
            <w:r/>
            <w:r>
              <w:rPr>
                <w:rFonts w:ascii="仿宋_GB2312" w:hAnsi="仿宋_GB2312" w:eastAsia="仿宋_GB2312"/>
                <w:b w:val="0"/>
                <w:sz w:val="21"/>
              </w:rPr>
              <w:t>①固定保障</w:t>
            </w:r>
          </w:p>
        </w:tc>
        <w:tc>
          <w:tcPr>
            <w:tcW w:type="dxa" w:w="3402"/>
          </w:tcPr>
          <w:p>
            <w:r/>
            <w:r>
              <w:rPr>
                <w:rFonts w:ascii="仿宋_GB2312" w:hAnsi="仿宋_GB2312" w:eastAsia="仿宋_GB2312"/>
                <w:b w:val="0"/>
                <w:sz w:val="21"/>
              </w:rPr>
              <w:t>岗位固定工资＋法定津补贴</w:t>
            </w:r>
          </w:p>
        </w:tc>
        <w:tc>
          <w:tcPr>
            <w:tcW w:type="dxa" w:w="3969"/>
          </w:tcPr>
          <w:p>
            <w:r/>
            <w:r>
              <w:rPr>
                <w:rFonts w:ascii="仿宋_GB2312" w:hAnsi="仿宋_GB2312" w:eastAsia="仿宋_GB2312"/>
                <w:b w:val="0"/>
                <w:sz w:val="21"/>
              </w:rPr>
              <w:t>按月足额发放，保障基本生活与合规底线</w:t>
            </w:r>
          </w:p>
        </w:tc>
      </w:tr>
      <w:tr>
        <w:tc>
          <w:tcPr>
            <w:tcW w:type="dxa" w:w="1417"/>
          </w:tcPr>
          <w:p>
            <w:r/>
            <w:r>
              <w:rPr>
                <w:rFonts w:ascii="仿宋_GB2312" w:hAnsi="仿宋_GB2312" w:eastAsia="仿宋_GB2312"/>
                <w:b w:val="0"/>
                <w:sz w:val="21"/>
              </w:rPr>
              <w:t>②月度绩效</w:t>
            </w:r>
          </w:p>
        </w:tc>
        <w:tc>
          <w:tcPr>
            <w:tcW w:type="dxa" w:w="3402"/>
          </w:tcPr>
          <w:p>
            <w:r/>
            <w:r>
              <w:rPr>
                <w:rFonts w:ascii="仿宋_GB2312" w:hAnsi="仿宋_GB2312" w:eastAsia="仿宋_GB2312"/>
                <w:b w:val="0"/>
                <w:sz w:val="21"/>
              </w:rPr>
              <w:t>有效价值分×分值单价×人员系数×组织效益系数</w:t>
            </w:r>
          </w:p>
        </w:tc>
        <w:tc>
          <w:tcPr>
            <w:tcW w:type="dxa" w:w="3969"/>
          </w:tcPr>
          <w:p>
            <w:r/>
            <w:r>
              <w:rPr>
                <w:rFonts w:ascii="仿宋_GB2312" w:hAnsi="仿宋_GB2312" w:eastAsia="仿宋_GB2312"/>
                <w:b w:val="0"/>
                <w:sz w:val="21"/>
              </w:rPr>
              <w:t>按月核算、次月发薪日发放，上不封顶、下可为零</w:t>
            </w:r>
          </w:p>
        </w:tc>
      </w:tr>
      <w:tr>
        <w:tc>
          <w:tcPr>
            <w:tcW w:type="dxa" w:w="1417"/>
          </w:tcPr>
          <w:p>
            <w:r/>
            <w:r>
              <w:rPr>
                <w:rFonts w:ascii="仿宋_GB2312" w:hAnsi="仿宋_GB2312" w:eastAsia="仿宋_GB2312"/>
                <w:b w:val="0"/>
                <w:sz w:val="21"/>
              </w:rPr>
              <w:t>③专项激励</w:t>
            </w:r>
          </w:p>
        </w:tc>
        <w:tc>
          <w:tcPr>
            <w:tcW w:type="dxa" w:w="3402"/>
          </w:tcPr>
          <w:p>
            <w:r/>
            <w:r>
              <w:rPr>
                <w:rFonts w:ascii="仿宋_GB2312" w:hAnsi="仿宋_GB2312" w:eastAsia="仿宋_GB2312"/>
                <w:b w:val="0"/>
                <w:sz w:val="21"/>
              </w:rPr>
              <w:t>D类创新改善奖、专项攻关奖、即时奖励（红包奖）</w:t>
            </w:r>
          </w:p>
        </w:tc>
        <w:tc>
          <w:tcPr>
            <w:tcW w:type="dxa" w:w="3969"/>
          </w:tcPr>
          <w:p>
            <w:r/>
            <w:r>
              <w:rPr>
                <w:rFonts w:ascii="仿宋_GB2312" w:hAnsi="仿宋_GB2312" w:eastAsia="仿宋_GB2312"/>
                <w:b w:val="0"/>
                <w:sz w:val="21"/>
              </w:rPr>
              <w:t>按项目/事件触发，随最近一个发薪日发放</w:t>
            </w:r>
          </w:p>
        </w:tc>
      </w:tr>
      <w:tr>
        <w:tc>
          <w:tcPr>
            <w:tcW w:type="dxa" w:w="1417"/>
          </w:tcPr>
          <w:p>
            <w:r/>
            <w:r>
              <w:rPr>
                <w:rFonts w:ascii="仿宋_GB2312" w:hAnsi="仿宋_GB2312" w:eastAsia="仿宋_GB2312"/>
                <w:b w:val="0"/>
                <w:sz w:val="21"/>
              </w:rPr>
              <w:t>④递延兑现</w:t>
            </w:r>
          </w:p>
        </w:tc>
        <w:tc>
          <w:tcPr>
            <w:tcW w:type="dxa" w:w="3402"/>
          </w:tcPr>
          <w:p>
            <w:r/>
            <w:r>
              <w:rPr>
                <w:rFonts w:ascii="仿宋_GB2312" w:hAnsi="仿宋_GB2312" w:eastAsia="仿宋_GB2312"/>
                <w:b w:val="0"/>
                <w:sz w:val="21"/>
              </w:rPr>
              <w:t>长周期任务结果分、大额激励的递延部分</w:t>
            </w:r>
          </w:p>
        </w:tc>
        <w:tc>
          <w:tcPr>
            <w:tcW w:type="dxa" w:w="3969"/>
          </w:tcPr>
          <w:p>
            <w:r/>
            <w:r>
              <w:rPr>
                <w:rFonts w:ascii="仿宋_GB2312" w:hAnsi="仿宋_GB2312" w:eastAsia="仿宋_GB2312"/>
                <w:b w:val="0"/>
                <w:sz w:val="21"/>
              </w:rPr>
              <w:t>验收/回款达成后兑现；大额激励超过月固定工资2倍的部分递延1—3个月分期发放</w:t>
            </w:r>
          </w:p>
        </w:tc>
      </w:tr>
    </w:tbl>
    <w:p/>
    <w:p>
      <w:pPr>
        <w:spacing w:before="160" w:after="80"/>
      </w:pPr>
      <w:r>
        <w:rPr>
          <w:rFonts w:ascii="楷体" w:hAnsi="楷体" w:eastAsia="楷体"/>
          <w:b/>
          <w:sz w:val="27"/>
        </w:rPr>
        <w:t>二、分门别类的发放口径</w:t>
      </w:r>
    </w:p>
    <w:p>
      <w:pPr>
        <w:spacing w:line="360" w:lineRule="auto"/>
        <w:ind w:firstLine="480"/>
      </w:pPr>
      <w:r>
        <w:rPr>
          <w:rFonts w:ascii="仿宋_GB2312" w:hAnsi="仿宋_GB2312" w:eastAsia="仿宋_GB2312"/>
          <w:b w:val="0"/>
          <w:sz w:val="24"/>
        </w:rPr>
        <w:t>（一）经营管理序列（M）：月度绩效与所辖单元当月经营结果联动，组织效益系数取所辖单元效益系数（0.7～1.3），个人任务分占40%、组织业绩折算分占60%；年度另设经营目标兑现奖，月度按目标进度预兑60%，年终清算多退少补。</w:t>
      </w:r>
    </w:p>
    <w:p>
      <w:pPr>
        <w:spacing w:line="360" w:lineRule="auto"/>
        <w:ind w:firstLine="480"/>
      </w:pPr>
      <w:r>
        <w:rPr>
          <w:rFonts w:ascii="仿宋_GB2312" w:hAnsi="仿宋_GB2312" w:eastAsia="仿宋_GB2312"/>
          <w:b w:val="0"/>
          <w:sz w:val="24"/>
        </w:rPr>
        <w:t>（二）专业技术序列（P）：以任务单和项目里程碑为主要计分来源，已验收里程碑当月全额兑现，整体结果分按递延通道在项目验收后兑现；关键技术攻关可申请"揭榜挂帅"专项激励。</w:t>
      </w:r>
    </w:p>
    <w:p>
      <w:pPr>
        <w:spacing w:line="360" w:lineRule="auto"/>
        <w:ind w:firstLine="480"/>
      </w:pPr>
      <w:r>
        <w:rPr>
          <w:rFonts w:ascii="仿宋_GB2312" w:hAnsi="仿宋_GB2312" w:eastAsia="仿宋_GB2312"/>
          <w:b w:val="0"/>
          <w:sz w:val="24"/>
        </w:rPr>
        <w:t>（三）市场营销序列（S）：绩效部分以业绩提成为主，按"签单计提50%、回款计提50%"分段兑现，回款是最终兑现前提；月度价值分主要用于过程管理（客户拜访、商机推进等B类任务），过程分低于基准60%的当月提成打九折，防止"只摘果、不耕田"。</w:t>
      </w:r>
    </w:p>
    <w:p>
      <w:pPr>
        <w:spacing w:line="360" w:lineRule="auto"/>
        <w:ind w:firstLine="480"/>
      </w:pPr>
      <w:r>
        <w:rPr>
          <w:rFonts w:ascii="仿宋_GB2312" w:hAnsi="仿宋_GB2312" w:eastAsia="仿宋_GB2312"/>
          <w:b w:val="0"/>
          <w:sz w:val="24"/>
        </w:rPr>
        <w:t>（四）操作支撑序列（O）：以标准工作量计件/计时为主，超额部分按超额累进单价计酬（超额10%以内按1.1倍单价、超额10%以上部分按1.2倍单价），内部客户满意度低于80分的当月绩效打九折。</w:t>
      </w:r>
    </w:p>
    <w:p>
      <w:pPr>
        <w:spacing w:before="160" w:after="80"/>
      </w:pPr>
      <w:r>
        <w:rPr>
          <w:rFonts w:ascii="楷体" w:hAnsi="楷体" w:eastAsia="楷体"/>
          <w:b/>
          <w:sz w:val="27"/>
        </w:rPr>
        <w:t>三、组织效益系数与总额管控</w:t>
      </w:r>
    </w:p>
    <w:p>
      <w:pPr>
        <w:spacing w:line="360" w:lineRule="auto"/>
        <w:ind w:firstLine="480"/>
      </w:pPr>
      <w:r>
        <w:rPr>
          <w:rFonts w:ascii="仿宋_GB2312" w:hAnsi="仿宋_GB2312" w:eastAsia="仿宋_GB2312"/>
          <w:b w:val="0"/>
          <w:sz w:val="24"/>
        </w:rPr>
        <w:t>月度绩效薪酬包与公司当月经营效益联动，组织效益系数区间为0.7～1.3：公司效益好时全员共享增量，效益差时共同承压，但①通道固定保障部分不受影响。分值单价＝当月可分配绩效薪酬包÷全员有效价值分总量，由财务与HR联合测算并经绩效委员会审定。</w:t>
      </w:r>
    </w:p>
    <w:p>
      <w:pPr>
        <w:spacing w:before="160" w:after="80"/>
      </w:pPr>
      <w:r>
        <w:rPr>
          <w:rFonts w:ascii="楷体" w:hAnsi="楷体" w:eastAsia="楷体"/>
          <w:b/>
          <w:sz w:val="27"/>
        </w:rPr>
        <w:t>四、特殊情形处理</w:t>
      </w:r>
    </w:p>
    <w:p>
      <w:pPr>
        <w:spacing w:line="360" w:lineRule="auto"/>
        <w:ind w:firstLine="480"/>
      </w:pPr>
      <w:r>
        <w:rPr>
          <w:rFonts w:ascii="仿宋_GB2312" w:hAnsi="仿宋_GB2312" w:eastAsia="仿宋_GB2312"/>
          <w:b w:val="0"/>
          <w:sz w:val="24"/>
        </w:rPr>
        <w:t>（一）新入职员工：前3个月为核算适应期，绩效工资按"实际核算结果与保底系数0.8孰高"发放。</w:t>
      </w:r>
    </w:p>
    <w:p>
      <w:pPr>
        <w:spacing w:line="360" w:lineRule="auto"/>
        <w:ind w:firstLine="480"/>
      </w:pPr>
      <w:r>
        <w:rPr>
          <w:rFonts w:ascii="仿宋_GB2312" w:hAnsi="仿宋_GB2312" w:eastAsia="仿宋_GB2312"/>
          <w:b w:val="0"/>
          <w:sz w:val="24"/>
        </w:rPr>
        <w:t>（二）请假与非全月在岗：固定部分按考勤规则计发；绩效部分按实际计分结果发放，不做出勤折算（干了就算、没干不算）。</w:t>
      </w:r>
    </w:p>
    <w:p>
      <w:pPr>
        <w:spacing w:line="360" w:lineRule="auto"/>
        <w:ind w:firstLine="480"/>
      </w:pPr>
      <w:r>
        <w:rPr>
          <w:rFonts w:ascii="仿宋_GB2312" w:hAnsi="仿宋_GB2312" w:eastAsia="仿宋_GB2312"/>
          <w:b w:val="0"/>
          <w:sz w:val="24"/>
        </w:rPr>
        <w:t>（三）转岗、调动：当月分段核算，分段计发。</w:t>
      </w:r>
    </w:p>
    <w:p>
      <w:pPr>
        <w:spacing w:line="360" w:lineRule="auto"/>
        <w:ind w:firstLine="480"/>
      </w:pPr>
      <w:r>
        <w:rPr>
          <w:rFonts w:ascii="仿宋_GB2312" w:hAnsi="仿宋_GB2312" w:eastAsia="仿宋_GB2312"/>
          <w:b w:val="0"/>
          <w:sz w:val="24"/>
        </w:rPr>
        <w:t>（四）合规底线：任一员工当月固定保障部分不得低于当地最低工资标准，绩效倒扣仅在绩效工资范围内执行，不触及固定保障部分。</w:t>
      </w:r>
    </w:p>
    <w:p>
      <w:pPr>
        <w:spacing w:before="240" w:after="120"/>
      </w:pPr>
      <w:r>
        <w:rPr>
          <w:rFonts w:ascii="黑体" w:hAnsi="黑体" w:eastAsia="黑体"/>
          <w:b/>
          <w:sz w:val="30"/>
        </w:rPr>
        <w:t>第七章  组织与制度保障</w:t>
      </w:r>
    </w:p>
    <w:p>
      <w:pPr>
        <w:spacing w:before="160" w:after="80"/>
      </w:pPr>
      <w:r>
        <w:rPr>
          <w:rFonts w:ascii="楷体" w:hAnsi="楷体" w:eastAsia="楷体"/>
          <w:b/>
          <w:sz w:val="27"/>
        </w:rPr>
        <w:t>一、组织保障</w:t>
      </w:r>
    </w:p>
    <w:p>
      <w:pPr>
        <w:spacing w:line="360" w:lineRule="auto"/>
        <w:ind w:firstLine="480"/>
      </w:pPr>
      <w:r>
        <w:rPr>
          <w:rFonts w:ascii="仿宋_GB2312" w:hAnsi="仿宋_GB2312" w:eastAsia="仿宋_GB2312"/>
          <w:b w:val="0"/>
          <w:sz w:val="24"/>
        </w:rPr>
        <w:t>（一）成立公司绩效管理委员会，由总经理任主任，HR、财务、各体系负责人参加，负责规则审定、分值单价审定、申诉裁决与重大争议处理。</w:t>
      </w:r>
    </w:p>
    <w:p>
      <w:pPr>
        <w:spacing w:line="360" w:lineRule="auto"/>
        <w:ind w:firstLine="480"/>
      </w:pPr>
      <w:r>
        <w:rPr>
          <w:rFonts w:ascii="仿宋_GB2312" w:hAnsi="仿宋_GB2312" w:eastAsia="仿宋_GB2312"/>
          <w:b w:val="0"/>
          <w:sz w:val="24"/>
        </w:rPr>
        <w:t>（二）各部门设兼职核算专员，HRBP负责核算过程督导与数据质量抽查；财务负责薪酬包测算与发放合规。</w:t>
      </w:r>
    </w:p>
    <w:p>
      <w:pPr>
        <w:spacing w:before="160" w:after="80"/>
      </w:pPr>
      <w:r>
        <w:rPr>
          <w:rFonts w:ascii="楷体" w:hAnsi="楷体" w:eastAsia="楷体"/>
          <w:b/>
          <w:sz w:val="27"/>
        </w:rPr>
        <w:t>二、数字化保障</w:t>
      </w:r>
    </w:p>
    <w:p>
      <w:pPr>
        <w:spacing w:line="360" w:lineRule="auto"/>
        <w:ind w:firstLine="480"/>
      </w:pPr>
      <w:r>
        <w:rPr>
          <w:rFonts w:ascii="仿宋_GB2312" w:hAnsi="仿宋_GB2312" w:eastAsia="仿宋_GB2312"/>
          <w:b w:val="0"/>
          <w:sz w:val="24"/>
        </w:rPr>
        <w:t>建设（或依托现有OA/项目管理系统配置）"个人核算台账"：任务单在线下达、进展在线登记、验收在线确认、价值分自动计算、个人可实时查看"我的账本"（本月得分、预计绩效工资、欠分账、递延账）。上线前可用规范化电子表格过渡，但必须做到"一人一账、月清月结"。</w:t>
      </w:r>
    </w:p>
    <w:p>
      <w:pPr>
        <w:spacing w:before="160" w:after="80"/>
      </w:pPr>
      <w:r>
        <w:rPr>
          <w:rFonts w:ascii="楷体" w:hAnsi="楷体" w:eastAsia="楷体"/>
          <w:b/>
          <w:sz w:val="27"/>
        </w:rPr>
        <w:t>三、配套制度</w:t>
      </w:r>
    </w:p>
    <w:p>
      <w:pPr>
        <w:spacing w:line="360" w:lineRule="auto"/>
        <w:ind w:firstLine="480"/>
      </w:pPr>
      <w:r>
        <w:rPr>
          <w:rFonts w:ascii="仿宋_GB2312" w:hAnsi="仿宋_GB2312" w:eastAsia="仿宋_GB2312"/>
          <w:b w:val="0"/>
          <w:sz w:val="24"/>
        </w:rPr>
        <w:t>同步修订《薪酬管理制度》《绩效管理制度》《岗位说明书》，将本规则涉及的薪酬结构调整依法履行民主程序并向员工公示告知；涉及劳动合同薪酬条款变更的，依法与员工协商变更。</w:t>
      </w:r>
    </w:p>
    <w:p>
      <w:pPr>
        <w:spacing w:before="240" w:after="120"/>
      </w:pPr>
      <w:r>
        <w:rPr>
          <w:rFonts w:ascii="黑体" w:hAnsi="黑体" w:eastAsia="黑体"/>
          <w:b/>
          <w:sz w:val="30"/>
        </w:rPr>
        <w:t>第八章  分步实施路径</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1701"/>
          </w:tcPr>
          <w:p>
            <w:pPr>
              <w:jc w:val="center"/>
            </w:pPr>
            <w:r/>
            <w:r>
              <w:rPr>
                <w:rFonts w:ascii="黑体" w:hAnsi="黑体" w:eastAsia="黑体"/>
                <w:b/>
                <w:sz w:val="21"/>
              </w:rPr>
              <w:t>阶段</w:t>
            </w:r>
          </w:p>
        </w:tc>
        <w:tc>
          <w:tcPr>
            <w:tcW w:type="dxa" w:w="1247"/>
          </w:tcPr>
          <w:p>
            <w:pPr>
              <w:jc w:val="center"/>
            </w:pPr>
            <w:r/>
            <w:r>
              <w:rPr>
                <w:rFonts w:ascii="黑体" w:hAnsi="黑体" w:eastAsia="黑体"/>
                <w:b/>
                <w:sz w:val="21"/>
              </w:rPr>
              <w:t>周期</w:t>
            </w:r>
          </w:p>
        </w:tc>
        <w:tc>
          <w:tcPr>
            <w:tcW w:type="dxa" w:w="4252"/>
          </w:tcPr>
          <w:p>
            <w:pPr>
              <w:jc w:val="center"/>
            </w:pPr>
            <w:r/>
            <w:r>
              <w:rPr>
                <w:rFonts w:ascii="黑体" w:hAnsi="黑体" w:eastAsia="黑体"/>
                <w:b/>
                <w:sz w:val="21"/>
              </w:rPr>
              <w:t>关键动作</w:t>
            </w:r>
          </w:p>
        </w:tc>
        <w:tc>
          <w:tcPr>
            <w:tcW w:type="dxa" w:w="1587"/>
          </w:tcPr>
          <w:p>
            <w:pPr>
              <w:jc w:val="center"/>
            </w:pPr>
            <w:r/>
            <w:r>
              <w:rPr>
                <w:rFonts w:ascii="黑体" w:hAnsi="黑体" w:eastAsia="黑体"/>
                <w:b/>
                <w:sz w:val="21"/>
              </w:rPr>
              <w:t>目标</w:t>
            </w:r>
          </w:p>
        </w:tc>
      </w:tr>
      <w:tr>
        <w:tc>
          <w:tcPr>
            <w:tcW w:type="dxa" w:w="1701"/>
          </w:tcPr>
          <w:p>
            <w:r/>
            <w:r>
              <w:rPr>
                <w:rFonts w:ascii="仿宋_GB2312" w:hAnsi="仿宋_GB2312" w:eastAsia="仿宋_GB2312"/>
                <w:b w:val="0"/>
                <w:sz w:val="21"/>
              </w:rPr>
              <w:t>一、规则搭建期</w:t>
            </w:r>
          </w:p>
        </w:tc>
        <w:tc>
          <w:tcPr>
            <w:tcW w:type="dxa" w:w="1247"/>
          </w:tcPr>
          <w:p>
            <w:r/>
            <w:r>
              <w:rPr>
                <w:rFonts w:ascii="仿宋_GB2312" w:hAnsi="仿宋_GB2312" w:eastAsia="仿宋_GB2312"/>
                <w:b w:val="0"/>
                <w:sz w:val="21"/>
              </w:rPr>
              <w:t>第1—2月</w:t>
            </w:r>
          </w:p>
        </w:tc>
        <w:tc>
          <w:tcPr>
            <w:tcW w:type="dxa" w:w="4252"/>
          </w:tcPr>
          <w:p>
            <w:r/>
            <w:r>
              <w:rPr>
                <w:rFonts w:ascii="仿宋_GB2312" w:hAnsi="仿宋_GB2312" w:eastAsia="仿宋_GB2312"/>
                <w:b w:val="0"/>
                <w:sz w:val="21"/>
              </w:rPr>
              <w:t>发布规则、编制《任务标准分定价目录》、完成人员分类分级评定、系统/台账搭建、全员宣贯培训</w:t>
            </w:r>
          </w:p>
        </w:tc>
        <w:tc>
          <w:tcPr>
            <w:tcW w:type="dxa" w:w="1587"/>
          </w:tcPr>
          <w:p>
            <w:r/>
            <w:r>
              <w:rPr>
                <w:rFonts w:ascii="仿宋_GB2312" w:hAnsi="仿宋_GB2312" w:eastAsia="仿宋_GB2312"/>
                <w:b w:val="0"/>
                <w:sz w:val="21"/>
              </w:rPr>
              <w:t>规则清晰、人人明白</w:t>
            </w:r>
          </w:p>
        </w:tc>
      </w:tr>
      <w:tr>
        <w:tc>
          <w:tcPr>
            <w:tcW w:type="dxa" w:w="1701"/>
          </w:tcPr>
          <w:p>
            <w:r/>
            <w:r>
              <w:rPr>
                <w:rFonts w:ascii="仿宋_GB2312" w:hAnsi="仿宋_GB2312" w:eastAsia="仿宋_GB2312"/>
                <w:b w:val="0"/>
                <w:sz w:val="21"/>
              </w:rPr>
              <w:t>二、试点空转期</w:t>
            </w:r>
          </w:p>
        </w:tc>
        <w:tc>
          <w:tcPr>
            <w:tcW w:type="dxa" w:w="1247"/>
          </w:tcPr>
          <w:p>
            <w:r/>
            <w:r>
              <w:rPr>
                <w:rFonts w:ascii="仿宋_GB2312" w:hAnsi="仿宋_GB2312" w:eastAsia="仿宋_GB2312"/>
                <w:b w:val="0"/>
                <w:sz w:val="21"/>
              </w:rPr>
              <w:t>第3—4月</w:t>
            </w:r>
          </w:p>
        </w:tc>
        <w:tc>
          <w:tcPr>
            <w:tcW w:type="dxa" w:w="4252"/>
          </w:tcPr>
          <w:p>
            <w:r/>
            <w:r>
              <w:rPr>
                <w:rFonts w:ascii="仿宋_GB2312" w:hAnsi="仿宋_GB2312" w:eastAsia="仿宋_GB2312"/>
                <w:b w:val="0"/>
                <w:sz w:val="21"/>
              </w:rPr>
              <w:t>选择1—2个部门试点，按新规则核算但按老办法发薪，双轨对照，校准定价与系数</w:t>
            </w:r>
          </w:p>
        </w:tc>
        <w:tc>
          <w:tcPr>
            <w:tcW w:type="dxa" w:w="1587"/>
          </w:tcPr>
          <w:p>
            <w:r/>
            <w:r>
              <w:rPr>
                <w:rFonts w:ascii="仿宋_GB2312" w:hAnsi="仿宋_GB2312" w:eastAsia="仿宋_GB2312"/>
                <w:b w:val="0"/>
                <w:sz w:val="21"/>
              </w:rPr>
              <w:t>算得准、跑得通</w:t>
            </w:r>
          </w:p>
        </w:tc>
      </w:tr>
      <w:tr>
        <w:tc>
          <w:tcPr>
            <w:tcW w:type="dxa" w:w="1701"/>
          </w:tcPr>
          <w:p>
            <w:r/>
            <w:r>
              <w:rPr>
                <w:rFonts w:ascii="仿宋_GB2312" w:hAnsi="仿宋_GB2312" w:eastAsia="仿宋_GB2312"/>
                <w:b w:val="0"/>
                <w:sz w:val="21"/>
              </w:rPr>
              <w:t>三、试点实发期</w:t>
            </w:r>
          </w:p>
        </w:tc>
        <w:tc>
          <w:tcPr>
            <w:tcW w:type="dxa" w:w="1247"/>
          </w:tcPr>
          <w:p>
            <w:r/>
            <w:r>
              <w:rPr>
                <w:rFonts w:ascii="仿宋_GB2312" w:hAnsi="仿宋_GB2312" w:eastAsia="仿宋_GB2312"/>
                <w:b w:val="0"/>
                <w:sz w:val="21"/>
              </w:rPr>
              <w:t>第5—6月</w:t>
            </w:r>
          </w:p>
        </w:tc>
        <w:tc>
          <w:tcPr>
            <w:tcW w:type="dxa" w:w="4252"/>
          </w:tcPr>
          <w:p>
            <w:r/>
            <w:r>
              <w:rPr>
                <w:rFonts w:ascii="仿宋_GB2312" w:hAnsi="仿宋_GB2312" w:eastAsia="仿宋_GB2312"/>
                <w:b w:val="0"/>
                <w:sz w:val="21"/>
              </w:rPr>
              <w:t>试点部门按新规则实际发放，设置过渡保底（不低于原工资90%），收集问题迭代规则</w:t>
            </w:r>
          </w:p>
        </w:tc>
        <w:tc>
          <w:tcPr>
            <w:tcW w:type="dxa" w:w="1587"/>
          </w:tcPr>
          <w:p>
            <w:r/>
            <w:r>
              <w:rPr>
                <w:rFonts w:ascii="仿宋_GB2312" w:hAnsi="仿宋_GB2312" w:eastAsia="仿宋_GB2312"/>
                <w:b w:val="0"/>
                <w:sz w:val="21"/>
              </w:rPr>
              <w:t>发得稳、可接受</w:t>
            </w:r>
          </w:p>
        </w:tc>
      </w:tr>
      <w:tr>
        <w:tc>
          <w:tcPr>
            <w:tcW w:type="dxa" w:w="1701"/>
          </w:tcPr>
          <w:p>
            <w:r/>
            <w:r>
              <w:rPr>
                <w:rFonts w:ascii="仿宋_GB2312" w:hAnsi="仿宋_GB2312" w:eastAsia="仿宋_GB2312"/>
                <w:b w:val="0"/>
                <w:sz w:val="21"/>
              </w:rPr>
              <w:t>四、全面推行期</w:t>
            </w:r>
          </w:p>
        </w:tc>
        <w:tc>
          <w:tcPr>
            <w:tcW w:type="dxa" w:w="1247"/>
          </w:tcPr>
          <w:p>
            <w:r/>
            <w:r>
              <w:rPr>
                <w:rFonts w:ascii="仿宋_GB2312" w:hAnsi="仿宋_GB2312" w:eastAsia="仿宋_GB2312"/>
                <w:b w:val="0"/>
                <w:sz w:val="21"/>
              </w:rPr>
              <w:t>第7—9月</w:t>
            </w:r>
          </w:p>
        </w:tc>
        <w:tc>
          <w:tcPr>
            <w:tcW w:type="dxa" w:w="4252"/>
          </w:tcPr>
          <w:p>
            <w:r/>
            <w:r>
              <w:rPr>
                <w:rFonts w:ascii="仿宋_GB2312" w:hAnsi="仿宋_GB2312" w:eastAsia="仿宋_GB2312"/>
                <w:b w:val="0"/>
                <w:sz w:val="21"/>
              </w:rPr>
              <w:t>分批推广至全公司，逐步取消过渡保底，分值单价按季校准</w:t>
            </w:r>
          </w:p>
        </w:tc>
        <w:tc>
          <w:tcPr>
            <w:tcW w:type="dxa" w:w="1587"/>
          </w:tcPr>
          <w:p>
            <w:r/>
            <w:r>
              <w:rPr>
                <w:rFonts w:ascii="仿宋_GB2312" w:hAnsi="仿宋_GB2312" w:eastAsia="仿宋_GB2312"/>
                <w:b w:val="0"/>
                <w:sz w:val="21"/>
              </w:rPr>
              <w:t>全覆盖、真兑现</w:t>
            </w:r>
          </w:p>
        </w:tc>
      </w:tr>
      <w:tr>
        <w:tc>
          <w:tcPr>
            <w:tcW w:type="dxa" w:w="1701"/>
          </w:tcPr>
          <w:p>
            <w:r/>
            <w:r>
              <w:rPr>
                <w:rFonts w:ascii="仿宋_GB2312" w:hAnsi="仿宋_GB2312" w:eastAsia="仿宋_GB2312"/>
                <w:b w:val="0"/>
                <w:sz w:val="21"/>
              </w:rPr>
              <w:t>五、固化优化期</w:t>
            </w:r>
          </w:p>
        </w:tc>
        <w:tc>
          <w:tcPr>
            <w:tcW w:type="dxa" w:w="1247"/>
          </w:tcPr>
          <w:p>
            <w:r/>
            <w:r>
              <w:rPr>
                <w:rFonts w:ascii="仿宋_GB2312" w:hAnsi="仿宋_GB2312" w:eastAsia="仿宋_GB2312"/>
                <w:b w:val="0"/>
                <w:sz w:val="21"/>
              </w:rPr>
              <w:t>第10—12月</w:t>
            </w:r>
          </w:p>
        </w:tc>
        <w:tc>
          <w:tcPr>
            <w:tcW w:type="dxa" w:w="4252"/>
          </w:tcPr>
          <w:p>
            <w:r/>
            <w:r>
              <w:rPr>
                <w:rFonts w:ascii="仿宋_GB2312" w:hAnsi="仿宋_GB2312" w:eastAsia="仿宋_GB2312"/>
                <w:b w:val="0"/>
                <w:sz w:val="21"/>
              </w:rPr>
              <w:t>年度复盘，修订定价目录与系数，联动职级晋升、评优评先、年终奖分配</w:t>
            </w:r>
          </w:p>
        </w:tc>
        <w:tc>
          <w:tcPr>
            <w:tcW w:type="dxa" w:w="1587"/>
          </w:tcPr>
          <w:p>
            <w:r/>
            <w:r>
              <w:rPr>
                <w:rFonts w:ascii="仿宋_GB2312" w:hAnsi="仿宋_GB2312" w:eastAsia="仿宋_GB2312"/>
                <w:b w:val="0"/>
                <w:sz w:val="21"/>
              </w:rPr>
              <w:t>常态化、长效化</w:t>
            </w:r>
          </w:p>
        </w:tc>
      </w:tr>
    </w:tbl>
    <w:p/>
    <w:p>
      <w:pPr>
        <w:spacing w:before="160" w:after="80"/>
      </w:pPr>
      <w:r>
        <w:rPr>
          <w:rFonts w:ascii="楷体" w:hAnsi="楷体" w:eastAsia="楷体"/>
          <w:b/>
          <w:sz w:val="27"/>
        </w:rPr>
        <w:t>实施关键成功要素</w:t>
      </w:r>
    </w:p>
    <w:p>
      <w:pPr>
        <w:spacing w:line="360" w:lineRule="auto"/>
        <w:ind w:firstLine="480"/>
      </w:pPr>
      <w:r>
        <w:rPr>
          <w:rFonts w:ascii="仿宋_GB2312" w:hAnsi="仿宋_GB2312" w:eastAsia="仿宋_GB2312"/>
          <w:b w:val="0"/>
          <w:sz w:val="24"/>
        </w:rPr>
        <w:t>（一）一把手挂帅、管理层带头：管理序列率先按新规则核算发放，向全员传递决心。</w:t>
      </w:r>
    </w:p>
    <w:p>
      <w:pPr>
        <w:spacing w:line="360" w:lineRule="auto"/>
        <w:ind w:firstLine="480"/>
      </w:pPr>
      <w:r>
        <w:rPr>
          <w:rFonts w:ascii="仿宋_GB2312" w:hAnsi="仿宋_GB2312" w:eastAsia="仿宋_GB2312"/>
          <w:b w:val="0"/>
          <w:sz w:val="24"/>
        </w:rPr>
        <w:t>（二）定价公信力优先：宁可初期定价粗一点，也要保证事前定价、事后不改，规则刚性执行。</w:t>
      </w:r>
    </w:p>
    <w:p>
      <w:pPr>
        <w:spacing w:line="360" w:lineRule="auto"/>
        <w:ind w:firstLine="480"/>
      </w:pPr>
      <w:r>
        <w:rPr>
          <w:rFonts w:ascii="仿宋_GB2312" w:hAnsi="仿宋_GB2312" w:eastAsia="仿宋_GB2312"/>
          <w:b w:val="0"/>
          <w:sz w:val="24"/>
        </w:rPr>
        <w:t>（三）先算清、后挂钩：空转期务必充分，让员工先看懂"自己的账"，再动"自己的钱"。</w:t>
      </w:r>
    </w:p>
    <w:p>
      <w:pPr>
        <w:spacing w:line="360" w:lineRule="auto"/>
        <w:ind w:firstLine="480"/>
      </w:pPr>
      <w:r>
        <w:rPr>
          <w:rFonts w:ascii="仿宋_GB2312" w:hAnsi="仿宋_GB2312" w:eastAsia="仿宋_GB2312"/>
          <w:b w:val="0"/>
          <w:sz w:val="24"/>
        </w:rPr>
        <w:t>（四）保留安全垫：过渡期保底与固定保障通道，防止改革初期收入剧烈波动引发动荡。</w:t>
      </w:r>
    </w:p>
    <w:p>
      <w:pPr>
        <w:spacing w:line="360" w:lineRule="auto"/>
        <w:ind w:firstLine="480"/>
      </w:pPr>
      <w:r>
        <w:rPr>
          <w:rFonts w:ascii="仿宋_GB2312" w:hAnsi="仿宋_GB2312" w:eastAsia="仿宋_GB2312"/>
          <w:b w:val="0"/>
          <w:sz w:val="24"/>
        </w:rPr>
        <w:t>（五）持续沟通：每月核算公示配套答疑，HRBP面向低分员工开展绩效辅导，让机制"促人干事"而非"逼人走人"。</w:t>
      </w:r>
    </w:p>
    <w:p>
      <w:pPr>
        <w:spacing w:before="240" w:after="120"/>
      </w:pPr>
      <w:r>
        <w:rPr>
          <w:rFonts w:ascii="黑体" w:hAnsi="黑体" w:eastAsia="黑体"/>
          <w:b/>
          <w:sz w:val="30"/>
        </w:rPr>
        <w:t>附  则</w:t>
      </w:r>
    </w:p>
    <w:p>
      <w:pPr>
        <w:spacing w:line="360" w:lineRule="auto"/>
        <w:ind w:firstLine="480"/>
      </w:pPr>
      <w:r>
        <w:rPr>
          <w:rFonts w:ascii="仿宋_GB2312" w:hAnsi="仿宋_GB2312" w:eastAsia="仿宋_GB2312"/>
          <w:b w:val="0"/>
          <w:sz w:val="24"/>
        </w:rPr>
        <w:t>一、本规则由公司绩效管理委员会负责解释与修订。</w:t>
      </w:r>
    </w:p>
    <w:p>
      <w:pPr>
        <w:spacing w:line="360" w:lineRule="auto"/>
        <w:ind w:firstLine="480"/>
      </w:pPr>
      <w:r>
        <w:rPr>
          <w:rFonts w:ascii="仿宋_GB2312" w:hAnsi="仿宋_GB2312" w:eastAsia="仿宋_GB2312"/>
          <w:b w:val="0"/>
          <w:sz w:val="24"/>
        </w:rPr>
        <w:t>二、本规则自发布之日起施行，与原有薪酬绩效制度不一致的，以本规则为准。</w:t>
      </w:r>
    </w:p>
    <w:p>
      <w:pPr>
        <w:spacing w:line="360" w:lineRule="auto"/>
        <w:ind w:firstLine="480"/>
      </w:pPr>
      <w:r>
        <w:rPr>
          <w:rFonts w:ascii="仿宋_GB2312" w:hAnsi="仿宋_GB2312" w:eastAsia="仿宋_GB2312"/>
          <w:b w:val="0"/>
          <w:sz w:val="24"/>
        </w:rPr>
        <w:t>三、附件（另行发布）：《任务标准分定价目录》《任务单模板》《进展异常申报单》《个人月度核算表》《月度核算日历》。</w:t>
      </w:r>
    </w:p>
    <w:p/>
    <w:p>
      <w:pPr>
        <w:jc w:val="right"/>
      </w:pPr>
      <w:r>
        <w:rPr>
          <w:rFonts w:ascii="仿宋_GB2312" w:hAnsi="仿宋_GB2312" w:eastAsia="仿宋_GB2312"/>
          <w:b w:val="0"/>
          <w:sz w:val="24"/>
        </w:rPr>
        <w:t>编制日期：2026年7月20日</w:t>
      </w:r>
    </w:p>
    <w:sectPr w:rsidR="00FC693F" w:rsidRPr="0006063C" w:rsidSect="00034616">
      <w:pgSz w:w="12240" w:h="15840"/>
      <w:pgMar w:top="1440" w:right="1474"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