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Times New Roman" w:hAnsi="Times New Roman" w:eastAsia="黑体"/>
          <w:b/>
          <w:sz w:val="44"/>
        </w:rPr>
        <w:t>公路行业未来五年数智化AI新范式预判及发展战略与主要任务（2026～2030）</w:t>
      </w:r>
    </w:p>
    <w:p>
      <w:pPr>
        <w:spacing w:after="480"/>
        <w:jc w:val="center"/>
      </w:pPr>
      <w:r>
        <w:rPr>
          <w:rFonts w:ascii="Times New Roman" w:hAnsi="Times New Roman" w:eastAsia="楷体"/>
          <w:b w:val="0"/>
          <w:sz w:val="30"/>
        </w:rPr>
        <w:t>——云基智慧工程股份有限公司五年发展战略规划</w:t>
      </w:r>
    </w:p>
    <w:p>
      <w:pPr>
        <w:pStyle w:val="Heading1"/>
        <w:pageBreakBefore w:val="0"/>
        <w:spacing w:before="360" w:after="200"/>
      </w:pPr>
      <w:r>
        <w:rPr>
          <w:rFonts w:ascii="Times New Roman" w:hAnsi="Times New Roman" w:eastAsia="黑体"/>
          <w:b/>
          <w:color w:val="000000"/>
          <w:sz w:val="32"/>
        </w:rPr>
        <w:t>前言</w:t>
      </w:r>
    </w:p>
    <w:p>
      <w:pPr>
        <w:spacing w:lineRule="auto" w:line="336" w:after="80"/>
        <w:ind w:firstLine="482"/>
        <w:jc w:val="both"/>
      </w:pPr>
      <w:r>
        <w:rPr>
          <w:rFonts w:ascii="Times New Roman" w:hAnsi="Times New Roman" w:eastAsia="宋体"/>
          <w:b w:val="0"/>
          <w:sz w:val="24"/>
        </w:rPr>
        <w:t>当前，全球人工智能技术正以前所未有的速度演进，大语言模型（LLM）、多模态模型、智能体（Agent）技术相继突破，正在重塑一切产业的底层逻辑。公路行业作为大土木行业的重要组成部分，其延续了半个世纪的“平台+APP”数智化基本范式，正站在被AI重构的历史临界点上。</w:t>
      </w:r>
    </w:p>
    <w:p>
      <w:pPr>
        <w:spacing w:lineRule="auto" w:line="336" w:after="80"/>
        <w:ind w:firstLine="482"/>
        <w:jc w:val="both"/>
      </w:pPr>
      <w:r>
        <w:rPr>
          <w:rFonts w:ascii="Times New Roman" w:hAnsi="Times New Roman" w:eastAsia="宋体"/>
          <w:b w:val="0"/>
          <w:sz w:val="24"/>
        </w:rPr>
        <w:t>对云基智慧工程股份有限公司（以下简称“云基公司”）而言，这既是一次生死攸关的挑战，更是一次五十年一遇的历史机遇。云基公司拥有自主可控的“卡脖子”三维数字化核心技术和玄镜三维图形平台，是“平台+APP”旧范式中的代表性平台方之一。但旧范式的平台优势，并不天然等于新范式的入场券。如果对AI新范式的预判发生方向性错误，则“越努力越落后”；如果预判正确并抢先卡位，则玄镜平台有望从一个尚未形成稳定商业模式的图形平台，跃升为公路行业AI新范式的核心基础设施。</w:t>
      </w:r>
    </w:p>
    <w:p>
      <w:pPr>
        <w:spacing w:lineRule="auto" w:line="336" w:after="80"/>
        <w:ind w:firstLine="482"/>
        <w:jc w:val="both"/>
      </w:pPr>
      <w:r>
        <w:rPr>
          <w:rFonts w:ascii="Times New Roman" w:hAnsi="Times New Roman" w:eastAsia="宋体"/>
          <w:b w:val="0"/>
          <w:sz w:val="24"/>
        </w:rPr>
        <w:t>本报告作为公司未来五年（2026～2030）发展战略的纲领性文件，围绕三个根本问题展开：第一，未来五年公路行业数智化的AI新范式是什么？最终用户直接面对的到底是Agent、是APP、还是其他形态？第二，基于这一预判，云基公司的战略定位、战略目标和战略路径应当如何确立？第三，2026年第一步应该怎么走——产品是什么、怎么销售、如何收钱、商业模式和变现方式有哪些？</w:t>
      </w:r>
    </w:p>
    <w:p>
      <w:pPr>
        <w:spacing w:lineRule="auto" w:line="336" w:after="80"/>
        <w:ind w:firstLine="482"/>
        <w:jc w:val="both"/>
      </w:pPr>
      <w:r>
        <w:rPr>
          <w:rFonts w:ascii="Times New Roman" w:hAnsi="Times New Roman" w:eastAsia="宋体"/>
          <w:b w:val="0"/>
          <w:sz w:val="24"/>
        </w:rPr>
        <w:t>本报告旨在统一全公司员工的认识和步调，明确目标、清晰步骤，使公司上下在关键历史窗口期形成合力，一步一个脚印地把战略蓝图变为现实。</w:t>
      </w:r>
    </w:p>
    <w:p>
      <w:r>
        <w:br w:type="page"/>
      </w:r>
    </w:p>
    <w:p>
      <w:pPr>
        <w:pStyle w:val="Heading1"/>
        <w:pageBreakBefore w:val="0"/>
        <w:spacing w:before="360" w:after="200"/>
      </w:pPr>
      <w:r>
        <w:rPr>
          <w:rFonts w:ascii="Times New Roman" w:hAnsi="Times New Roman" w:eastAsia="黑体"/>
          <w:b/>
          <w:color w:val="000000"/>
          <w:sz w:val="32"/>
        </w:rPr>
        <w:t>第一章 时代背景：全球AI浪潮与公路行业数智化转型的历史性交汇</w:t>
      </w:r>
    </w:p>
    <w:p>
      <w:pPr>
        <w:pStyle w:val="Heading2"/>
        <w:spacing w:before="240" w:after="120"/>
      </w:pPr>
      <w:r>
        <w:rPr>
          <w:rFonts w:ascii="Times New Roman" w:hAnsi="Times New Roman" w:eastAsia="黑体"/>
          <w:b/>
          <w:color w:val="000000"/>
          <w:sz w:val="28"/>
        </w:rPr>
        <w:t>1.1 全球AI技术发展态势：从“工具智能”走向“任务智能”</w:t>
      </w:r>
    </w:p>
    <w:p>
      <w:pPr>
        <w:spacing w:lineRule="auto" w:line="336" w:after="80"/>
        <w:ind w:firstLine="482"/>
        <w:jc w:val="both"/>
      </w:pPr>
      <w:r>
        <w:rPr>
          <w:rFonts w:ascii="Times New Roman" w:hAnsi="Times New Roman" w:eastAsia="宋体"/>
          <w:b w:val="0"/>
          <w:sz w:val="24"/>
        </w:rPr>
        <w:t>2022年底以来，以大语言模型为代表的生成式AI掀起全球浪潮。到2025～2026年，全球AI技术呈现出四个清晰的演进趋势：</w:t>
      </w:r>
    </w:p>
    <w:p>
      <w:pPr>
        <w:spacing w:lineRule="auto" w:line="336" w:after="80"/>
        <w:ind w:firstLine="482"/>
        <w:jc w:val="both"/>
      </w:pPr>
      <w:r>
        <w:rPr>
          <w:rFonts w:ascii="Times New Roman" w:hAnsi="Times New Roman" w:eastAsia="宋体"/>
          <w:b w:val="0"/>
          <w:sz w:val="24"/>
        </w:rPr>
        <w:t>第一，模型能力持续跃升且成本快速下降。前沿大模型在推理、规划、代码生成、多模态理解等方面的能力逐季提升，同等能力的推理成本每年下降一个数量级。这意味着把AI嵌入产业每一个环节，正在从“贵得用不起”变为“便宜到不用白不用”。</w:t>
      </w:r>
    </w:p>
    <w:p>
      <w:pPr>
        <w:spacing w:lineRule="auto" w:line="336" w:after="80"/>
        <w:ind w:firstLine="482"/>
        <w:jc w:val="both"/>
      </w:pPr>
      <w:r>
        <w:rPr>
          <w:rFonts w:ascii="Times New Roman" w:hAnsi="Times New Roman" w:eastAsia="宋体"/>
          <w:b w:val="0"/>
          <w:sz w:val="24"/>
        </w:rPr>
        <w:t>第二，技术主形态从“聊天机器人”演进为“智能体（Agent）”。业界的注意力已经从“模型能回答什么”转向“智能体能完成什么任务”。LLM+Skill（技能）+Agent（智能体）的组合成为主流技术架构：大模型负责理解意图、规划与推理，技能（工具、函数、API、MCP协议接口等）负责执行具体动作，智能体负责端到端地把任务闭环完成。</w:t>
      </w:r>
    </w:p>
    <w:p>
      <w:pPr>
        <w:spacing w:lineRule="auto" w:line="336" w:after="80"/>
        <w:ind w:firstLine="482"/>
        <w:jc w:val="both"/>
      </w:pPr>
      <w:r>
        <w:rPr>
          <w:rFonts w:ascii="Times New Roman" w:hAnsi="Times New Roman" w:eastAsia="宋体"/>
          <w:b w:val="0"/>
          <w:sz w:val="24"/>
        </w:rPr>
        <w:t>第三，AI编程（AI Coding）率先成熟并产生“软件生产成本坍塌”效应。AI辅助乃至AI主导的软件开发，使得应用软件的开发周期从“月”缩短到“天”甚至“小时”，开发成本下降百分之七十以上。软件“生产端”的成本坍塌，必然引发软件“商业模式端”的重构——按套卖软件的传统模式正在瓦解。</w:t>
      </w:r>
    </w:p>
    <w:p>
      <w:pPr>
        <w:spacing w:lineRule="auto" w:line="336" w:after="80"/>
        <w:ind w:firstLine="482"/>
        <w:jc w:val="both"/>
      </w:pPr>
      <w:r>
        <w:rPr>
          <w:rFonts w:ascii="Times New Roman" w:hAnsi="Times New Roman" w:eastAsia="宋体"/>
          <w:b w:val="0"/>
          <w:sz w:val="24"/>
        </w:rPr>
        <w:t>第四，AI与物理世界的结合成为下一个主战场。空间智能、世界模型、具身智能快速兴起，AI正在从处理文本和图像，走向理解和操作三维物理世界。公路行业的对象恰恰是庞大的三维物理资产（路、桥、隧、边坡等），这使得“三维数字化技术+AI”成为公路行业AI落地的必经之路，也是云基公司玄镜平台最重要的战略机会所在。</w:t>
      </w:r>
    </w:p>
    <w:p>
      <w:pPr>
        <w:spacing w:lineRule="auto" w:line="336" w:after="80"/>
        <w:ind w:firstLine="482"/>
        <w:jc w:val="both"/>
      </w:pPr>
      <w:r>
        <w:rPr>
          <w:rFonts w:ascii="Times New Roman" w:hAnsi="Times New Roman" w:eastAsia="宋体"/>
          <w:b w:val="0"/>
          <w:sz w:val="24"/>
        </w:rPr>
        <w:t>综合判断：全球AI正在从“人使用工具完成任务”的工具智能时代，进入“人下达意图、AI完成任务”的任务智能时代。这是本报告一切战略推演的技术总前提。</w:t>
      </w:r>
    </w:p>
    <w:p>
      <w:pPr>
        <w:pStyle w:val="Heading2"/>
        <w:spacing w:before="240" w:after="120"/>
      </w:pPr>
      <w:r>
        <w:rPr>
          <w:rFonts w:ascii="Times New Roman" w:hAnsi="Times New Roman" w:eastAsia="黑体"/>
          <w:b/>
          <w:color w:val="000000"/>
          <w:sz w:val="28"/>
        </w:rPr>
        <w:t>1.2 中国政策环境：数智化转型关键期与“十五五”政策共振</w:t>
      </w:r>
    </w:p>
    <w:p>
      <w:pPr>
        <w:spacing w:lineRule="auto" w:line="336" w:after="80"/>
        <w:ind w:firstLine="482"/>
        <w:jc w:val="both"/>
      </w:pPr>
      <w:r>
        <w:rPr>
          <w:rFonts w:ascii="Times New Roman" w:hAnsi="Times New Roman" w:eastAsia="宋体"/>
          <w:b w:val="0"/>
          <w:sz w:val="24"/>
        </w:rPr>
        <w:t>中国经济正处于数智化转型升级的关键期。存量经济（庞大的既有公路资产的养护、运营、改扩建）和增量经济（新建项目、新型基础设施）都迫切需要数智化手段来提质、降本、增效。这构成了公路行业AI落地的强大内需基础。</w:t>
      </w:r>
    </w:p>
    <w:p>
      <w:pPr>
        <w:spacing w:lineRule="auto" w:line="336" w:after="80"/>
        <w:ind w:firstLine="482"/>
        <w:jc w:val="both"/>
      </w:pPr>
      <w:r>
        <w:rPr>
          <w:rFonts w:ascii="Times New Roman" w:hAnsi="Times New Roman" w:eastAsia="宋体"/>
          <w:b w:val="0"/>
          <w:sz w:val="24"/>
        </w:rPr>
        <w:t>在政策层面，国家发改委、工信部、科技部、交通运输部、住建部、水利部等部委均已出台基于人工智能的“十五五”规划和“人工智能+”行动部署，形成了罕见的多部委政策共振：</w:t>
      </w:r>
    </w:p>
    <w:p>
      <w:pPr>
        <w:spacing w:lineRule="auto" w:line="336" w:after="80"/>
        <w:ind w:firstLine="482"/>
        <w:jc w:val="both"/>
      </w:pPr>
      <w:r>
        <w:rPr>
          <w:rFonts w:ascii="Times New Roman" w:hAnsi="Times New Roman" w:eastAsia="宋体"/>
          <w:b w:val="0"/>
          <w:sz w:val="24"/>
        </w:rPr>
        <w:t>一是国家层面持续推进“人工智能+”行动，明确要求人工智能与实体经济深度融合，推动重点行业智能化升级，并强调关键核心技术自主可控、安全可信。</w:t>
      </w:r>
    </w:p>
    <w:p>
      <w:pPr>
        <w:spacing w:lineRule="auto" w:line="336" w:after="80"/>
        <w:ind w:firstLine="482"/>
        <w:jc w:val="both"/>
      </w:pPr>
      <w:r>
        <w:rPr>
          <w:rFonts w:ascii="Times New Roman" w:hAnsi="Times New Roman" w:eastAsia="宋体"/>
          <w:b w:val="0"/>
          <w:sz w:val="24"/>
        </w:rPr>
        <w:t>二是交通运输部将“十五五”重点任务凝练为“一网四化”——围绕国家综合立体交通网，推进一体化融合、安全化提升、数智化升级、绿色化转型。其中“数智化升级”直接为公路行业AI应用打开政策空间和财政投入空间；“安全化提升”意味着公路基础设施安全监测、风险评估、应急处置等场景将获得刚性预算；“一体化融合”要求跨方式、跨区域的数据打通，催生数据平台与数字底座需求；“绿色化转型”则带来碳排放测算、绿色设计与建造等新的数智化场景。</w:t>
      </w:r>
    </w:p>
    <w:p>
      <w:pPr>
        <w:spacing w:lineRule="auto" w:line="336" w:after="80"/>
        <w:ind w:firstLine="482"/>
        <w:jc w:val="both"/>
      </w:pPr>
      <w:r>
        <w:rPr>
          <w:rFonts w:ascii="Times New Roman" w:hAnsi="Times New Roman" w:eastAsia="宋体"/>
          <w:b w:val="0"/>
          <w:sz w:val="24"/>
        </w:rPr>
        <w:t>三是住建部、水利部在城市基础设施生命线工程、数字孪生流域等方向的部署，与公路行业技术同源、场景相通，为云基公司的三维数字化技术提供了跨行业延展空间。</w:t>
      </w:r>
    </w:p>
    <w:p>
      <w:pPr>
        <w:spacing w:lineRule="auto" w:line="336" w:after="80"/>
        <w:ind w:firstLine="482"/>
        <w:jc w:val="both"/>
      </w:pPr>
      <w:r>
        <w:rPr>
          <w:rFonts w:ascii="Times New Roman" w:hAnsi="Times New Roman" w:eastAsia="宋体"/>
          <w:b w:val="0"/>
          <w:sz w:val="24"/>
        </w:rPr>
        <w:t>四是国产化替代政策持续加码。三维图形引擎、几何造型内核、BIM/CIM基础平台长期被欧美软件垄断，属于典型的“卡脖子”环节。国家对信创和关键工业软件自主可控的要求，为拥有自主三维核心技术的云基公司提供了稀缺的政策红利和市场准入优势。</w:t>
      </w:r>
    </w:p>
    <w:p>
      <w:pPr>
        <w:pStyle w:val="Heading2"/>
        <w:spacing w:before="240" w:after="120"/>
      </w:pPr>
      <w:r>
        <w:rPr>
          <w:rFonts w:ascii="Times New Roman" w:hAnsi="Times New Roman" w:eastAsia="黑体"/>
          <w:b/>
          <w:color w:val="000000"/>
          <w:sz w:val="28"/>
        </w:rPr>
        <w:t>1.3 欧美日韩AI产业政策与国际竞争格局</w:t>
      </w:r>
    </w:p>
    <w:p>
      <w:pPr>
        <w:spacing w:lineRule="auto" w:line="336" w:after="80"/>
        <w:ind w:firstLine="482"/>
        <w:jc w:val="both"/>
      </w:pPr>
      <w:r>
        <w:rPr>
          <w:rFonts w:ascii="Times New Roman" w:hAnsi="Times New Roman" w:eastAsia="宋体"/>
          <w:b w:val="0"/>
          <w:sz w:val="24"/>
        </w:rPr>
        <w:t>欧美日韩等发达经济体也已出台一系列基于人工智能的未来发展预测与产业政策。美国以巨额算力与模型投入维持前沿AI领先，并推动AI在基础设施领域的应用；欧盟通过《人工智能法案》等建立合规框架，同时以“数字孪生欧洲”等计划推进工程建造业数字化；日本推进“社会5.0”愿景下的基础设施维护AI化，应对老龄化带来的工程师短缺；韩国则以“数字新政”推动智能交通与数字孪生国土建设。</w:t>
      </w:r>
    </w:p>
    <w:p>
      <w:pPr>
        <w:spacing w:lineRule="auto" w:line="336" w:after="80"/>
        <w:ind w:firstLine="482"/>
        <w:jc w:val="both"/>
      </w:pPr>
      <w:r>
        <w:rPr>
          <w:rFonts w:ascii="Times New Roman" w:hAnsi="Times New Roman" w:eastAsia="宋体"/>
          <w:b w:val="0"/>
          <w:sz w:val="24"/>
        </w:rPr>
        <w:t>国际工程软件巨头（Autodesk、Bentley、Trimble、达索等）已全面转向“AI+云平台”战略，纷纷在其平台中嵌入AI助手、推出开放数据环境，试图把旧范式的平台霸权平移到新范式。它们的软肋在于：其一，AI转型受制于既有商业模式（高价license/订阅）的自我保护，转身缓慢；其二，在中国市场受信创政策与数据安全要求制约；其三，对中国公路行业的业务场景、规范体系、数据资源理解不深。</w:t>
      </w:r>
    </w:p>
    <w:p>
      <w:pPr>
        <w:spacing w:lineRule="auto" w:line="336" w:after="80"/>
        <w:ind w:firstLine="482"/>
        <w:jc w:val="both"/>
      </w:pPr>
      <w:r>
        <w:rPr>
          <w:rFonts w:ascii="Times New Roman" w:hAnsi="Times New Roman" w:eastAsia="宋体"/>
          <w:b w:val="0"/>
          <w:sz w:val="24"/>
        </w:rPr>
        <w:t>这为中国本土企业留下了一个宝贵的时间窗口：在2026～2028年这个窗口期内，谁能率先把“自主三维底座+行业AI”跑通，谁就有机会在中国市场重构格局，并进而参与国际竞争。窗口期过后，格局将快速固化。</w:t>
      </w:r>
    </w:p>
    <w:p>
      <w:pPr>
        <w:pStyle w:val="Heading2"/>
        <w:spacing w:before="240" w:after="120"/>
      </w:pPr>
      <w:r>
        <w:rPr>
          <w:rFonts w:ascii="Times New Roman" w:hAnsi="Times New Roman" w:eastAsia="黑体"/>
          <w:b/>
          <w:color w:val="000000"/>
          <w:sz w:val="28"/>
        </w:rPr>
        <w:t>1.4 公路行业数智化的现状、痛点与深层矛盾</w:t>
      </w:r>
    </w:p>
    <w:p>
      <w:pPr>
        <w:spacing w:lineRule="auto" w:line="336" w:after="80"/>
        <w:ind w:firstLine="482"/>
        <w:jc w:val="both"/>
      </w:pPr>
      <w:r>
        <w:rPr>
          <w:rFonts w:ascii="Times New Roman" w:hAnsi="Times New Roman" w:eastAsia="宋体"/>
          <w:b w:val="0"/>
          <w:sz w:val="24"/>
        </w:rPr>
        <w:t>公路行业属于大土木行业，其数智化现状可以概括为“三高三低”：数据体量高、资产价值高、政策热度高；软件渗透率低、数据利用率低、智能化程度低。具体痛点包括：</w:t>
      </w:r>
    </w:p>
    <w:p>
      <w:pPr>
        <w:spacing w:lineRule="auto" w:line="336" w:after="80"/>
        <w:ind w:firstLine="482"/>
        <w:jc w:val="both"/>
      </w:pPr>
      <w:r>
        <w:rPr>
          <w:rFonts w:ascii="Times New Roman" w:hAnsi="Times New Roman" w:eastAsia="宋体"/>
          <w:b w:val="0"/>
          <w:sz w:val="24"/>
        </w:rPr>
        <w:t>一是工具贵、用不起。国外三维设计软件单套license动辄数万至数十万元，中小设计院和基层管养单位难以承受，导致三维数字化推广多年仍停留在示范项目层面。</w:t>
      </w:r>
    </w:p>
    <w:p>
      <w:pPr>
        <w:spacing w:lineRule="auto" w:line="336" w:after="80"/>
        <w:ind w:firstLine="482"/>
        <w:jc w:val="both"/>
      </w:pPr>
      <w:r>
        <w:rPr>
          <w:rFonts w:ascii="Times New Roman" w:hAnsi="Times New Roman" w:eastAsia="宋体"/>
          <w:b w:val="0"/>
          <w:sz w:val="24"/>
        </w:rPr>
        <w:t>二是软件不好用、不解渴。通用软件与公路专业场景之间存在“最后一公里”鸿沟，大量业务仍靠人工+Excel+CAD二维图纸完成；定制开发周期长、费用高、供给严重不足。</w:t>
      </w:r>
    </w:p>
    <w:p>
      <w:pPr>
        <w:spacing w:lineRule="auto" w:line="336" w:after="80"/>
        <w:ind w:firstLine="482"/>
        <w:jc w:val="both"/>
      </w:pPr>
      <w:r>
        <w:rPr>
          <w:rFonts w:ascii="Times New Roman" w:hAnsi="Times New Roman" w:eastAsia="宋体"/>
          <w:b w:val="0"/>
          <w:sz w:val="24"/>
        </w:rPr>
        <w:t>三是数据沉睡、资产闲置。勘察设计、施工、检测、养护各环节产生了海量数据，但格式不一、孤岛林立，绝大部分数据从未被二次利用，更谈不上喂养AI。</w:t>
      </w:r>
    </w:p>
    <w:p>
      <w:pPr>
        <w:spacing w:lineRule="auto" w:line="336" w:after="80"/>
        <w:ind w:firstLine="482"/>
        <w:jc w:val="both"/>
      </w:pPr>
      <w:r>
        <w:rPr>
          <w:rFonts w:ascii="Times New Roman" w:hAnsi="Times New Roman" w:eastAsia="宋体"/>
          <w:b w:val="0"/>
          <w:sz w:val="24"/>
        </w:rPr>
        <w:t>四是人才断层。基层单位既缺三维数字化人才，更缺AI人才；行业老龄化加剧，经验性知识面临流失。恰恰是这一点，使“AI数字员工”在公路行业具有比消费领域更刚性的需求——AI不是要替代谁，而是要填补根本招不到人的岗位空缺。</w:t>
      </w:r>
    </w:p>
    <w:p>
      <w:pPr>
        <w:spacing w:lineRule="auto" w:line="336" w:after="80"/>
        <w:ind w:firstLine="482"/>
        <w:jc w:val="both"/>
      </w:pPr>
      <w:r>
        <w:rPr>
          <w:rFonts w:ascii="Times New Roman" w:hAnsi="Times New Roman" w:eastAsia="宋体"/>
          <w:b w:val="0"/>
          <w:sz w:val="24"/>
        </w:rPr>
        <w:t>上述矛盾的本质是：旧范式下软件的供给成本（开发成本+销售成本+实施成本）远高于行业单点场景愿意支付的价格，导致供需在低水平上僵持。而AI恰恰同时压低了这三项成本——这就是新范式必然到来的经济学根据。</w:t>
      </w:r>
    </w:p>
    <w:p>
      <w:r>
        <w:br w:type="page"/>
      </w:r>
    </w:p>
    <w:p>
      <w:pPr>
        <w:pStyle w:val="Heading1"/>
        <w:pageBreakBefore w:val="0"/>
        <w:spacing w:before="360" w:after="200"/>
      </w:pPr>
      <w:r>
        <w:rPr>
          <w:rFonts w:ascii="Times New Roman" w:hAnsi="Times New Roman" w:eastAsia="黑体"/>
          <w:b/>
          <w:color w:val="000000"/>
          <w:sz w:val="32"/>
        </w:rPr>
        <w:t>第二章 范式预判：从“平台+APP”到“平台+Agent”的AI新范式</w:t>
      </w:r>
    </w:p>
    <w:p>
      <w:pPr>
        <w:spacing w:lineRule="auto" w:line="336" w:after="80"/>
        <w:ind w:firstLine="482"/>
        <w:jc w:val="both"/>
      </w:pPr>
      <w:r>
        <w:rPr>
          <w:rFonts w:ascii="Times New Roman" w:hAnsi="Times New Roman" w:eastAsia="宋体"/>
          <w:b w:val="0"/>
          <w:sz w:val="24"/>
        </w:rPr>
        <w:t>本章是全报告的思想核心。战略的一切推演，都建立在对“未来五年最终用户直接面对什么”这一根本问题的回答之上。</w:t>
      </w:r>
    </w:p>
    <w:p>
      <w:pPr>
        <w:pStyle w:val="Heading2"/>
        <w:spacing w:before="240" w:after="120"/>
      </w:pPr>
      <w:r>
        <w:rPr>
          <w:rFonts w:ascii="Times New Roman" w:hAnsi="Times New Roman" w:eastAsia="黑体"/>
          <w:b/>
          <w:color w:val="000000"/>
          <w:sz w:val="28"/>
        </w:rPr>
        <w:t>2.1 “平台+APP”范式五十年：逻辑、功绩与局限</w:t>
      </w:r>
    </w:p>
    <w:p>
      <w:pPr>
        <w:spacing w:lineRule="auto" w:line="336" w:after="80"/>
        <w:ind w:firstLine="482"/>
        <w:jc w:val="both"/>
      </w:pPr>
      <w:r>
        <w:rPr>
          <w:rFonts w:ascii="Times New Roman" w:hAnsi="Times New Roman" w:eastAsia="宋体"/>
          <w:b w:val="0"/>
          <w:sz w:val="24"/>
        </w:rPr>
        <w:t>自上世纪七十年代以来，全球土木行业二维/三维数智化的基本范式是“平台+APP”。除政府、协会及相关方之外，产业主要由三方构成：平台方提供底层开发平台（API/SDK、图形引擎、数据标准等）；开发者基于平台开发面向各类业务场景的APP；用户使用APP完成业务任务。商业模式是用者付费——用户以订阅或买断等方式付费，平台方与开发者按贡献分配。也存在平台方兼开发者、甚至兼开发者+用户的情形，如大型设计院自建或采购平台后自行开发自用。</w:t>
      </w:r>
    </w:p>
    <w:p>
      <w:pPr>
        <w:spacing w:lineRule="auto" w:line="336" w:after="80"/>
        <w:ind w:firstLine="482"/>
        <w:jc w:val="both"/>
      </w:pPr>
      <w:r>
        <w:rPr>
          <w:rFonts w:ascii="Times New Roman" w:hAnsi="Times New Roman" w:eastAsia="宋体"/>
          <w:b w:val="0"/>
          <w:sz w:val="24"/>
        </w:rPr>
        <w:t>这一范式的历史功绩在于：以专业分工实现了软件规模化供给，以API/SDK的标准化沉淀了行业技术资产。但其内生局限在AI时代被急剧放大：</w:t>
      </w:r>
    </w:p>
    <w:p>
      <w:pPr>
        <w:spacing w:lineRule="auto" w:line="336" w:after="80"/>
        <w:ind w:firstLine="482"/>
        <w:jc w:val="both"/>
      </w:pPr>
      <w:r>
        <w:rPr>
          <w:rFonts w:ascii="Times New Roman" w:hAnsi="Times New Roman" w:eastAsia="宋体"/>
          <w:b w:val="0"/>
          <w:sz w:val="24"/>
        </w:rPr>
        <w:t>第一，供给瓶颈。APP必须由专业开发者预先开发，长尾场景（公路行业有成百上千个细分业务场景）永远得不到覆盖，因为单场景市场规模撑不起传统开发成本。</w:t>
      </w:r>
    </w:p>
    <w:p>
      <w:pPr>
        <w:spacing w:lineRule="auto" w:line="336" w:after="80"/>
        <w:ind w:firstLine="482"/>
        <w:jc w:val="both"/>
      </w:pPr>
      <w:r>
        <w:rPr>
          <w:rFonts w:ascii="Times New Roman" w:hAnsi="Times New Roman" w:eastAsia="宋体"/>
          <w:b w:val="0"/>
          <w:sz w:val="24"/>
        </w:rPr>
        <w:t>第二，使用门槛。用户必须学会使用APP，培训成本高，人机交互效率低。一个养护工程师要在五六个系统间来回切换、手工搬运数据。</w:t>
      </w:r>
    </w:p>
    <w:p>
      <w:pPr>
        <w:spacing w:lineRule="auto" w:line="336" w:after="80"/>
        <w:ind w:firstLine="482"/>
        <w:jc w:val="both"/>
      </w:pPr>
      <w:r>
        <w:rPr>
          <w:rFonts w:ascii="Times New Roman" w:hAnsi="Times New Roman" w:eastAsia="宋体"/>
          <w:b w:val="0"/>
          <w:sz w:val="24"/>
        </w:rPr>
        <w:t>第三，价值错位。用户购买的是“工具的使用权”，而用户真正想要的是“任务的完成”。工具与任务之间的鸿沟由用户自己的劳动填补，软件价值因此被严重低估——这正是行业软件“卖不上价”的根源。</w:t>
      </w:r>
    </w:p>
    <w:p>
      <w:pPr>
        <w:spacing w:lineRule="auto" w:line="336" w:after="80"/>
        <w:ind w:firstLine="482"/>
        <w:jc w:val="both"/>
      </w:pPr>
      <w:r>
        <w:rPr>
          <w:rFonts w:ascii="Times New Roman" w:hAnsi="Times New Roman" w:eastAsia="宋体"/>
          <w:b w:val="0"/>
          <w:sz w:val="24"/>
        </w:rPr>
        <w:t>第四，数据割裂。每个APP各自为政，数据锁死在软件内部，平台方和开发者都无法形成跨场景的数据资产。</w:t>
      </w:r>
    </w:p>
    <w:p>
      <w:pPr>
        <w:pStyle w:val="Heading2"/>
        <w:spacing w:before="240" w:after="120"/>
      </w:pPr>
      <w:r>
        <w:rPr>
          <w:rFonts w:ascii="Times New Roman" w:hAnsi="Times New Roman" w:eastAsia="黑体"/>
          <w:b/>
          <w:color w:val="000000"/>
          <w:sz w:val="28"/>
        </w:rPr>
        <w:t>2.2 核心预判：最终用户直接面对的将是“Agent”，本质是“意图与结果”</w:t>
      </w:r>
    </w:p>
    <w:p>
      <w:pPr>
        <w:spacing w:lineRule="auto" w:line="336" w:after="80"/>
        <w:ind w:firstLine="482"/>
        <w:jc w:val="both"/>
      </w:pPr>
      <w:r>
        <w:rPr>
          <w:rFonts w:ascii="Times New Roman" w:hAnsi="Times New Roman" w:eastAsia="宋体"/>
          <w:b w:val="0"/>
          <w:sz w:val="24"/>
        </w:rPr>
        <w:t>针对“下一步产业和消费领域最终用户直接面对的是什么——是Agent？是APP？还是其他”这一根本之问，本报告给出如下预判：</w:t>
      </w:r>
    </w:p>
    <w:p>
      <w:pPr>
        <w:spacing w:lineRule="auto" w:line="336" w:after="80"/>
        <w:ind w:firstLine="482"/>
        <w:jc w:val="both"/>
      </w:pPr>
      <w:r>
        <w:rPr>
          <w:rFonts w:ascii="Times New Roman" w:hAnsi="Times New Roman" w:eastAsia="宋体"/>
          <w:b w:val="0"/>
          <w:sz w:val="24"/>
        </w:rPr>
        <w:t>总判断：未来五年，公路行业数智化的基本范式将从“平台+APP”演进为“智能底座+Agent（数字员工）”，最终用户直接面对的将是Agent；而比“面对Agent”更深一层的本质是——用户直接面对的是“意图的表达”和“结果的交付”，中间过程被AI接管。</w:t>
      </w:r>
    </w:p>
    <w:p>
      <w:pPr>
        <w:spacing w:lineRule="auto" w:line="336" w:after="80"/>
        <w:ind w:firstLine="482"/>
        <w:jc w:val="both"/>
      </w:pPr>
      <w:r>
        <w:rPr>
          <w:rFonts w:ascii="Times New Roman" w:hAnsi="Times New Roman" w:eastAsia="宋体"/>
          <w:b w:val="0"/>
          <w:sz w:val="24"/>
        </w:rPr>
        <w:t>这一判断可以从五个层面展开论证：</w:t>
      </w:r>
    </w:p>
    <w:p>
      <w:pPr>
        <w:spacing w:lineRule="auto" w:line="336" w:after="80"/>
        <w:ind w:firstLine="482"/>
        <w:jc w:val="both"/>
      </w:pPr>
      <w:r>
        <w:rPr>
          <w:rFonts w:ascii="Times New Roman" w:hAnsi="Times New Roman" w:eastAsia="宋体"/>
          <w:b w:val="0"/>
          <w:sz w:val="24"/>
        </w:rPr>
        <w:t>第一，从需求本质看。客户是上帝，需求是根本。用户（业主、设计院、施工方、管养单位）的根本需求从来不是“使用软件”，而是“完成任务、拿到成果”：一套合规的施工图、一份准确的检测评估报告、一个及时的病害处置方案。APP是旧技术条件下用户不得不接受的中间形态。一旦技术允许直接交付结果，中间形态必然被穿透。历史上从“买发电机”到“用电网”、从“买服务器”到“用云”的演进，都遵循同一规律。</w:t>
      </w:r>
    </w:p>
    <w:p>
      <w:pPr>
        <w:spacing w:lineRule="auto" w:line="336" w:after="80"/>
        <w:ind w:firstLine="482"/>
        <w:jc w:val="both"/>
      </w:pPr>
      <w:r>
        <w:rPr>
          <w:rFonts w:ascii="Times New Roman" w:hAnsi="Times New Roman" w:eastAsia="宋体"/>
          <w:b w:val="0"/>
          <w:sz w:val="24"/>
        </w:rPr>
        <w:t>第二，从技术演进看。LLM+Skill+Agent架构已经跑通：LLM负责理解自然语言意图并进行任务规划，Skill（封装成工具/API/MCP服务的专业能力）负责执行专业动作，Agent负责编排全流程并交付结果。原本的APP并不会消失，而是“降维”为Agent调用的Skill——即APP从“人的界面”退居为“AI的工具”。这是理解新旧范式关系的关键：APP不死，但APP退到后台；人机界面的主入口从图形界面（GUI）转向意图界面（自然语言+多模态交互），并在专业场景中以“对话+三维可视化”双通道呈现。</w:t>
      </w:r>
    </w:p>
    <w:p>
      <w:pPr>
        <w:spacing w:lineRule="auto" w:line="336" w:after="80"/>
        <w:ind w:firstLine="482"/>
        <w:jc w:val="both"/>
      </w:pPr>
      <w:r>
        <w:rPr>
          <w:rFonts w:ascii="Times New Roman" w:hAnsi="Times New Roman" w:eastAsia="宋体"/>
          <w:b w:val="0"/>
          <w:sz w:val="24"/>
        </w:rPr>
        <w:t>第三，从成本结构看。AI编程使“为一个细分场景开发一个Agent/Skill”的成本下降一到两个数量级，长尾场景第一次具备了经济可行性。供给成本曲线的坍塌必然引发产品形态与商业模式的重构，这是不以任何厂商意志为转移的经济规律。</w:t>
      </w:r>
    </w:p>
    <w:p>
      <w:pPr>
        <w:spacing w:lineRule="auto" w:line="336" w:after="80"/>
        <w:ind w:firstLine="482"/>
        <w:jc w:val="both"/>
      </w:pPr>
      <w:r>
        <w:rPr>
          <w:rFonts w:ascii="Times New Roman" w:hAnsi="Times New Roman" w:eastAsia="宋体"/>
          <w:b w:val="0"/>
          <w:sz w:val="24"/>
        </w:rPr>
        <w:t>第四，从公路行业特殊性看。公路行业的任务对象是三维物理资产，任何Agent要在这个行业干活，都必须“看得懂三维、算得动几何、改得了模型”。纯语言模型做不到这一点。因此，公路行业的Agent必须站在三维图形平台之上——三维图形引擎将成为行业Agent的“眼睛和双手”，是Agent与三维工程世界之间不可替代的执行层。这正是玄镜平台在新范式中的生态位。</w:t>
      </w:r>
    </w:p>
    <w:p>
      <w:pPr>
        <w:spacing w:lineRule="auto" w:line="336" w:after="80"/>
        <w:ind w:firstLine="482"/>
        <w:jc w:val="both"/>
      </w:pPr>
      <w:r>
        <w:rPr>
          <w:rFonts w:ascii="Times New Roman" w:hAnsi="Times New Roman" w:eastAsia="宋体"/>
          <w:b w:val="0"/>
          <w:sz w:val="24"/>
        </w:rPr>
        <w:t>第五，从主要玩家的行为验证看。国际巨头纷纷将AI助手嵌入平台、开放数据环境、推出Agent框架；国内大模型厂商全力推进行业Agent；先锋设计院已在试点“AI审图”“AI选线”。产业各方的实际动作正在收敛于同一个方向。</w:t>
      </w:r>
    </w:p>
    <w:p>
      <w:pPr>
        <w:pStyle w:val="Heading2"/>
        <w:spacing w:before="240" w:after="120"/>
      </w:pPr>
      <w:r>
        <w:rPr>
          <w:rFonts w:ascii="Times New Roman" w:hAnsi="Times New Roman" w:eastAsia="黑体"/>
          <w:b/>
          <w:color w:val="000000"/>
          <w:sz w:val="28"/>
        </w:rPr>
        <w:t>2.3 新范式的完整图景：“三层两翼”架构</w:t>
      </w:r>
    </w:p>
    <w:p>
      <w:pPr>
        <w:spacing w:lineRule="auto" w:line="336" w:after="80"/>
        <w:ind w:firstLine="482"/>
        <w:jc w:val="both"/>
      </w:pPr>
      <w:r>
        <w:rPr>
          <w:rFonts w:ascii="Times New Roman" w:hAnsi="Times New Roman" w:eastAsia="宋体"/>
          <w:b w:val="0"/>
          <w:sz w:val="24"/>
        </w:rPr>
        <w:t>预判未来五年公路行业AI新范式的完整技术—产业架构，可概括为“三层两翼”：</w:t>
      </w:r>
    </w:p>
    <w:p>
      <w:pPr>
        <w:spacing w:lineRule="auto" w:line="336" w:after="80"/>
        <w:ind w:firstLine="482"/>
        <w:jc w:val="both"/>
      </w:pPr>
      <w:r>
        <w:rPr>
          <w:rFonts w:ascii="Times New Roman" w:hAnsi="Times New Roman" w:eastAsia="宋体"/>
          <w:b w:val="0"/>
          <w:sz w:val="24"/>
        </w:rPr>
        <w:t>底座层（智能底座）：由“三维图形引擎+行业大模型/基础大模型+行业数据资产+算力”共同构成。它取代旧范式中的“开发平台”，成为新范式的价值中枢。其中三维图形引擎提供几何计算、模型渲染、空间分析等原子能力；大模型提供理解、推理、规划能力；行业数据资产（规范库、案例库、成本库、病害库等）提供专业知识地基。三者缺一不可，而三维引擎与行业数据恰是通用大模型厂商最难补齐的短板。</w:t>
      </w:r>
    </w:p>
    <w:p>
      <w:pPr>
        <w:spacing w:lineRule="auto" w:line="336" w:after="80"/>
        <w:ind w:firstLine="482"/>
        <w:jc w:val="both"/>
      </w:pPr>
      <w:r>
        <w:rPr>
          <w:rFonts w:ascii="Times New Roman" w:hAnsi="Times New Roman" w:eastAsia="宋体"/>
          <w:b w:val="0"/>
          <w:sz w:val="24"/>
        </w:rPr>
        <w:t>技能层（Skill/工具层）：将公路行业的专业能力——选线、路基路面设计、桥隧结构计算、工程量与造价、检测评估、养护决策等——封装为标准化的Skill（API/MCP工具/函数），供Agent调用。旧范式中的APP和专业软件在此层获得“第二生命”。技能层的丰富度决定Agent的能力边界，这一层将成为新范式下开发者生态的主阵地。</w:t>
      </w:r>
    </w:p>
    <w:p>
      <w:pPr>
        <w:spacing w:lineRule="auto" w:line="336" w:after="80"/>
        <w:ind w:firstLine="482"/>
        <w:jc w:val="both"/>
      </w:pPr>
      <w:r>
        <w:rPr>
          <w:rFonts w:ascii="Times New Roman" w:hAnsi="Times New Roman" w:eastAsia="宋体"/>
          <w:b w:val="0"/>
          <w:sz w:val="24"/>
        </w:rPr>
        <w:t>智能体层（Agent层/数字员工层）：面向具体岗位和任务的Agent，如“公路设计校审数字员工”“桥梁健康监测数字员工”“养护决策数字员工”“造价咨询数字员工”等。用户以自然语言下达任务，Agent规划、调用技能、执行、自检、交付结果，人负责关键节点的确认与签字。这一层直接面对最终用户，承载客户关系与商业变现。</w:t>
      </w:r>
    </w:p>
    <w:p>
      <w:pPr>
        <w:spacing w:lineRule="auto" w:line="336" w:after="80"/>
        <w:ind w:firstLine="482"/>
        <w:jc w:val="both"/>
      </w:pPr>
      <w:r>
        <w:rPr>
          <w:rFonts w:ascii="Times New Roman" w:hAnsi="Times New Roman" w:eastAsia="宋体"/>
          <w:b w:val="0"/>
          <w:sz w:val="24"/>
        </w:rPr>
        <w:t>两翼之一是数据飞轮：用户使用Agent产生高质量业务数据→数据反哺模型与技能优化→Agent更好用→更多用户使用。谁先转起数据飞轮，谁就建立起后来者难以逾越的壁垒。</w:t>
      </w:r>
    </w:p>
    <w:p>
      <w:pPr>
        <w:spacing w:lineRule="auto" w:line="336" w:after="80"/>
        <w:ind w:firstLine="482"/>
        <w:jc w:val="both"/>
      </w:pPr>
      <w:r>
        <w:rPr>
          <w:rFonts w:ascii="Times New Roman" w:hAnsi="Times New Roman" w:eastAsia="宋体"/>
          <w:b w:val="0"/>
          <w:sz w:val="24"/>
        </w:rPr>
        <w:t>两翼之二是信任体系：工程行业人命关天，AI成果必须可追溯、可验证、可归责。“AI生成+专业校核+数字签名+责任保险”的信任链条，以及符合规范的AI质量评价标准，将成为新范式落地的制度基础，也是先行者参与行业标准制定的战略机会。</w:t>
      </w:r>
    </w:p>
    <w:p>
      <w:pPr>
        <w:pStyle w:val="Heading2"/>
        <w:spacing w:before="240" w:after="120"/>
      </w:pPr>
      <w:r>
        <w:rPr>
          <w:rFonts w:ascii="Times New Roman" w:hAnsi="Times New Roman" w:eastAsia="黑体"/>
          <w:b/>
          <w:color w:val="000000"/>
          <w:sz w:val="28"/>
        </w:rPr>
        <w:t>2.4 过渡期形态：AI配置平台是通向新范式的“渡船”</w:t>
      </w:r>
    </w:p>
    <w:p>
      <w:pPr>
        <w:spacing w:lineRule="auto" w:line="336" w:after="80"/>
        <w:ind w:firstLine="482"/>
        <w:jc w:val="both"/>
      </w:pPr>
      <w:r>
        <w:rPr>
          <w:rFonts w:ascii="Times New Roman" w:hAnsi="Times New Roman" w:eastAsia="宋体"/>
          <w:b w:val="0"/>
          <w:sz w:val="24"/>
        </w:rPr>
        <w:t>范式转换不会一夜完成。2026～2027年的过渡期中，最现实的产品形态是“应用系统的AI配置平台+AI配套工具”：利用AI编程能力，让实施人员甚至用户自己通过自然语言+可视化配置，在几天内“配置”出贴合自身场景的应用系统，而非传统的“开发”。配合“超低价+超值服务”策略，快速激发全行业被高价压抑的数智化需求，抢占客户、积累高质量业务数据。</w:t>
      </w:r>
    </w:p>
    <w:p>
      <w:pPr>
        <w:spacing w:lineRule="auto" w:line="336" w:after="80"/>
        <w:ind w:firstLine="482"/>
        <w:jc w:val="both"/>
      </w:pPr>
      <w:r>
        <w:rPr>
          <w:rFonts w:ascii="Times New Roman" w:hAnsi="Times New Roman" w:eastAsia="宋体"/>
          <w:b w:val="0"/>
          <w:sz w:val="24"/>
        </w:rPr>
        <w:t>必须清醒认识AI配置平台的战略定位：它是“渡船”而非“彼岸”。其真正的战略价值有三：一是获客——以极低门槛把大量行业用户变成自己的用户；二是获数——在服务中沉淀行业规范知识、业务流程知识和真实业务数据，这是训练行业Agent最稀缺的原料；三是练兵——配置平台中每一个被反复配置使用的功能模块，都是未来Skill层的候选构件，配置平台本身将平滑演化为“Agent配置/编排平台”。</w:t>
      </w:r>
    </w:p>
    <w:p>
      <w:pPr>
        <w:pStyle w:val="Heading2"/>
        <w:spacing w:before="240" w:after="120"/>
      </w:pPr>
      <w:r>
        <w:rPr>
          <w:rFonts w:ascii="Times New Roman" w:hAnsi="Times New Roman" w:eastAsia="黑体"/>
          <w:b/>
          <w:color w:val="000000"/>
          <w:sz w:val="28"/>
        </w:rPr>
        <w:t>2.5 五年演进节奏预判（2026～2030）</w:t>
      </w:r>
    </w:p>
    <w:p>
      <w:pPr>
        <w:spacing w:lineRule="auto" w:line="336" w:after="80"/>
        <w:ind w:firstLine="482"/>
        <w:jc w:val="both"/>
      </w:pPr>
      <w:r>
        <w:rPr>
          <w:rFonts w:ascii="Times New Roman" w:hAnsi="Times New Roman" w:eastAsia="宋体"/>
          <w:b w:val="0"/>
          <w:sz w:val="24"/>
        </w:rPr>
        <w:t>综合技术成熟度、政策周期与行业接受度，预判公路行业AI新范式的演进节奏如下：</w:t>
      </w:r>
    </w:p>
    <w:p>
      <w:pPr>
        <w:spacing w:lineRule="auto" w:line="336" w:after="80"/>
        <w:ind w:firstLine="482"/>
        <w:jc w:val="both"/>
      </w:pPr>
      <w:r>
        <w:rPr>
          <w:rFonts w:ascii="Times New Roman" w:hAnsi="Times New Roman" w:eastAsia="宋体"/>
          <w:b w:val="0"/>
          <w:sz w:val="24"/>
        </w:rPr>
        <w:t>2026年——“AI辅助元年”：AI配置平台+嵌入式AI助手为主，Agent在审图、报告生成、知识问答等低风险高价值场景率先商用；行业开始出现“AI数字员工”概念验证项目。</w:t>
      </w:r>
    </w:p>
    <w:p>
      <w:pPr>
        <w:spacing w:lineRule="auto" w:line="336" w:after="80"/>
        <w:ind w:firstLine="482"/>
        <w:jc w:val="both"/>
      </w:pPr>
      <w:r>
        <w:rPr>
          <w:rFonts w:ascii="Times New Roman" w:hAnsi="Times New Roman" w:eastAsia="宋体"/>
          <w:b w:val="0"/>
          <w:sz w:val="24"/>
        </w:rPr>
        <w:t>2027年——“人机协同年”：单场景Agent批量成熟，设计、造价、检测、养护四大场景出现规模化付费；“对话+三维”交互成为新建系统标配；行业数据标准与AI质量评价标准开始制定。</w:t>
      </w:r>
    </w:p>
    <w:p>
      <w:pPr>
        <w:spacing w:lineRule="auto" w:line="336" w:after="80"/>
        <w:ind w:firstLine="482"/>
        <w:jc w:val="both"/>
      </w:pPr>
      <w:r>
        <w:rPr>
          <w:rFonts w:ascii="Times New Roman" w:hAnsi="Times New Roman" w:eastAsia="宋体"/>
          <w:b w:val="0"/>
          <w:sz w:val="24"/>
        </w:rPr>
        <w:t>2028年——“范式确立年”：多Agent协同（如设计Agent+造价Agent+审查Agent流水线作业）跑通，主流业主在招标中明确要求AI能力；旧范式软件市场明显萎缩，行业格局重新洗牌，底座层集中度快速提升。</w:t>
      </w:r>
    </w:p>
    <w:p>
      <w:pPr>
        <w:spacing w:lineRule="auto" w:line="336" w:after="80"/>
        <w:ind w:firstLine="482"/>
        <w:jc w:val="both"/>
      </w:pPr>
      <w:r>
        <w:rPr>
          <w:rFonts w:ascii="Times New Roman" w:hAnsi="Times New Roman" w:eastAsia="宋体"/>
          <w:b w:val="0"/>
          <w:sz w:val="24"/>
        </w:rPr>
        <w:t>2029年——“数字员工普及年”：Agent以“数字员工”身份进入编制——按岗位订阅、按任务结算成为主流商业模式；空间智能与无人机、机器人、车路协同设备结合，Agent从“处理数据”延伸到“感知与作用于物理路网”。</w:t>
      </w:r>
    </w:p>
    <w:p>
      <w:pPr>
        <w:spacing w:lineRule="auto" w:line="336" w:after="80"/>
        <w:ind w:firstLine="482"/>
        <w:jc w:val="both"/>
      </w:pPr>
      <w:r>
        <w:rPr>
          <w:rFonts w:ascii="Times New Roman" w:hAnsi="Times New Roman" w:eastAsia="宋体"/>
          <w:b w:val="0"/>
          <w:sz w:val="24"/>
        </w:rPr>
        <w:t>2030年——“自主化起点年”：在养护决策、交通组织等领域出现有限自主的Agent集群，人类角色收敛为目标设定、关键审批与责任承担；公路基础设施进入“数字孪生+AI自主运维”的新阶段，行业数智化渗透率超过50%。</w:t>
      </w:r>
    </w:p>
    <w:p>
      <w:pPr>
        <w:spacing w:lineRule="auto" w:line="336" w:after="80"/>
        <w:ind w:firstLine="482"/>
        <w:jc w:val="both"/>
      </w:pPr>
      <w:r>
        <w:rPr>
          <w:rFonts w:ascii="Times New Roman" w:hAnsi="Times New Roman" w:eastAsia="宋体"/>
          <w:b w:val="0"/>
          <w:sz w:val="24"/>
        </w:rPr>
        <w:t>对上述节奏预判，公司应每半年滚动校准一次。战略上宁可对节奏留有余地，也绝不能对方向存有侥幸——方向就是Agent，就是意图与结果，就是智能底座。</w:t>
      </w:r>
    </w:p>
    <w:p>
      <w:pPr>
        <w:pStyle w:val="Heading2"/>
        <w:spacing w:before="240" w:after="120"/>
      </w:pPr>
      <w:r>
        <w:rPr>
          <w:rFonts w:ascii="Times New Roman" w:hAnsi="Times New Roman" w:eastAsia="黑体"/>
          <w:b/>
          <w:color w:val="000000"/>
          <w:sz w:val="28"/>
        </w:rPr>
        <w:t>2.6 新范式下的产业分工与价值分配</w:t>
      </w:r>
    </w:p>
    <w:p>
      <w:pPr>
        <w:spacing w:lineRule="auto" w:line="336" w:after="80"/>
        <w:ind w:firstLine="482"/>
        <w:jc w:val="both"/>
      </w:pPr>
      <w:r>
        <w:rPr>
          <w:rFonts w:ascii="Times New Roman" w:hAnsi="Times New Roman" w:eastAsia="宋体"/>
          <w:b w:val="0"/>
          <w:sz w:val="24"/>
        </w:rPr>
        <w:t>新范式下，旧的“平台方—开发者—用户”三方分工演化为新的角色体系：</w:t>
      </w:r>
    </w:p>
    <w:p>
      <w:pPr>
        <w:spacing w:lineRule="auto" w:line="336" w:after="80"/>
        <w:ind w:firstLine="482"/>
        <w:jc w:val="both"/>
      </w:pPr>
      <w:r>
        <w:rPr>
          <w:rFonts w:ascii="Times New Roman" w:hAnsi="Times New Roman" w:eastAsia="宋体"/>
          <w:b w:val="0"/>
          <w:sz w:val="24"/>
        </w:rPr>
        <w:t>智能底座方：提供三维引擎+模型+数据+工具链的一体化底座，是新范式的“操作系统”，占据价值链制高点，具备最强的网络效应和议价权。</w:t>
      </w:r>
    </w:p>
    <w:p>
      <w:pPr>
        <w:spacing w:lineRule="auto" w:line="336" w:after="80"/>
        <w:ind w:firstLine="482"/>
        <w:jc w:val="both"/>
      </w:pPr>
      <w:r>
        <w:rPr>
          <w:rFonts w:ascii="Times New Roman" w:hAnsi="Times New Roman" w:eastAsia="宋体"/>
          <w:b w:val="0"/>
          <w:sz w:val="24"/>
        </w:rPr>
        <w:t>Skill开发者/Agent开发商：基于底座开发专业技能与行业Agent，类似旧范式的开发者，但开发效率提升十倍以上，数量将大幅增长，长尾创新繁荣。</w:t>
      </w:r>
    </w:p>
    <w:p>
      <w:pPr>
        <w:spacing w:lineRule="auto" w:line="336" w:after="80"/>
        <w:ind w:firstLine="482"/>
        <w:jc w:val="both"/>
      </w:pPr>
      <w:r>
        <w:rPr>
          <w:rFonts w:ascii="Times New Roman" w:hAnsi="Times New Roman" w:eastAsia="宋体"/>
          <w:b w:val="0"/>
          <w:sz w:val="24"/>
        </w:rPr>
        <w:t>Agent运营方/数字员工服务商：负责Agent的部署、调优、托管运营与效果担责，直接服务最终用户，类似“数字劳务派遣公司”，是全新出现的角色。</w:t>
      </w:r>
    </w:p>
    <w:p>
      <w:pPr>
        <w:spacing w:lineRule="auto" w:line="336" w:after="80"/>
        <w:ind w:firstLine="482"/>
        <w:jc w:val="both"/>
      </w:pPr>
      <w:r>
        <w:rPr>
          <w:rFonts w:ascii="Times New Roman" w:hAnsi="Times New Roman" w:eastAsia="宋体"/>
          <w:b w:val="0"/>
          <w:sz w:val="24"/>
        </w:rPr>
        <w:t>用户：从“软件使用者”变为“AI雇主/任务发包方”，采购决策依据从“功能清单对比”转向“任务完成质量与成本对比”。</w:t>
      </w:r>
    </w:p>
    <w:p>
      <w:pPr>
        <w:spacing w:lineRule="auto" w:line="336" w:after="80"/>
        <w:ind w:firstLine="482"/>
        <w:jc w:val="both"/>
      </w:pPr>
      <w:r>
        <w:rPr>
          <w:rFonts w:ascii="Times New Roman" w:hAnsi="Times New Roman" w:eastAsia="宋体"/>
          <w:b w:val="0"/>
          <w:sz w:val="24"/>
        </w:rPr>
        <w:t>政府/协会：从信息化项目发包方，扩展为数据要素运营规则的制定者、AI质量标准与责任体系的建立者。</w:t>
      </w:r>
    </w:p>
    <w:p>
      <w:pPr>
        <w:spacing w:lineRule="auto" w:line="336" w:after="80"/>
        <w:ind w:firstLine="482"/>
        <w:jc w:val="both"/>
      </w:pPr>
      <w:r>
        <w:rPr>
          <w:rFonts w:ascii="Times New Roman" w:hAnsi="Times New Roman" w:eastAsia="宋体"/>
          <w:b w:val="0"/>
          <w:sz w:val="24"/>
        </w:rPr>
        <w:t>价值分配将从旧范式的“license费在平台方与开发者之间分成”，转向“任务价值在底座方、Skill方、运营方之间按贡献动态分成”。底座方凭借不可替代性获得类似“云计算+应用商店”的双重抽成地位。云基公司的战略雄心，应当也必须是成为公路行业的智能底座方，同时亲自下场做首批最关键的Agent。</w:t>
      </w:r>
    </w:p>
    <w:p>
      <w:r>
        <w:br w:type="page"/>
      </w:r>
    </w:p>
    <w:p>
      <w:pPr>
        <w:pStyle w:val="Heading1"/>
        <w:pageBreakBefore w:val="0"/>
        <w:spacing w:before="360" w:after="200"/>
      </w:pPr>
      <w:r>
        <w:rPr>
          <w:rFonts w:ascii="Times New Roman" w:hAnsi="Times New Roman" w:eastAsia="黑体"/>
          <w:b/>
          <w:color w:val="000000"/>
          <w:sz w:val="32"/>
        </w:rPr>
        <w:t>第三章 战略基点：云基公司的资源禀赋、差距与战略定位</w:t>
      </w:r>
    </w:p>
    <w:p>
      <w:pPr>
        <w:pStyle w:val="Heading2"/>
        <w:spacing w:before="240" w:after="120"/>
      </w:pPr>
      <w:r>
        <w:rPr>
          <w:rFonts w:ascii="Times New Roman" w:hAnsi="Times New Roman" w:eastAsia="黑体"/>
          <w:b/>
          <w:color w:val="000000"/>
          <w:sz w:val="28"/>
        </w:rPr>
        <w:t>3.1 核心资产盘点</w:t>
      </w:r>
    </w:p>
    <w:p>
      <w:pPr>
        <w:spacing w:lineRule="auto" w:line="336" w:after="80"/>
        <w:ind w:firstLine="482"/>
        <w:jc w:val="both"/>
      </w:pPr>
      <w:r>
        <w:rPr>
          <w:rFonts w:ascii="Times New Roman" w:hAnsi="Times New Roman" w:eastAsia="宋体"/>
          <w:b w:val="0"/>
          <w:sz w:val="24"/>
        </w:rPr>
        <w:t>制订战略必须先盘清家底。云基公司在软件、数据、硬件三类存量技术与产品上的核心资产包括：</w:t>
      </w:r>
    </w:p>
    <w:p>
      <w:pPr>
        <w:spacing w:lineRule="auto" w:line="336" w:after="80"/>
        <w:ind w:firstLine="482"/>
        <w:jc w:val="both"/>
      </w:pPr>
      <w:r>
        <w:rPr>
          <w:rFonts w:ascii="Times New Roman" w:hAnsi="Times New Roman" w:eastAsia="宋体"/>
          <w:b w:val="0"/>
          <w:sz w:val="24"/>
        </w:rPr>
        <w:t>软件类：拥有自主可控的“卡脖子”三维数字化核心技术（几何造型、图形渲染、大体量模型处理等）和玄镜三维图形平台。玄镜平台作为“平台+APP”模式中的代表性平台已经实际应用，具备API/SDK开放能力，经受过真实工程项目检验。这是公司最核心、最稀缺的战略资产——在全国范围内，真正自主掌握三维图形底层技术的企业屈指可数。</w:t>
      </w:r>
    </w:p>
    <w:p>
      <w:pPr>
        <w:spacing w:lineRule="auto" w:line="336" w:after="80"/>
        <w:ind w:firstLine="482"/>
        <w:jc w:val="both"/>
      </w:pPr>
      <w:r>
        <w:rPr>
          <w:rFonts w:ascii="Times New Roman" w:hAnsi="Times New Roman" w:eastAsia="宋体"/>
          <w:b w:val="0"/>
          <w:sz w:val="24"/>
        </w:rPr>
        <w:t>数据类：伴随平台应用积累的三维模型数据、工程项目数据、行业规范知识，以及服务客户过程中形成的业务流程认知。目前尚未资产化、尚未AI就绪（AI-ready），是待开采的富矿。</w:t>
      </w:r>
    </w:p>
    <w:p>
      <w:pPr>
        <w:spacing w:lineRule="auto" w:line="336" w:after="80"/>
        <w:ind w:firstLine="482"/>
        <w:jc w:val="both"/>
      </w:pPr>
      <w:r>
        <w:rPr>
          <w:rFonts w:ascii="Times New Roman" w:hAnsi="Times New Roman" w:eastAsia="宋体"/>
          <w:b w:val="0"/>
          <w:sz w:val="24"/>
        </w:rPr>
        <w:t>硬件与工程能力类：与三维数字化配套的数据采集、建模处理等工程化能力，以及一支同时懂土木工程与软件技术的复合型队伍——这种“行业Know-how+软件能力”的复合基因，是纯软件公司和纯设计院都不具备的。</w:t>
      </w:r>
    </w:p>
    <w:p>
      <w:pPr>
        <w:spacing w:lineRule="auto" w:line="336" w:after="80"/>
        <w:ind w:firstLine="482"/>
        <w:jc w:val="both"/>
      </w:pPr>
      <w:r>
        <w:rPr>
          <w:rFonts w:ascii="Times New Roman" w:hAnsi="Times New Roman" w:eastAsia="宋体"/>
          <w:b w:val="0"/>
          <w:sz w:val="24"/>
        </w:rPr>
        <w:t>同时必须直面短板：玄镜平台尚无明确稳定的商业模式，收入依赖项目制、可持续性弱；AI技术储备（大模型应用、Agent工程化）相对薄弱；市场品牌与销售网络覆盖有限；资金规模无法支撑烧钱竞赛。</w:t>
      </w:r>
    </w:p>
    <w:p>
      <w:pPr>
        <w:pStyle w:val="Heading2"/>
        <w:spacing w:before="240" w:after="120"/>
      </w:pPr>
      <w:r>
        <w:rPr>
          <w:rFonts w:ascii="Times New Roman" w:hAnsi="Times New Roman" w:eastAsia="黑体"/>
          <w:b/>
          <w:color w:val="000000"/>
          <w:sz w:val="28"/>
        </w:rPr>
        <w:t>3.2 SWOT综合研判</w:t>
      </w:r>
    </w:p>
    <w:p>
      <w:pPr>
        <w:spacing w:lineRule="auto" w:line="336" w:after="80"/>
        <w:ind w:firstLine="482"/>
        <w:jc w:val="both"/>
      </w:pPr>
      <w:r>
        <w:rPr>
          <w:rFonts w:ascii="Times New Roman" w:hAnsi="Times New Roman" w:eastAsia="宋体"/>
          <w:b w:val="0"/>
          <w:sz w:val="24"/>
        </w:rPr>
        <w:t>优势（S）：自主三维内核的稀缺性与信创合规性；玄镜平台的工程实践验证；行业复合型团队；船小好调头的组织敏捷性。</w:t>
      </w:r>
    </w:p>
    <w:p>
      <w:pPr>
        <w:spacing w:lineRule="auto" w:line="336" w:after="80"/>
        <w:ind w:firstLine="482"/>
        <w:jc w:val="both"/>
      </w:pPr>
      <w:r>
        <w:rPr>
          <w:rFonts w:ascii="Times New Roman" w:hAnsi="Times New Roman" w:eastAsia="宋体"/>
          <w:b w:val="0"/>
          <w:sz w:val="24"/>
        </w:rPr>
        <w:t>劣势（W）：商业模式未定型、现金流依赖项目；AI人才与工程化经验不足；品牌影响力和渠道网络有限；数据尚未形成可用资产。</w:t>
      </w:r>
    </w:p>
    <w:p>
      <w:pPr>
        <w:spacing w:lineRule="auto" w:line="336" w:after="80"/>
        <w:ind w:firstLine="482"/>
        <w:jc w:val="both"/>
      </w:pPr>
      <w:r>
        <w:rPr>
          <w:rFonts w:ascii="Times New Roman" w:hAnsi="Times New Roman" w:eastAsia="宋体"/>
          <w:b w:val="0"/>
          <w:sz w:val="24"/>
        </w:rPr>
        <w:t>机遇（O）：“十五五”与“一网四化”带来的政策与预算窗口；国产替代刚性需求；AI使长尾场景首次具备商业可行性；国际巨头与国内大厂尚未完成公路细分行业的“底座+Agent”闭环，存在两到三年的卡位窗口。</w:t>
      </w:r>
    </w:p>
    <w:p>
      <w:pPr>
        <w:spacing w:lineRule="auto" w:line="336" w:after="80"/>
        <w:ind w:firstLine="482"/>
        <w:jc w:val="both"/>
      </w:pPr>
      <w:r>
        <w:rPr>
          <w:rFonts w:ascii="Times New Roman" w:hAnsi="Times New Roman" w:eastAsia="宋体"/>
          <w:b w:val="0"/>
          <w:sz w:val="24"/>
        </w:rPr>
        <w:t>威胁（T）：通用大模型厂商向下渗透行业场景；国际巨头AI化转型后卷土重来；大型设计院自建平台自给自足；低价同质化竞争导致过渡期市场恶性内卷；范式节奏误判导致投入错配。</w:t>
      </w:r>
    </w:p>
    <w:p>
      <w:pPr>
        <w:spacing w:lineRule="auto" w:line="336" w:after="80"/>
        <w:ind w:firstLine="482"/>
        <w:jc w:val="both"/>
      </w:pPr>
      <w:r>
        <w:rPr>
          <w:rFonts w:ascii="Times New Roman" w:hAnsi="Times New Roman" w:eastAsia="宋体"/>
          <w:b w:val="0"/>
          <w:sz w:val="24"/>
        </w:rPr>
        <w:t>综合研判的结论是：云基公司不可能也不必要在通用AI上与大厂竞争，但完全有条件在“公路行业三维智能底座”这一细分制高点上建立根据地——因为这个制高点同时需要三样东西：自主三维引擎、行业Know-how、行业数据，而云基是极少数三者兼备（或有条件兼备）的玩家。</w:t>
      </w:r>
    </w:p>
    <w:p>
      <w:pPr>
        <w:pStyle w:val="Heading2"/>
        <w:spacing w:before="240" w:after="120"/>
      </w:pPr>
      <w:r>
        <w:rPr>
          <w:rFonts w:ascii="Times New Roman" w:hAnsi="Times New Roman" w:eastAsia="黑体"/>
          <w:b/>
          <w:color w:val="000000"/>
          <w:sz w:val="28"/>
        </w:rPr>
        <w:t>3.3 战略定位</w:t>
      </w:r>
    </w:p>
    <w:p>
      <w:pPr>
        <w:spacing w:lineRule="auto" w:line="336" w:after="80"/>
        <w:ind w:firstLine="482"/>
        <w:jc w:val="both"/>
      </w:pPr>
      <w:r>
        <w:rPr>
          <w:rFonts w:ascii="Times New Roman" w:hAnsi="Times New Roman" w:eastAsia="宋体"/>
          <w:b w:val="0"/>
          <w:sz w:val="24"/>
        </w:rPr>
        <w:t>据此，确立云基公司未来五年的战略定位：</w:t>
      </w:r>
    </w:p>
    <w:p>
      <w:pPr>
        <w:spacing w:lineRule="auto" w:line="336" w:after="80"/>
        <w:ind w:firstLine="482"/>
        <w:jc w:val="both"/>
      </w:pPr>
      <w:r>
        <w:rPr>
          <w:rFonts w:ascii="Times New Roman" w:hAnsi="Times New Roman" w:eastAsia="宋体"/>
          <w:b w:val="0"/>
          <w:sz w:val="24"/>
        </w:rPr>
        <w:t>做公路行业AI新范式的“智能底座+数字员工工厂”——以玄镜三维图形平台为根基，升级为“玄镜智能底座”；以AI配置平台为渡船，快速获客获数；以行业Skill库和数字员工（Agent）为拳头产品，直接为客户交付任务结果；最终成为公路行业数智化AI新范式的规则共建者和生态核心。</w:t>
      </w:r>
    </w:p>
    <w:p>
      <w:pPr>
        <w:spacing w:lineRule="auto" w:line="336" w:after="80"/>
        <w:ind w:firstLine="482"/>
        <w:jc w:val="both"/>
      </w:pPr>
      <w:r>
        <w:rPr>
          <w:rFonts w:ascii="Times New Roman" w:hAnsi="Times New Roman" w:eastAsia="宋体"/>
          <w:b w:val="0"/>
          <w:sz w:val="24"/>
        </w:rPr>
        <w:t>一句话向全体员工表述：我们不再是“卖图形平台的公司”，我们是“用自主三维底座为公路行业制造AI数字员工的公司”。</w:t>
      </w:r>
    </w:p>
    <w:p>
      <w:r>
        <w:br w:type="page"/>
      </w:r>
    </w:p>
    <w:p>
      <w:pPr>
        <w:pStyle w:val="Heading1"/>
        <w:pageBreakBefore w:val="0"/>
        <w:spacing w:before="360" w:after="200"/>
      </w:pPr>
      <w:r>
        <w:rPr>
          <w:rFonts w:ascii="Times New Roman" w:hAnsi="Times New Roman" w:eastAsia="黑体"/>
          <w:b/>
          <w:color w:val="000000"/>
          <w:sz w:val="32"/>
        </w:rPr>
        <w:t>第四章 发展战略总体规划（2026～2030）</w:t>
      </w:r>
    </w:p>
    <w:p>
      <w:pPr>
        <w:pStyle w:val="Heading2"/>
        <w:spacing w:before="240" w:after="120"/>
      </w:pPr>
      <w:r>
        <w:rPr>
          <w:rFonts w:ascii="Times New Roman" w:hAnsi="Times New Roman" w:eastAsia="黑体"/>
          <w:b/>
          <w:color w:val="000000"/>
          <w:sz w:val="28"/>
        </w:rPr>
        <w:t>4.1 愿景与使命</w:t>
      </w:r>
    </w:p>
    <w:p>
      <w:pPr>
        <w:spacing w:lineRule="auto" w:line="336" w:after="80"/>
        <w:ind w:firstLine="482"/>
        <w:jc w:val="both"/>
      </w:pPr>
      <w:r>
        <w:rPr>
          <w:rFonts w:ascii="Times New Roman" w:hAnsi="Times New Roman" w:eastAsia="宋体"/>
          <w:b w:val="0"/>
          <w:sz w:val="24"/>
        </w:rPr>
        <w:t>愿景：成为中国公路行业智能化的核心底座企业，让每一条公路都拥有自己的数字员工。</w:t>
      </w:r>
    </w:p>
    <w:p>
      <w:pPr>
        <w:spacing w:lineRule="auto" w:line="336" w:after="80"/>
        <w:ind w:firstLine="482"/>
        <w:jc w:val="both"/>
      </w:pPr>
      <w:r>
        <w:rPr>
          <w:rFonts w:ascii="Times New Roman" w:hAnsi="Times New Roman" w:eastAsia="宋体"/>
          <w:b w:val="0"/>
          <w:sz w:val="24"/>
        </w:rPr>
        <w:t>使命：以自主可控的三维数字化与人工智能技术，把公路工程师从重复劳动中解放出来，让公路基础设施更安全、更耐久、更绿色、更经济。</w:t>
      </w:r>
    </w:p>
    <w:p>
      <w:pPr>
        <w:pStyle w:val="Heading2"/>
        <w:spacing w:before="240" w:after="120"/>
      </w:pPr>
      <w:r>
        <w:rPr>
          <w:rFonts w:ascii="Times New Roman" w:hAnsi="Times New Roman" w:eastAsia="黑体"/>
          <w:b/>
          <w:color w:val="000000"/>
          <w:sz w:val="28"/>
        </w:rPr>
        <w:t>4.2 战略总目标与分项目标</w:t>
      </w:r>
    </w:p>
    <w:p>
      <w:pPr>
        <w:spacing w:lineRule="auto" w:line="336" w:after="80"/>
        <w:ind w:firstLine="482"/>
        <w:jc w:val="both"/>
      </w:pPr>
      <w:r>
        <w:rPr>
          <w:rFonts w:ascii="Times New Roman" w:hAnsi="Times New Roman" w:eastAsia="宋体"/>
          <w:b w:val="0"/>
          <w:sz w:val="24"/>
        </w:rPr>
        <w:t>总目标：到2030年，建成公路行业领先的“玄镜智能底座+行业Skill库+数字员工矩阵”三层产品体系，服务行业客户不少于1000家，年度经常性收入（ARR）占总收入比重超过60%，成为公路行业AI新范式事实标准的主要制定者之一。</w:t>
      </w:r>
    </w:p>
    <w:p>
      <w:pPr>
        <w:spacing w:lineRule="auto" w:line="336" w:after="80"/>
        <w:ind w:firstLine="482"/>
        <w:jc w:val="both"/>
      </w:pPr>
      <w:r>
        <w:rPr>
          <w:rFonts w:ascii="Times New Roman" w:hAnsi="Times New Roman" w:eastAsia="宋体"/>
          <w:b w:val="0"/>
          <w:sz w:val="24"/>
        </w:rPr>
        <w:t>分项目标：</w:t>
      </w:r>
    </w:p>
    <w:p>
      <w:pPr>
        <w:spacing w:lineRule="auto" w:line="336" w:after="80"/>
        <w:ind w:firstLine="482"/>
        <w:jc w:val="both"/>
      </w:pPr>
      <w:r>
        <w:rPr>
          <w:rFonts w:ascii="Times New Roman" w:hAnsi="Times New Roman" w:eastAsia="宋体"/>
          <w:b w:val="0"/>
          <w:sz w:val="24"/>
        </w:rPr>
        <w:t>技术目标：玄镜平台完成AI化改造，三维图形能力全面Skill化/MCP化；建成公路行业知识库与专业模型体系；Agent工程化能力达到行业第一梯队。</w:t>
      </w:r>
    </w:p>
    <w:p>
      <w:pPr>
        <w:spacing w:lineRule="auto" w:line="336" w:after="80"/>
        <w:ind w:firstLine="482"/>
        <w:jc w:val="both"/>
      </w:pPr>
      <w:r>
        <w:rPr>
          <w:rFonts w:ascii="Times New Roman" w:hAnsi="Times New Roman" w:eastAsia="宋体"/>
          <w:b w:val="0"/>
          <w:sz w:val="24"/>
        </w:rPr>
        <w:t>产品目标：形成“底座—配置平台—数字员工”三层产品线；到2028年上线不少于30个成熟Skill、10个以上规模商用的数字员工；到2030年数字员工覆盖设计、建造、检测、养护、运营全生命周期主要岗位。</w:t>
      </w:r>
    </w:p>
    <w:p>
      <w:pPr>
        <w:spacing w:lineRule="auto" w:line="336" w:after="80"/>
        <w:ind w:firstLine="482"/>
        <w:jc w:val="both"/>
      </w:pPr>
      <w:r>
        <w:rPr>
          <w:rFonts w:ascii="Times New Roman" w:hAnsi="Times New Roman" w:eastAsia="宋体"/>
          <w:b w:val="0"/>
          <w:sz w:val="24"/>
        </w:rPr>
        <w:t>市场目标：2026年获客不少于100家（含试用）、标杆案例不少于10个；2028年付费客户不少于400家；2030年服务客户不少于1000家，覆盖全国主要省份交通系统。</w:t>
      </w:r>
    </w:p>
    <w:p>
      <w:pPr>
        <w:spacing w:lineRule="auto" w:line="336" w:after="80"/>
        <w:ind w:firstLine="482"/>
        <w:jc w:val="both"/>
      </w:pPr>
      <w:r>
        <w:rPr>
          <w:rFonts w:ascii="Times New Roman" w:hAnsi="Times New Roman" w:eastAsia="宋体"/>
          <w:b w:val="0"/>
          <w:sz w:val="24"/>
        </w:rPr>
        <w:t>数据目标：2026年建成行业数据治理体系并完成存量数据资产化；到2030年形成公路行业规模领先、质量领先的AI训练与评测数据资产，并实现数据要素合规化经营。</w:t>
      </w:r>
    </w:p>
    <w:p>
      <w:pPr>
        <w:spacing w:lineRule="auto" w:line="336" w:after="80"/>
        <w:ind w:firstLine="482"/>
        <w:jc w:val="both"/>
      </w:pPr>
      <w:r>
        <w:rPr>
          <w:rFonts w:ascii="Times New Roman" w:hAnsi="Times New Roman" w:eastAsia="宋体"/>
          <w:b w:val="0"/>
          <w:sz w:val="24"/>
        </w:rPr>
        <w:t>生态目标：到2030年发展生态开发者/合作伙伴不少于200家，参与制定行业AI相关标准不少于5项。</w:t>
      </w:r>
    </w:p>
    <w:p>
      <w:pPr>
        <w:pStyle w:val="Heading2"/>
        <w:spacing w:before="240" w:after="120"/>
      </w:pPr>
      <w:r>
        <w:rPr>
          <w:rFonts w:ascii="Times New Roman" w:hAnsi="Times New Roman" w:eastAsia="黑体"/>
          <w:b/>
          <w:color w:val="000000"/>
          <w:sz w:val="28"/>
        </w:rPr>
        <w:t>4.3 “三步走”战略路径</w:t>
      </w:r>
    </w:p>
    <w:p>
      <w:pPr>
        <w:spacing w:lineRule="auto" w:line="336" w:after="80"/>
        <w:ind w:firstLine="482"/>
        <w:jc w:val="both"/>
      </w:pPr>
      <w:r>
        <w:rPr>
          <w:rFonts w:ascii="Times New Roman" w:hAnsi="Times New Roman" w:eastAsia="宋体"/>
          <w:b w:val="0"/>
          <w:sz w:val="24"/>
        </w:rPr>
        <w:t>第一步（2026～2027）：立足——“渡船战略”。以AI配置平台+超低价+超值服务快速获客获数，同步完成玄镜底座AI化改造，推出首批数字员工，验证新商业模式，实现经常性收入从无到有。</w:t>
      </w:r>
    </w:p>
    <w:p>
      <w:pPr>
        <w:spacing w:lineRule="auto" w:line="336" w:after="80"/>
        <w:ind w:firstLine="482"/>
        <w:jc w:val="both"/>
      </w:pPr>
      <w:r>
        <w:rPr>
          <w:rFonts w:ascii="Times New Roman" w:hAnsi="Times New Roman" w:eastAsia="宋体"/>
          <w:b w:val="0"/>
          <w:sz w:val="24"/>
        </w:rPr>
        <w:t>第二步（2028～2029）：立势——“飞轮战略”。数字员工矩阵规模化商用，数据飞轮转动，开发者生态起步，按结果付费模式成熟，确立公司在公路行业智能底座市场的领先身位，ARR成为收入主体。</w:t>
      </w:r>
    </w:p>
    <w:p>
      <w:pPr>
        <w:spacing w:lineRule="auto" w:line="336" w:after="80"/>
        <w:ind w:firstLine="482"/>
        <w:jc w:val="both"/>
      </w:pPr>
      <w:r>
        <w:rPr>
          <w:rFonts w:ascii="Times New Roman" w:hAnsi="Times New Roman" w:eastAsia="宋体"/>
          <w:b w:val="0"/>
          <w:sz w:val="24"/>
        </w:rPr>
        <w:t>第三步（2030）：立范——“标准战略”。主导或深度参与行业AI标准与责任体系建设，底座生态形成网络效应，向水利、市政、铁路等大土木相邻行业复制，启动国际化探索。</w:t>
      </w:r>
    </w:p>
    <w:p>
      <w:pPr>
        <w:pStyle w:val="Heading2"/>
        <w:spacing w:before="240" w:after="120"/>
      </w:pPr>
      <w:r>
        <w:rPr>
          <w:rFonts w:ascii="Times New Roman" w:hAnsi="Times New Roman" w:eastAsia="黑体"/>
          <w:b/>
          <w:color w:val="000000"/>
          <w:sz w:val="28"/>
        </w:rPr>
        <w:t>4.4 五大战略任务</w:t>
      </w:r>
    </w:p>
    <w:p>
      <w:pPr>
        <w:spacing w:lineRule="auto" w:line="336" w:after="80"/>
        <w:ind w:firstLine="482"/>
        <w:jc w:val="both"/>
      </w:pPr>
      <w:r>
        <w:rPr>
          <w:rFonts w:ascii="Times New Roman" w:hAnsi="Times New Roman" w:eastAsia="宋体"/>
          <w:b w:val="0"/>
          <w:sz w:val="24"/>
        </w:rPr>
        <w:t>任务一：玄镜底座智能化工程。完成玄镜平台从“图形平台”到“智能底座”的升级：三维能力原子化并封装为标准工具集（MCP/Skill）；接入并调优主流大模型，建立模型路由与私有化部署能力；建设行业知识库（规范、图集、案例、成本、病害）与检索增强（RAG）体系；建立Agent运行时、编排框架与质量评测体系。</w:t>
      </w:r>
    </w:p>
    <w:p>
      <w:pPr>
        <w:spacing w:lineRule="auto" w:line="336" w:after="80"/>
        <w:ind w:firstLine="482"/>
        <w:jc w:val="both"/>
      </w:pPr>
      <w:r>
        <w:rPr>
          <w:rFonts w:ascii="Times New Roman" w:hAnsi="Times New Roman" w:eastAsia="宋体"/>
          <w:b w:val="0"/>
          <w:sz w:val="24"/>
        </w:rPr>
        <w:t>任务二：产品矩阵构建工程。打造三层产品线并保持“渡船→彼岸”的平滑演进：AI配置平台（云基智配）→Skill商店→数字员工矩阵。坚持“每个产品都必须自带数据回流设计”，不回流数据的产品不立项。</w:t>
      </w:r>
    </w:p>
    <w:p>
      <w:pPr>
        <w:spacing w:lineRule="auto" w:line="336" w:after="80"/>
        <w:ind w:firstLine="482"/>
        <w:jc w:val="both"/>
      </w:pPr>
      <w:r>
        <w:rPr>
          <w:rFonts w:ascii="Times New Roman" w:hAnsi="Times New Roman" w:eastAsia="宋体"/>
          <w:b w:val="0"/>
          <w:sz w:val="24"/>
        </w:rPr>
        <w:t>任务三：市场与商业模式验证工程。以“超低价+超值服务”打开市场，以标杆案例建立信任，以订阅+按结果付费重构收入结构，2027年底前完成商业模式定型。</w:t>
      </w:r>
    </w:p>
    <w:p>
      <w:pPr>
        <w:spacing w:lineRule="auto" w:line="336" w:after="80"/>
        <w:ind w:firstLine="482"/>
        <w:jc w:val="both"/>
      </w:pPr>
      <w:r>
        <w:rPr>
          <w:rFonts w:ascii="Times New Roman" w:hAnsi="Times New Roman" w:eastAsia="宋体"/>
          <w:b w:val="0"/>
          <w:sz w:val="24"/>
        </w:rPr>
        <w:t>任务四：数据资产化工程。建立数据治理—标注—资产化—合规运营的全链条能力，把“服务客户的过程”变成“积累资产的过程”，为2028年后的数据要素变现和模型优势奠基。</w:t>
      </w:r>
    </w:p>
    <w:p>
      <w:pPr>
        <w:spacing w:lineRule="auto" w:line="336" w:after="80"/>
        <w:ind w:firstLine="482"/>
        <w:jc w:val="both"/>
      </w:pPr>
      <w:r>
        <w:rPr>
          <w:rFonts w:ascii="Times New Roman" w:hAnsi="Times New Roman" w:eastAsia="宋体"/>
          <w:b w:val="0"/>
          <w:sz w:val="24"/>
        </w:rPr>
        <w:t>任务五：组织能力再造工程。完成从“项目制软件公司”向“产品+运营型AI公司”的组织转型：建立AI工程团队、客户成功团队、数据团队；推行全员AI工具化办公；重塑与新商业模式匹配的考核激励体系。</w:t>
      </w:r>
    </w:p>
    <w:p>
      <w:r>
        <w:br w:type="page"/>
      </w:r>
    </w:p>
    <w:p>
      <w:pPr>
        <w:pStyle w:val="Heading1"/>
        <w:pageBreakBefore w:val="0"/>
        <w:spacing w:before="360" w:after="200"/>
      </w:pPr>
      <w:r>
        <w:rPr>
          <w:rFonts w:ascii="Times New Roman" w:hAnsi="Times New Roman" w:eastAsia="黑体"/>
          <w:b/>
          <w:color w:val="000000"/>
          <w:sz w:val="32"/>
        </w:rPr>
        <w:t>第五章 2026年第一步行动方案：产品是什么、怎么销售、如何收钱</w:t>
      </w:r>
    </w:p>
    <w:p>
      <w:pPr>
        <w:spacing w:lineRule="auto" w:line="336" w:after="80"/>
        <w:ind w:firstLine="482"/>
        <w:jc w:val="both"/>
      </w:pPr>
      <w:r>
        <w:rPr>
          <w:rFonts w:ascii="Times New Roman" w:hAnsi="Times New Roman" w:eastAsia="宋体"/>
          <w:b w:val="0"/>
          <w:sz w:val="24"/>
        </w:rPr>
        <w:t>2026年是五年战略的第一步，也是最关键的一步。第一步的核心逻辑是：不赌一步到位，用“三层产品同步推进、以渡船养彼岸”的打法，在12个月内完成“获客—获数—验证商业模式—推出首批数字员工”四件大事。</w:t>
      </w:r>
    </w:p>
    <w:p>
      <w:pPr>
        <w:pStyle w:val="Heading2"/>
        <w:spacing w:before="240" w:after="120"/>
      </w:pPr>
      <w:r>
        <w:rPr>
          <w:rFonts w:ascii="Times New Roman" w:hAnsi="Times New Roman" w:eastAsia="黑体"/>
          <w:b/>
          <w:color w:val="000000"/>
          <w:sz w:val="28"/>
        </w:rPr>
        <w:t>5.1 产品是什么：2026年三层产品体系</w:t>
      </w:r>
    </w:p>
    <w:p>
      <w:pPr>
        <w:spacing w:lineRule="auto" w:line="336" w:after="80"/>
        <w:ind w:firstLine="482"/>
        <w:jc w:val="both"/>
      </w:pPr>
      <w:r>
        <w:rPr>
          <w:rFonts w:ascii="Times New Roman" w:hAnsi="Times New Roman" w:eastAsia="宋体"/>
          <w:b w:val="0"/>
          <w:sz w:val="24"/>
        </w:rPr>
        <w:t>第一层：玄镜智能底座V2026（面向开发者与大客户的平台产品）</w:t>
      </w:r>
    </w:p>
    <w:p>
      <w:pPr>
        <w:spacing w:lineRule="auto" w:line="336" w:after="80"/>
        <w:ind w:firstLine="482"/>
        <w:jc w:val="both"/>
      </w:pPr>
      <w:r>
        <w:rPr>
          <w:rFonts w:ascii="Times New Roman" w:hAnsi="Times New Roman" w:eastAsia="宋体"/>
          <w:b w:val="0"/>
          <w:sz w:val="24"/>
        </w:rPr>
        <w:t>在现有玄镜三维图形平台基础上完成三项升级并商用发布：其一，玄镜MCP工具集——把三维建模、模型解析、几何计算、空间分析、图纸生成、工程量提取等核心能力封装为标准化AI可调用工具，使任何大模型/Agent框架都能“指挥”玄镜干三维的活，这是把玄镜卡进AI生态的关键一步，必须在2026年上半年完成首版发布；其二，玄镜AI助手——嵌入平台的对话式助手，支持自然语言查模型、改参数、出报表，让老客户立刻感知AI价值；其三，私有化智能底座套件——面向省级交投、大型设计院的“引擎+模型接入+知识库”一体化交付包，满足数据不出域的刚性要求。</w:t>
      </w:r>
    </w:p>
    <w:p>
      <w:pPr>
        <w:spacing w:lineRule="auto" w:line="336" w:after="80"/>
        <w:ind w:firstLine="482"/>
        <w:jc w:val="both"/>
      </w:pPr>
      <w:r>
        <w:rPr>
          <w:rFonts w:ascii="Times New Roman" w:hAnsi="Times New Roman" w:eastAsia="宋体"/>
          <w:b w:val="0"/>
          <w:sz w:val="24"/>
        </w:rPr>
        <w:t>第二层：云基智配——应用系统AI配置平台（面向行业中小客户的走量产品）</w:t>
      </w:r>
    </w:p>
    <w:p>
      <w:pPr>
        <w:spacing w:lineRule="auto" w:line="336" w:after="80"/>
        <w:ind w:firstLine="482"/>
        <w:jc w:val="both"/>
      </w:pPr>
      <w:r>
        <w:rPr>
          <w:rFonts w:ascii="Times New Roman" w:hAnsi="Times New Roman" w:eastAsia="宋体"/>
          <w:b w:val="0"/>
          <w:sz w:val="24"/>
        </w:rPr>
        <w:t>利用AI编程与低代码技术，构建“说需求→AI生成→可视化微调→即刻上线”的应用配置平台，配套AI建模、AI数据处理等配置工具。首批预置模板聚焦四类高频场景：公路养护管理系统、桥梁健康监测系统、项目建设管理系统、三维数字化成果管理系统。交付周期从传统定制的3～6个月压缩到1～2周，价格压到传统定制的十分之一量级。这是“超低价+超值服务”策略的主要载体，承担2026年获客与获数的主攻任务。</w:t>
      </w:r>
    </w:p>
    <w:p>
      <w:pPr>
        <w:spacing w:lineRule="auto" w:line="336" w:after="80"/>
        <w:ind w:firstLine="482"/>
        <w:jc w:val="both"/>
      </w:pPr>
      <w:r>
        <w:rPr>
          <w:rFonts w:ascii="Times New Roman" w:hAnsi="Times New Roman" w:eastAsia="宋体"/>
          <w:b w:val="0"/>
          <w:sz w:val="24"/>
        </w:rPr>
        <w:t>第三层：首批数字员工（面向未来的拳头产品，2026年推出2～3个）</w:t>
      </w:r>
    </w:p>
    <w:p>
      <w:pPr>
        <w:spacing w:lineRule="auto" w:line="336" w:after="80"/>
        <w:ind w:firstLine="482"/>
        <w:jc w:val="both"/>
      </w:pPr>
      <w:r>
        <w:rPr>
          <w:rFonts w:ascii="Times New Roman" w:hAnsi="Times New Roman" w:eastAsia="宋体"/>
          <w:b w:val="0"/>
          <w:sz w:val="24"/>
        </w:rPr>
        <w:t>选择“高频、刚需、低风险、易验证”的场景率先推出：</w:t>
      </w:r>
    </w:p>
    <w:p>
      <w:pPr>
        <w:spacing w:lineRule="auto" w:line="336" w:after="80"/>
        <w:ind w:firstLine="482"/>
        <w:jc w:val="both"/>
      </w:pPr>
      <w:r>
        <w:rPr>
          <w:rFonts w:ascii="Times New Roman" w:hAnsi="Times New Roman" w:eastAsia="宋体"/>
          <w:b w:val="0"/>
          <w:sz w:val="24"/>
        </w:rPr>
        <w:t>数字员工一号“云基审查员”：公路工程三维设计成果智能校审Agent。输入设计模型/图纸，自动依据规范库逐条核查几何指标、构造要求、冲突碰撞，输出问题清单与整改建议，人工复核确认。校审是设计院刚需、成果易验证、责任边界清晰（AI提示+人工确认），是最佳突破口。</w:t>
      </w:r>
    </w:p>
    <w:p>
      <w:pPr>
        <w:spacing w:lineRule="auto" w:line="336" w:after="80"/>
        <w:ind w:firstLine="482"/>
        <w:jc w:val="both"/>
      </w:pPr>
      <w:r>
        <w:rPr>
          <w:rFonts w:ascii="Times New Roman" w:hAnsi="Times New Roman" w:eastAsia="宋体"/>
          <w:b w:val="0"/>
          <w:sz w:val="24"/>
        </w:rPr>
        <w:t>数字员工二号“云基养护师”：公路养护决策Agent。整合检测数据、病害记录、交通量数据，自动完成技术状况评定、养护需求分析、方案比选与预算建议，输出符合规范的养护决策报告。对接“一网四化”中安全化提升与数智化升级的财政投入方向，面向量大面广的公路管养单位。</w:t>
      </w:r>
    </w:p>
    <w:p>
      <w:pPr>
        <w:spacing w:lineRule="auto" w:line="336" w:after="80"/>
        <w:ind w:firstLine="482"/>
        <w:jc w:val="both"/>
      </w:pPr>
      <w:r>
        <w:rPr>
          <w:rFonts w:ascii="Times New Roman" w:hAnsi="Times New Roman" w:eastAsia="宋体"/>
          <w:b w:val="0"/>
          <w:sz w:val="24"/>
        </w:rPr>
        <w:t>备选数字员工三号“云基算量师”：基于三维模型的工程量计算与造价咨询Agent，视上半年资源情况启动。</w:t>
      </w:r>
    </w:p>
    <w:p>
      <w:pPr>
        <w:spacing w:lineRule="auto" w:line="336" w:after="80"/>
        <w:ind w:firstLine="482"/>
        <w:jc w:val="both"/>
      </w:pPr>
      <w:r>
        <w:rPr>
          <w:rFonts w:ascii="Times New Roman" w:hAnsi="Times New Roman" w:eastAsia="宋体"/>
          <w:b w:val="0"/>
          <w:sz w:val="24"/>
        </w:rPr>
        <w:t>三层产品的关系必须向全员讲透：底座是根、配置平台是渡船、数字员工是未来。配置平台负责今天的现金流和数据，数字员工负责明天的高价值收入，底座负责后天的生态地位。</w:t>
      </w:r>
    </w:p>
    <w:p>
      <w:pPr>
        <w:pStyle w:val="Heading2"/>
        <w:spacing w:before="240" w:after="120"/>
      </w:pPr>
      <w:r>
        <w:rPr>
          <w:rFonts w:ascii="Times New Roman" w:hAnsi="Times New Roman" w:eastAsia="黑体"/>
          <w:b/>
          <w:color w:val="000000"/>
          <w:sz w:val="28"/>
        </w:rPr>
        <w:t>5.2 怎么销售：客户分层与销售打法</w:t>
      </w:r>
    </w:p>
    <w:p>
      <w:pPr>
        <w:spacing w:lineRule="auto" w:line="336" w:after="80"/>
        <w:ind w:firstLine="482"/>
        <w:jc w:val="both"/>
      </w:pPr>
      <w:r>
        <w:rPr>
          <w:rFonts w:ascii="Times New Roman" w:hAnsi="Times New Roman" w:eastAsia="宋体"/>
          <w:b w:val="0"/>
          <w:sz w:val="24"/>
        </w:rPr>
        <w:t>客户分层与主攻次序：</w:t>
      </w:r>
    </w:p>
    <w:p>
      <w:pPr>
        <w:spacing w:lineRule="auto" w:line="336" w:after="80"/>
        <w:ind w:firstLine="482"/>
        <w:jc w:val="both"/>
      </w:pPr>
      <w:r>
        <w:rPr>
          <w:rFonts w:ascii="Times New Roman" w:hAnsi="Times New Roman" w:eastAsia="宋体"/>
          <w:b w:val="0"/>
          <w:sz w:val="24"/>
        </w:rPr>
        <w:t>A类——省级交通投资集团/高速公路运营公司：预算充足、数据集中、示范效应强。主打私有化智能底座+数字员工试点，以“一把手工程”方式直销，每省树一个标杆。2026年目标：签约3～5家。</w:t>
      </w:r>
    </w:p>
    <w:p>
      <w:pPr>
        <w:spacing w:lineRule="auto" w:line="336" w:after="80"/>
        <w:ind w:firstLine="482"/>
        <w:jc w:val="both"/>
      </w:pPr>
      <w:r>
        <w:rPr>
          <w:rFonts w:ascii="Times New Roman" w:hAnsi="Times New Roman" w:eastAsia="宋体"/>
          <w:b w:val="0"/>
          <w:sz w:val="24"/>
        </w:rPr>
        <w:t>B类——公路设计院（尤其中小设计院）：对降本增效最敏感，是“云基审查员”和三维设计工具链的核心用户。主打“超低价订阅+按成果付费”，以行业协会、学会渠道批量触达。2026年目标：付费30～50家。</w:t>
      </w:r>
    </w:p>
    <w:p>
      <w:pPr>
        <w:spacing w:lineRule="auto" w:line="336" w:after="80"/>
        <w:ind w:firstLine="482"/>
        <w:jc w:val="both"/>
      </w:pPr>
      <w:r>
        <w:rPr>
          <w:rFonts w:ascii="Times New Roman" w:hAnsi="Times New Roman" w:eastAsia="宋体"/>
          <w:b w:val="0"/>
          <w:sz w:val="24"/>
        </w:rPr>
        <w:t>C类——地市/县级公路管理与养护单位：数量庞大、单体预算小、极缺人才，是“云基智配+云基养护师”的主战场。主打“超低价+超值服务”，借力交通主管部门试点文件推广。2026年目标：上线40～60家（含免费试用转化）。</w:t>
      </w:r>
    </w:p>
    <w:p>
      <w:pPr>
        <w:spacing w:lineRule="auto" w:line="336" w:after="80"/>
        <w:ind w:firstLine="482"/>
        <w:jc w:val="both"/>
      </w:pPr>
      <w:r>
        <w:rPr>
          <w:rFonts w:ascii="Times New Roman" w:hAnsi="Times New Roman" w:eastAsia="宋体"/>
          <w:b w:val="0"/>
          <w:sz w:val="24"/>
        </w:rPr>
        <w:t>D类——生态伙伴（系统集成商、监测设备商、无人机服务商）：以玄镜MCP工具集和底座授权吸引其在云基底座上做集成，变竞争者为渠道。2026年目标：签约生态伙伴10家。</w:t>
      </w:r>
    </w:p>
    <w:p>
      <w:pPr>
        <w:spacing w:lineRule="auto" w:line="336" w:after="80"/>
        <w:ind w:firstLine="482"/>
        <w:jc w:val="both"/>
      </w:pPr>
      <w:r>
        <w:rPr>
          <w:rFonts w:ascii="Times New Roman" w:hAnsi="Times New Roman" w:eastAsia="宋体"/>
          <w:b w:val="0"/>
          <w:sz w:val="24"/>
        </w:rPr>
        <w:t>销售打法上落实“五个一”：一套标杆案例库（每个产品线年内至少3个可参观、可算账的标杆，逢单必讲投入产出比）；一支顾问式直销铁军（面向A类客户，卖的不是软件而是“数智化升级整体方案”）；一个线上自助渠道（配置平台支持在线注册、在线开通、在线付费，把C类客户的销售成本压到近零）；一批行业代言场景（积极承接部、省两级“数智化升级”试点示范项目，用政策背书替代广告）；一个渠道联盟（与省级行业协会、高校、设备商共建推广联盟，分成激励）。</w:t>
      </w:r>
    </w:p>
    <w:p>
      <w:pPr>
        <w:spacing w:lineRule="auto" w:line="336" w:after="80"/>
        <w:ind w:firstLine="482"/>
        <w:jc w:val="both"/>
      </w:pPr>
      <w:r>
        <w:rPr>
          <w:rFonts w:ascii="Times New Roman" w:hAnsi="Times New Roman" w:eastAsia="宋体"/>
          <w:b w:val="0"/>
          <w:sz w:val="24"/>
        </w:rPr>
        <w:t>销售话术的统一口径：不卖“功能”，卖“结果”——“一套系统两周上线，价格是过去的十分之一”“一个数字审查员，相当于为您增加两名不休假的资深工程师”“按发现的问题付费，没效果不收钱”。</w:t>
      </w:r>
    </w:p>
    <w:p>
      <w:pPr>
        <w:pStyle w:val="Heading2"/>
        <w:spacing w:before="240" w:after="120"/>
      </w:pPr>
      <w:r>
        <w:rPr>
          <w:rFonts w:ascii="Times New Roman" w:hAnsi="Times New Roman" w:eastAsia="黑体"/>
          <w:b/>
          <w:color w:val="000000"/>
          <w:sz w:val="28"/>
        </w:rPr>
        <w:t>5.3 如何收钱：定价与收费模式设计</w:t>
      </w:r>
    </w:p>
    <w:p>
      <w:pPr>
        <w:spacing w:lineRule="auto" w:line="336" w:after="80"/>
        <w:ind w:firstLine="482"/>
        <w:jc w:val="both"/>
      </w:pPr>
      <w:r>
        <w:rPr>
          <w:rFonts w:ascii="Times New Roman" w:hAnsi="Times New Roman" w:eastAsia="宋体"/>
          <w:b w:val="0"/>
          <w:sz w:val="24"/>
        </w:rPr>
        <w:t>2026年实行“四种收费方式并行、结构逐年优化”：</w:t>
      </w:r>
    </w:p>
    <w:p>
      <w:pPr>
        <w:spacing w:lineRule="auto" w:line="336" w:after="80"/>
        <w:ind w:firstLine="482"/>
        <w:jc w:val="both"/>
      </w:pPr>
      <w:r>
        <w:rPr>
          <w:rFonts w:ascii="Times New Roman" w:hAnsi="Times New Roman" w:eastAsia="宋体"/>
          <w:b w:val="0"/>
          <w:sz w:val="24"/>
        </w:rPr>
        <w:t>方式一：订阅费（SaaS模式）——云基智配按系统按年订阅，基础版定价锚定客户“一次会议决策”的心理线（建议单系统年费1～5万元区间），专业版/旗舰版阶梯加价；数字员工按“岗位”按年订阅（如云基审查员按设计所/年订阅，建议8～20万元/年），对标该岗位人工成本的三分之一以下，让客户一算就明白。</w:t>
      </w:r>
    </w:p>
    <w:p>
      <w:pPr>
        <w:spacing w:lineRule="auto" w:line="336" w:after="80"/>
        <w:ind w:firstLine="482"/>
        <w:jc w:val="both"/>
      </w:pPr>
      <w:r>
        <w:rPr>
          <w:rFonts w:ascii="Times New Roman" w:hAnsi="Times New Roman" w:eastAsia="宋体"/>
          <w:b w:val="0"/>
          <w:sz w:val="24"/>
        </w:rPr>
        <w:t>方式二：按结果/按次付费（Outcome-based）——校审按项目/按图纸份数计费，养护决策报告按份计费，工程量计算按项目规模计费。这是新范式的原生收费方式，2026年以小场景试点跑通计费、质保、争议处理全流程，为2027年后放量做准备。</w:t>
      </w:r>
    </w:p>
    <w:p>
      <w:pPr>
        <w:spacing w:lineRule="auto" w:line="336" w:after="80"/>
        <w:ind w:firstLine="482"/>
        <w:jc w:val="both"/>
      </w:pPr>
      <w:r>
        <w:rPr>
          <w:rFonts w:ascii="Times New Roman" w:hAnsi="Times New Roman" w:eastAsia="宋体"/>
          <w:b w:val="0"/>
          <w:sz w:val="24"/>
        </w:rPr>
        <w:t>方式三：底座授权+服务费（面向A类大客户）——私有化智能底座按套授权（一次性授权费+年度维保升级费，建议授权费100～300万元区间），叠加知识库建设、模型调优、Agent定制等专业服务费。这是2026年现金流的压舱石。</w:t>
      </w:r>
    </w:p>
    <w:p>
      <w:pPr>
        <w:spacing w:lineRule="auto" w:line="336" w:after="80"/>
        <w:ind w:firstLine="482"/>
        <w:jc w:val="both"/>
      </w:pPr>
      <w:r>
        <w:rPr>
          <w:rFonts w:ascii="Times New Roman" w:hAnsi="Times New Roman" w:eastAsia="宋体"/>
          <w:b w:val="0"/>
          <w:sz w:val="24"/>
        </w:rPr>
        <w:t>方式四：项目制收入（存量业务）——传统三维数字化项目继续承接，但立下铁律：所有项目必须基于新底座交付、必须沉淀可复用Skill、必须约定数据合规使用条款。项目制收入占比要逐年下降（2026年可占60%，2030年降至20%以下），用存量业务养战略转型。</w:t>
      </w:r>
    </w:p>
    <w:p>
      <w:pPr>
        <w:spacing w:lineRule="auto" w:line="336" w:after="80"/>
        <w:ind w:firstLine="482"/>
        <w:jc w:val="both"/>
      </w:pPr>
      <w:r>
        <w:rPr>
          <w:rFonts w:ascii="Times New Roman" w:hAnsi="Times New Roman" w:eastAsia="宋体"/>
          <w:b w:val="0"/>
          <w:sz w:val="24"/>
        </w:rPr>
        <w:t>配套两条定价纪律：第一，“超低价”只用于配置平台获客层，底座和数字员工绝不打价格战，避免把新范式产品做成廉价代名词；第二，所有合同必须包含数据合规使用与AI改进授权条款，把“获数”写进每一份合同。</w:t>
      </w:r>
    </w:p>
    <w:p>
      <w:pPr>
        <w:pStyle w:val="Heading2"/>
        <w:spacing w:before="240" w:after="120"/>
      </w:pPr>
      <w:r>
        <w:rPr>
          <w:rFonts w:ascii="Times New Roman" w:hAnsi="Times New Roman" w:eastAsia="黑体"/>
          <w:b/>
          <w:color w:val="000000"/>
          <w:sz w:val="28"/>
        </w:rPr>
        <w:t>5.4 “超低价+超值服务”策略的执行要点</w:t>
      </w:r>
    </w:p>
    <w:p>
      <w:pPr>
        <w:spacing w:lineRule="auto" w:line="336" w:after="80"/>
        <w:ind w:firstLine="482"/>
        <w:jc w:val="both"/>
      </w:pPr>
      <w:r>
        <w:rPr>
          <w:rFonts w:ascii="Times New Roman" w:hAnsi="Times New Roman" w:eastAsia="宋体"/>
          <w:b w:val="0"/>
          <w:sz w:val="24"/>
        </w:rPr>
        <w:t>超低价的经济学基础是AI带来的边际成本坍塌，而不是赔本赚吆喝。执行上要做到：低价获客但快速转化增值（免费/低价版本功能有边界，增值点设在数据量、并发数、AI调用量、专业Skill上）；超值服务标准化（服务内容产品化为“上线陪跑包”“数据治理包”“培训认证包”，避免服务失控吞噬毛利）；以服务换数据（超值服务的每一次交付都是一次高质量数据与场景知识的采集，服务团队同时是数据采集队），使账面上的服务成本，实质成为数据资产的采购成本。</w:t>
      </w:r>
    </w:p>
    <w:p>
      <w:pPr>
        <w:pStyle w:val="Heading2"/>
        <w:spacing w:before="240" w:after="120"/>
      </w:pPr>
      <w:r>
        <w:rPr>
          <w:rFonts w:ascii="Times New Roman" w:hAnsi="Times New Roman" w:eastAsia="黑体"/>
          <w:b/>
          <w:color w:val="000000"/>
          <w:sz w:val="28"/>
        </w:rPr>
        <w:t>5.5 2026年度里程碑（按季度）</w:t>
      </w:r>
    </w:p>
    <w:p>
      <w:pPr>
        <w:spacing w:lineRule="auto" w:line="336" w:after="80"/>
        <w:ind w:firstLine="482"/>
        <w:jc w:val="both"/>
      </w:pPr>
      <w:r>
        <w:rPr>
          <w:rFonts w:ascii="Times New Roman" w:hAnsi="Times New Roman" w:eastAsia="宋体"/>
          <w:b w:val="0"/>
          <w:sz w:val="24"/>
        </w:rPr>
        <w:t>一季度：玄镜MCP工具集Alpha版发布；云基智配完成首批4类模板并邀测；确定首批标杆客户名单并启动3个灯塔项目；成立AI工程部与客户成功部。</w:t>
      </w:r>
    </w:p>
    <w:p>
      <w:pPr>
        <w:spacing w:lineRule="auto" w:line="336" w:after="80"/>
        <w:ind w:firstLine="482"/>
        <w:jc w:val="both"/>
      </w:pPr>
      <w:r>
        <w:rPr>
          <w:rFonts w:ascii="Times New Roman" w:hAnsi="Times New Roman" w:eastAsia="宋体"/>
          <w:b w:val="0"/>
          <w:sz w:val="24"/>
        </w:rPr>
        <w:t>二季度：云基智配正式商用并开放线上开通；云基审查员Beta版在2～3家设计院试点；签约首个省级私有化底座项目；发布公司AI新范式白皮书，启动行业品牌造势。</w:t>
      </w:r>
    </w:p>
    <w:p>
      <w:pPr>
        <w:spacing w:lineRule="auto" w:line="336" w:after="80"/>
        <w:ind w:firstLine="482"/>
        <w:jc w:val="both"/>
      </w:pPr>
      <w:r>
        <w:rPr>
          <w:rFonts w:ascii="Times New Roman" w:hAnsi="Times New Roman" w:eastAsia="宋体"/>
          <w:b w:val="0"/>
          <w:sz w:val="24"/>
        </w:rPr>
        <w:t>三季度：云基审查员正式商用并启动按次付费试点；云基养护师Beta版试点；生态伙伴计划发布，首批5家签约；付费客户累计突破50家。</w:t>
      </w:r>
    </w:p>
    <w:p>
      <w:pPr>
        <w:spacing w:lineRule="auto" w:line="336" w:after="80"/>
        <w:ind w:firstLine="482"/>
        <w:jc w:val="both"/>
      </w:pPr>
      <w:r>
        <w:rPr>
          <w:rFonts w:ascii="Times New Roman" w:hAnsi="Times New Roman" w:eastAsia="宋体"/>
          <w:b w:val="0"/>
          <w:sz w:val="24"/>
        </w:rPr>
        <w:t>四季度：三层产品全部完成商用发布；全年获客（含试用）100家、付费客户70家以上；ARR占比达到25%以上；完成数据资产化一期；召开首届用户与生态大会，发布2027年产品路线图。</w:t>
      </w:r>
    </w:p>
    <w:p>
      <w:pPr>
        <w:spacing w:lineRule="auto" w:line="336" w:after="80"/>
        <w:ind w:firstLine="482"/>
        <w:jc w:val="both"/>
      </w:pPr>
      <w:r>
        <w:rPr>
          <w:rFonts w:ascii="Times New Roman" w:hAnsi="Times New Roman" w:eastAsia="宋体"/>
          <w:b w:val="0"/>
          <w:sz w:val="24"/>
        </w:rPr>
        <w:t>2026年经营目标建议：总收入保持稳中有增，其中新范式产品（订阅+按结果+底座授权）收入占比不低于40%；宁可总收入少一点，也要坚决完成收入结构与数据资产两个战略性指标。</w:t>
      </w:r>
    </w:p>
    <w:p>
      <w:r>
        <w:br w:type="page"/>
      </w:r>
    </w:p>
    <w:p>
      <w:pPr>
        <w:pStyle w:val="Heading1"/>
        <w:pageBreakBefore w:val="0"/>
        <w:spacing w:before="360" w:after="200"/>
      </w:pPr>
      <w:r>
        <w:rPr>
          <w:rFonts w:ascii="Times New Roman" w:hAnsi="Times New Roman" w:eastAsia="黑体"/>
          <w:b/>
          <w:color w:val="000000"/>
          <w:sz w:val="32"/>
        </w:rPr>
        <w:t>第六章 商业模式与变现方式的系统设计</w:t>
      </w:r>
    </w:p>
    <w:p>
      <w:pPr>
        <w:pStyle w:val="Heading2"/>
        <w:spacing w:before="240" w:after="120"/>
      </w:pPr>
      <w:r>
        <w:rPr>
          <w:rFonts w:ascii="Times New Roman" w:hAnsi="Times New Roman" w:eastAsia="黑体"/>
          <w:b/>
          <w:color w:val="000000"/>
          <w:sz w:val="28"/>
        </w:rPr>
        <w:t>6.1 新范式商业模式画布</w:t>
      </w:r>
    </w:p>
    <w:p>
      <w:pPr>
        <w:spacing w:lineRule="auto" w:line="336" w:after="80"/>
        <w:ind w:firstLine="482"/>
        <w:jc w:val="both"/>
      </w:pPr>
      <w:r>
        <w:rPr>
          <w:rFonts w:ascii="Times New Roman" w:hAnsi="Times New Roman" w:eastAsia="宋体"/>
          <w:b w:val="0"/>
          <w:sz w:val="24"/>
        </w:rPr>
        <w:t>客户价值主张：从“卖工具的使用权”升级为“卖任务的完成与结果的交付”。客户买到的是确定性——更快的交付、更低的成本、更可靠的质量、可追溯的责任。</w:t>
      </w:r>
    </w:p>
    <w:p>
      <w:pPr>
        <w:spacing w:lineRule="auto" w:line="336" w:after="80"/>
        <w:ind w:firstLine="482"/>
        <w:jc w:val="both"/>
      </w:pPr>
      <w:r>
        <w:rPr>
          <w:rFonts w:ascii="Times New Roman" w:hAnsi="Times New Roman" w:eastAsia="宋体"/>
          <w:b w:val="0"/>
          <w:sz w:val="24"/>
        </w:rPr>
        <w:t>客户细分：业主方（交投/公路局）、设计咨询方、施工方、管养单位、政府监管方、生态开发者。</w:t>
      </w:r>
    </w:p>
    <w:p>
      <w:pPr>
        <w:spacing w:lineRule="auto" w:line="336" w:after="80"/>
        <w:ind w:firstLine="482"/>
        <w:jc w:val="both"/>
      </w:pPr>
      <w:r>
        <w:rPr>
          <w:rFonts w:ascii="Times New Roman" w:hAnsi="Times New Roman" w:eastAsia="宋体"/>
          <w:b w:val="0"/>
          <w:sz w:val="24"/>
        </w:rPr>
        <w:t>核心资源：自主三维引擎、行业数据资产、Skill库、标杆客户与信任背书、复合型团队。</w:t>
      </w:r>
    </w:p>
    <w:p>
      <w:pPr>
        <w:spacing w:lineRule="auto" w:line="336" w:after="80"/>
        <w:ind w:firstLine="482"/>
        <w:jc w:val="both"/>
      </w:pPr>
      <w:r>
        <w:rPr>
          <w:rFonts w:ascii="Times New Roman" w:hAnsi="Times New Roman" w:eastAsia="宋体"/>
          <w:b w:val="0"/>
          <w:sz w:val="24"/>
        </w:rPr>
        <w:t>关键活动：底座研发、Agent制造与运营、数据资产运营、客户成功、生态运营。</w:t>
      </w:r>
    </w:p>
    <w:p>
      <w:pPr>
        <w:spacing w:lineRule="auto" w:line="336" w:after="80"/>
        <w:ind w:firstLine="482"/>
        <w:jc w:val="both"/>
      </w:pPr>
      <w:r>
        <w:rPr>
          <w:rFonts w:ascii="Times New Roman" w:hAnsi="Times New Roman" w:eastAsia="宋体"/>
          <w:b w:val="0"/>
          <w:sz w:val="24"/>
        </w:rPr>
        <w:t>收入来源：订阅、按结果付费、底座授权、专业服务、数据与生态分成（详见6.2）。</w:t>
      </w:r>
    </w:p>
    <w:p>
      <w:pPr>
        <w:spacing w:lineRule="auto" w:line="336" w:after="80"/>
        <w:ind w:firstLine="482"/>
        <w:jc w:val="both"/>
      </w:pPr>
      <w:r>
        <w:rPr>
          <w:rFonts w:ascii="Times New Roman" w:hAnsi="Times New Roman" w:eastAsia="宋体"/>
          <w:b w:val="0"/>
          <w:sz w:val="24"/>
        </w:rPr>
        <w:t>成本结构：研发（模型调用与算力成本随规模上升，需精细化管控）、客户成功服务、销售与生态激励。</w:t>
      </w:r>
    </w:p>
    <w:p>
      <w:pPr>
        <w:spacing w:lineRule="auto" w:line="336" w:after="80"/>
        <w:ind w:firstLine="482"/>
        <w:jc w:val="both"/>
      </w:pPr>
      <w:r>
        <w:rPr>
          <w:rFonts w:ascii="Times New Roman" w:hAnsi="Times New Roman" w:eastAsia="宋体"/>
          <w:b w:val="0"/>
          <w:sz w:val="24"/>
        </w:rPr>
        <w:t>护城河：三维引擎的技术壁垒×行业数据的飞轮壁垒×标杆信任的品牌壁垒×生态分成的网络壁垒，四重叠加。</w:t>
      </w:r>
    </w:p>
    <w:p>
      <w:pPr>
        <w:pStyle w:val="Heading2"/>
        <w:spacing w:before="240" w:after="120"/>
      </w:pPr>
      <w:r>
        <w:rPr>
          <w:rFonts w:ascii="Times New Roman" w:hAnsi="Times New Roman" w:eastAsia="黑体"/>
          <w:b/>
          <w:color w:val="000000"/>
          <w:sz w:val="28"/>
        </w:rPr>
        <w:t>6.2 八种变现方式全景</w:t>
      </w:r>
    </w:p>
    <w:p>
      <w:pPr>
        <w:spacing w:lineRule="auto" w:line="336" w:after="80"/>
        <w:ind w:firstLine="482"/>
        <w:jc w:val="both"/>
      </w:pPr>
      <w:r>
        <w:rPr>
          <w:rFonts w:ascii="Times New Roman" w:hAnsi="Times New Roman" w:eastAsia="宋体"/>
          <w:b w:val="0"/>
          <w:sz w:val="24"/>
        </w:rPr>
        <w:t>结合软件、数据、硬件存量基础，未来五年公司可用的变现方式共八种，按启动时序排列：</w:t>
      </w:r>
    </w:p>
    <w:p>
      <w:pPr>
        <w:spacing w:lineRule="auto" w:line="336" w:after="80"/>
        <w:ind w:firstLine="482"/>
        <w:jc w:val="both"/>
      </w:pPr>
      <w:r>
        <w:rPr>
          <w:rFonts w:ascii="Times New Roman" w:hAnsi="Times New Roman" w:eastAsia="宋体"/>
          <w:b w:val="0"/>
          <w:sz w:val="24"/>
        </w:rPr>
        <w:t>一是项目制集成收入（2026年主力，逐年降比）：传统数字化项目，转型期现金流来源。</w:t>
      </w:r>
    </w:p>
    <w:p>
      <w:pPr>
        <w:spacing w:lineRule="auto" w:line="336" w:after="80"/>
        <w:ind w:firstLine="482"/>
        <w:jc w:val="both"/>
      </w:pPr>
      <w:r>
        <w:rPr>
          <w:rFonts w:ascii="Times New Roman" w:hAnsi="Times New Roman" w:eastAsia="宋体"/>
          <w:b w:val="0"/>
          <w:sz w:val="24"/>
        </w:rPr>
        <w:t>二是SaaS订阅收入（2026年启动，持续增长）：配置平台与工具类产品按年订阅。</w:t>
      </w:r>
    </w:p>
    <w:p>
      <w:pPr>
        <w:spacing w:lineRule="auto" w:line="336" w:after="80"/>
        <w:ind w:firstLine="482"/>
        <w:jc w:val="both"/>
      </w:pPr>
      <w:r>
        <w:rPr>
          <w:rFonts w:ascii="Times New Roman" w:hAnsi="Times New Roman" w:eastAsia="宋体"/>
          <w:b w:val="0"/>
          <w:sz w:val="24"/>
        </w:rPr>
        <w:t>三是数字员工订阅收入（2026年下半年启动，2028年成为主力）：按岗位/按席位年费，对标人工成本定价，是新范式最主流的变现方式。</w:t>
      </w:r>
    </w:p>
    <w:p>
      <w:pPr>
        <w:spacing w:lineRule="auto" w:line="336" w:after="80"/>
        <w:ind w:firstLine="482"/>
        <w:jc w:val="both"/>
      </w:pPr>
      <w:r>
        <w:rPr>
          <w:rFonts w:ascii="Times New Roman" w:hAnsi="Times New Roman" w:eastAsia="宋体"/>
          <w:b w:val="0"/>
          <w:sz w:val="24"/>
        </w:rPr>
        <w:t>四是按结果/按量付费收入（2026年试点，2029年起占比快速提升）：按任务量、按成果份数、按发现问题数、按节约金额分成等计费，代表商业模式的终局方向。</w:t>
      </w:r>
    </w:p>
    <w:p>
      <w:pPr>
        <w:spacing w:lineRule="auto" w:line="336" w:after="80"/>
        <w:ind w:firstLine="482"/>
        <w:jc w:val="both"/>
      </w:pPr>
      <w:r>
        <w:rPr>
          <w:rFonts w:ascii="Times New Roman" w:hAnsi="Times New Roman" w:eastAsia="宋体"/>
          <w:b w:val="0"/>
          <w:sz w:val="24"/>
        </w:rPr>
        <w:t>五是底座授权与私有化收入（2026年启动）：面向大客户的授权费+维保费，类似“行业操作系统”授权。</w:t>
      </w:r>
    </w:p>
    <w:p>
      <w:pPr>
        <w:spacing w:lineRule="auto" w:line="336" w:after="80"/>
        <w:ind w:firstLine="482"/>
        <w:jc w:val="both"/>
      </w:pPr>
      <w:r>
        <w:rPr>
          <w:rFonts w:ascii="Times New Roman" w:hAnsi="Times New Roman" w:eastAsia="宋体"/>
          <w:b w:val="0"/>
          <w:sz w:val="24"/>
        </w:rPr>
        <w:t>六是生态分成收入（2027年启动）：开发者基于玄镜底座开发的Skill/Agent在云基商店销售，公司按比例抽成（建议初期让利，抽成不高于15%，先繁荣后收益）。</w:t>
      </w:r>
    </w:p>
    <w:p>
      <w:pPr>
        <w:spacing w:lineRule="auto" w:line="336" w:after="80"/>
        <w:ind w:firstLine="482"/>
        <w:jc w:val="both"/>
      </w:pPr>
      <w:r>
        <w:rPr>
          <w:rFonts w:ascii="Times New Roman" w:hAnsi="Times New Roman" w:eastAsia="宋体"/>
          <w:b w:val="0"/>
          <w:sz w:val="24"/>
        </w:rPr>
        <w:t>七是数据要素与知识服务收入（2028年起，合规前提下）：脱敏聚合后的行业指数、成本参考、病害图谱等数据产品；参与地方数据要素市场的合规交易；为行业模型训练提供评测集与语料服务。此项政策敏感，坚持“合规先行、授权明确、收益共享”。</w:t>
      </w:r>
    </w:p>
    <w:p>
      <w:pPr>
        <w:spacing w:lineRule="auto" w:line="336" w:after="80"/>
        <w:ind w:firstLine="482"/>
        <w:jc w:val="both"/>
      </w:pPr>
      <w:r>
        <w:rPr>
          <w:rFonts w:ascii="Times New Roman" w:hAnsi="Times New Roman" w:eastAsia="宋体"/>
          <w:b w:val="0"/>
          <w:sz w:val="24"/>
        </w:rPr>
        <w:t>八是硬件协同收入（伴随发生）：与无人机、检测车、传感器厂商合作的软硬一体解决方案中，公司以软件与AI能力获取集成溢价，不自建硬件重资产。</w:t>
      </w:r>
    </w:p>
    <w:p>
      <w:pPr>
        <w:pStyle w:val="Heading2"/>
        <w:spacing w:before="240" w:after="120"/>
      </w:pPr>
      <w:r>
        <w:rPr>
          <w:rFonts w:ascii="Times New Roman" w:hAnsi="Times New Roman" w:eastAsia="黑体"/>
          <w:b/>
          <w:color w:val="000000"/>
          <w:sz w:val="28"/>
        </w:rPr>
        <w:t>6.3 商业模式演进的三条铁律</w:t>
      </w:r>
    </w:p>
    <w:p>
      <w:pPr>
        <w:spacing w:lineRule="auto" w:line="336" w:after="80"/>
        <w:ind w:firstLine="482"/>
        <w:jc w:val="both"/>
      </w:pPr>
      <w:r>
        <w:rPr>
          <w:rFonts w:ascii="Times New Roman" w:hAnsi="Times New Roman" w:eastAsia="宋体"/>
          <w:b w:val="0"/>
          <w:sz w:val="24"/>
        </w:rPr>
        <w:t>第一条，收入结构比收入规模更重要：每年考核ARR占比、按结果付费占比、老客户续费率（目标90%以上）与净收入留存率，坚决抵制用低质量项目收入粉饰报表的诱惑。</w:t>
      </w:r>
    </w:p>
    <w:p>
      <w:pPr>
        <w:spacing w:lineRule="auto" w:line="336" w:after="80"/>
        <w:ind w:firstLine="482"/>
        <w:jc w:val="both"/>
      </w:pPr>
      <w:r>
        <w:rPr>
          <w:rFonts w:ascii="Times New Roman" w:hAnsi="Times New Roman" w:eastAsia="宋体"/>
          <w:b w:val="0"/>
          <w:sz w:val="24"/>
        </w:rPr>
        <w:t>第二条，数据条款是每份合同的生命线：没有数据合规使用授权的合同原则上不签，宁可让价换数据权益。</w:t>
      </w:r>
    </w:p>
    <w:p>
      <w:pPr>
        <w:spacing w:lineRule="auto" w:line="336" w:after="80"/>
        <w:ind w:firstLine="482"/>
        <w:jc w:val="both"/>
      </w:pPr>
      <w:r>
        <w:rPr>
          <w:rFonts w:ascii="Times New Roman" w:hAnsi="Times New Roman" w:eastAsia="宋体"/>
          <w:b w:val="0"/>
          <w:sz w:val="24"/>
        </w:rPr>
        <w:t>第三条，定价对标人工成本而非软件价格：数字员工的价值参照系是“雇一个人多少钱”，而不是“一套软件多少钱”。这是把行业软件从“卖不上价”的历史陷阱中解放出来的唯一路径。</w:t>
      </w:r>
    </w:p>
    <w:p>
      <w:r>
        <w:br w:type="page"/>
      </w:r>
    </w:p>
    <w:p>
      <w:pPr>
        <w:pStyle w:val="Heading1"/>
        <w:pageBreakBefore w:val="0"/>
        <w:spacing w:before="360" w:after="200"/>
      </w:pPr>
      <w:r>
        <w:rPr>
          <w:rFonts w:ascii="Times New Roman" w:hAnsi="Times New Roman" w:eastAsia="黑体"/>
          <w:b/>
          <w:color w:val="000000"/>
          <w:sz w:val="32"/>
        </w:rPr>
        <w:t>第七章 分年度实施路线图与主要任务（2026～2030）</w:t>
      </w:r>
    </w:p>
    <w:p>
      <w:pPr>
        <w:spacing w:lineRule="auto" w:line="336" w:after="80"/>
        <w:ind w:firstLine="482"/>
        <w:jc w:val="both"/>
      </w:pPr>
      <w:r>
        <w:rPr>
          <w:rFonts w:ascii="Times New Roman" w:hAnsi="Times New Roman" w:eastAsia="宋体"/>
          <w:b w:val="0"/>
          <w:sz w:val="24"/>
        </w:rPr>
        <w:t>2026年（立足年）：主题是“渡船下水、底座换芯”。完成玄镜底座AI化一期与MCP工具集发布；云基智配商用并获客100家；推出2～3个数字员工并完成付费验证；数据资产化一期完成；新范式收入占比40%。</w:t>
      </w:r>
    </w:p>
    <w:p>
      <w:pPr>
        <w:spacing w:lineRule="auto" w:line="336" w:after="80"/>
        <w:ind w:firstLine="482"/>
        <w:jc w:val="both"/>
      </w:pPr>
      <w:r>
        <w:rPr>
          <w:rFonts w:ascii="Times New Roman" w:hAnsi="Times New Roman" w:eastAsia="宋体"/>
          <w:b w:val="0"/>
          <w:sz w:val="24"/>
        </w:rPr>
        <w:t>2027年（验证年）：主题是“飞轮启动、模式定型”。数字员工扩展至6～8个，覆盖设计、造价、检测、养护主场景；按结果付费全面推开；Skill商店上线，生态伙伴达50家；付费客户突破200家；ARR占比50%；商业模式完成定型并开始规模复制；启动B轮融资或战略投资者引入。</w:t>
      </w:r>
    </w:p>
    <w:p>
      <w:pPr>
        <w:spacing w:lineRule="auto" w:line="336" w:after="80"/>
        <w:ind w:firstLine="482"/>
        <w:jc w:val="both"/>
      </w:pPr>
      <w:r>
        <w:rPr>
          <w:rFonts w:ascii="Times New Roman" w:hAnsi="Times New Roman" w:eastAsia="宋体"/>
          <w:b w:val="0"/>
          <w:sz w:val="24"/>
        </w:rPr>
        <w:t>2028年（放量年）：主题是“多体协同、格局卡位”。多Agent协同工作流（设计—校审—造价流水线）商用；私有化底座进入10个以上省级平台；付费客户400家；ARR占比60%；主导或参与2～3项行业AI标准编制；数据要素变现试点落地；向水利、市政行业输出首批复制案例。</w:t>
      </w:r>
    </w:p>
    <w:p>
      <w:pPr>
        <w:spacing w:lineRule="auto" w:line="336" w:after="80"/>
        <w:ind w:firstLine="482"/>
        <w:jc w:val="both"/>
      </w:pPr>
      <w:r>
        <w:rPr>
          <w:rFonts w:ascii="Times New Roman" w:hAnsi="Times New Roman" w:eastAsia="宋体"/>
          <w:b w:val="0"/>
          <w:sz w:val="24"/>
        </w:rPr>
        <w:t>2029年（领先年）：主题是“数字员工进编制、空间智能进现场”。数字员工与无人机、检测装备、路侧感知融合，从线上走向路网现场；“按岗位订阅+按结果结算”成为公司收入主体；客户700家；建成公路行业领先的AI评测与信任体系；生态开发者150家。</w:t>
      </w:r>
    </w:p>
    <w:p>
      <w:pPr>
        <w:spacing w:lineRule="auto" w:line="336" w:after="80"/>
        <w:ind w:firstLine="482"/>
        <w:jc w:val="both"/>
      </w:pPr>
      <w:r>
        <w:rPr>
          <w:rFonts w:ascii="Times New Roman" w:hAnsi="Times New Roman" w:eastAsia="宋体"/>
          <w:b w:val="0"/>
          <w:sz w:val="24"/>
        </w:rPr>
        <w:t>2030年（立范年）：主题是“标准立、生态成、出海试”。服务客户1000家，ARR占比超60%；成为行业事实标准主要制定者之一；生态伙伴200家；启动共建“一带一路”沿线市场试点；完成从“软件公司”到“行业智能底座与数字员工运营公司”的整体转型。</w:t>
      </w:r>
    </w:p>
    <w:p>
      <w:pPr>
        <w:spacing w:lineRule="auto" w:line="336" w:after="80"/>
        <w:ind w:firstLine="482"/>
        <w:jc w:val="both"/>
      </w:pPr>
      <w:r>
        <w:rPr>
          <w:rFonts w:ascii="Times New Roman" w:hAnsi="Times New Roman" w:eastAsia="宋体"/>
          <w:b w:val="0"/>
          <w:sz w:val="24"/>
        </w:rPr>
        <w:t>每年年底进行战略滚动校准，重点校准三件事：范式演进节奏是否符合预判、竞争格局是否出现突变、公司资源与目标是否匹配。校准可以调节奏、调打法，但五年方向（Agent化、底座化、数据化）不动摇。</w:t>
      </w:r>
    </w:p>
    <w:p>
      <w:r>
        <w:br w:type="page"/>
      </w:r>
    </w:p>
    <w:p>
      <w:pPr>
        <w:pStyle w:val="Heading1"/>
        <w:pageBreakBefore w:val="0"/>
        <w:spacing w:before="360" w:after="200"/>
      </w:pPr>
      <w:r>
        <w:rPr>
          <w:rFonts w:ascii="Times New Roman" w:hAnsi="Times New Roman" w:eastAsia="黑体"/>
          <w:b/>
          <w:color w:val="000000"/>
          <w:sz w:val="32"/>
        </w:rPr>
        <w:t>第八章 组织保障、人才建设与风险管控</w:t>
      </w:r>
    </w:p>
    <w:p>
      <w:pPr>
        <w:pStyle w:val="Heading2"/>
        <w:spacing w:before="240" w:after="120"/>
      </w:pPr>
      <w:r>
        <w:rPr>
          <w:rFonts w:ascii="Times New Roman" w:hAnsi="Times New Roman" w:eastAsia="黑体"/>
          <w:b/>
          <w:color w:val="000000"/>
          <w:sz w:val="28"/>
        </w:rPr>
        <w:t>8.1 组织与人才</w:t>
      </w:r>
    </w:p>
    <w:p>
      <w:pPr>
        <w:spacing w:lineRule="auto" w:line="336" w:after="80"/>
        <w:ind w:firstLine="482"/>
        <w:jc w:val="both"/>
      </w:pPr>
      <w:r>
        <w:rPr>
          <w:rFonts w:ascii="Times New Roman" w:hAnsi="Times New Roman" w:eastAsia="宋体"/>
          <w:b w:val="0"/>
          <w:sz w:val="24"/>
        </w:rPr>
        <w:t>组织再造：2026年一季度完成组织调整，设立四个新单元——AI工程部（模型接入、Agent研发、评测体系）、产品运营部（配置平台与数字员工的产品化运营）、客户成功部（超值服务、续费转化、数据采集）、数据资产部（治理、标注、合规、运营）。传统项目交付团队逐步向“客户成功+Skill沉淀”转型。</w:t>
      </w:r>
    </w:p>
    <w:p>
      <w:pPr>
        <w:spacing w:lineRule="auto" w:line="336" w:after="80"/>
        <w:ind w:firstLine="482"/>
        <w:jc w:val="both"/>
      </w:pPr>
      <w:r>
        <w:rPr>
          <w:rFonts w:ascii="Times New Roman" w:hAnsi="Times New Roman" w:eastAsia="宋体"/>
          <w:b w:val="0"/>
          <w:sz w:val="24"/>
        </w:rPr>
        <w:t>人才策略：外引内培并举。外引少量AI工程化领军人才（宁缺毋滥，用事业与期权吸引）；内培为主——公司最宝贵的是懂公路的工程师，让他们全员掌握AI工具，把行业Know-how转写为Prompt、知识库与Skill，比招聘外部AI人才更快更可靠。2026年实现全员AI工具化办公，研发人员AI辅助编程覆盖率100%，设立“Skill贡献”专项激励。</w:t>
      </w:r>
    </w:p>
    <w:p>
      <w:pPr>
        <w:spacing w:lineRule="auto" w:line="336" w:after="80"/>
        <w:ind w:firstLine="482"/>
        <w:jc w:val="both"/>
      </w:pPr>
      <w:r>
        <w:rPr>
          <w:rFonts w:ascii="Times New Roman" w:hAnsi="Times New Roman" w:eastAsia="宋体"/>
          <w:b w:val="0"/>
          <w:sz w:val="24"/>
        </w:rPr>
        <w:t>考核激励：从“合同额导向”转向“ARR+续费率+数据资产+标杆案例”多元导向；对渡船业务（配置平台）考核获客数与数据回流质量，对彼岸业务（数字员工）考核付费验证与结果质量；设立范式转型专项奖，重奖商业模式验证的关键突破。</w:t>
      </w:r>
    </w:p>
    <w:p>
      <w:pPr>
        <w:pStyle w:val="Heading2"/>
        <w:spacing w:before="240" w:after="120"/>
      </w:pPr>
      <w:r>
        <w:rPr>
          <w:rFonts w:ascii="Times New Roman" w:hAnsi="Times New Roman" w:eastAsia="黑体"/>
          <w:b/>
          <w:color w:val="000000"/>
          <w:sz w:val="28"/>
        </w:rPr>
        <w:t>8.2 资金与资本策略</w:t>
      </w:r>
    </w:p>
    <w:p>
      <w:pPr>
        <w:spacing w:lineRule="auto" w:line="336" w:after="80"/>
        <w:ind w:firstLine="482"/>
        <w:jc w:val="both"/>
      </w:pPr>
      <w:r>
        <w:rPr>
          <w:rFonts w:ascii="Times New Roman" w:hAnsi="Times New Roman" w:eastAsia="宋体"/>
          <w:b w:val="0"/>
          <w:sz w:val="24"/>
        </w:rPr>
        <w:t>以经营性现金流（项目制+底座授权）养战略投入，量入为出；2026年争取地方产业基金、国有资本的战略投资，强化“自主可控”资本背书；2027～2028年视商业模式验证情况推进新一轮融资，为放量期备足弹药；审慎控制算力与模型调用成本，建立单位任务AI成本核算制度，确保毛利率健康。</w:t>
      </w:r>
    </w:p>
    <w:p>
      <w:pPr>
        <w:pStyle w:val="Heading2"/>
        <w:spacing w:before="240" w:after="120"/>
      </w:pPr>
      <w:r>
        <w:rPr>
          <w:rFonts w:ascii="Times New Roman" w:hAnsi="Times New Roman" w:eastAsia="黑体"/>
          <w:b/>
          <w:color w:val="000000"/>
          <w:sz w:val="28"/>
        </w:rPr>
        <w:t>8.3 生态与合作策略</w:t>
      </w:r>
    </w:p>
    <w:p>
      <w:pPr>
        <w:spacing w:lineRule="auto" w:line="336" w:after="80"/>
        <w:ind w:firstLine="482"/>
        <w:jc w:val="both"/>
      </w:pPr>
      <w:r>
        <w:rPr>
          <w:rFonts w:ascii="Times New Roman" w:hAnsi="Times New Roman" w:eastAsia="宋体"/>
          <w:b w:val="0"/>
          <w:sz w:val="24"/>
        </w:rPr>
        <w:t>对大模型厂商：合作而非对抗——多模型接入、动态路由，不绑定单一厂商，保持议价能力；以行业数据与场景换取模型厂商的技术支持与市场协同。</w:t>
      </w:r>
    </w:p>
    <w:p>
      <w:pPr>
        <w:spacing w:lineRule="auto" w:line="336" w:after="80"/>
        <w:ind w:firstLine="482"/>
        <w:jc w:val="both"/>
      </w:pPr>
      <w:r>
        <w:rPr>
          <w:rFonts w:ascii="Times New Roman" w:hAnsi="Times New Roman" w:eastAsia="宋体"/>
          <w:b w:val="0"/>
          <w:sz w:val="24"/>
        </w:rPr>
        <w:t>对设计院：把“平台方兼开发者兼用户”的大型设计院从潜在竞争者变为共建伙伴——开放底座、联合开发数字员工、收益分成，让它们“造得快、用得好”，没有必要自建底座。</w:t>
      </w:r>
    </w:p>
    <w:p>
      <w:pPr>
        <w:spacing w:lineRule="auto" w:line="336" w:after="80"/>
        <w:ind w:firstLine="482"/>
        <w:jc w:val="both"/>
      </w:pPr>
      <w:r>
        <w:rPr>
          <w:rFonts w:ascii="Times New Roman" w:hAnsi="Times New Roman" w:eastAsia="宋体"/>
          <w:b w:val="0"/>
          <w:sz w:val="24"/>
        </w:rPr>
        <w:t>对同业软件商：开放玄镜MCP工具集，欢迎其APP接入成为Skill，共享Agent时代红利。</w:t>
      </w:r>
    </w:p>
    <w:p>
      <w:pPr>
        <w:spacing w:lineRule="auto" w:line="336" w:after="80"/>
        <w:ind w:firstLine="482"/>
        <w:jc w:val="both"/>
      </w:pPr>
      <w:r>
        <w:rPr>
          <w:rFonts w:ascii="Times New Roman" w:hAnsi="Times New Roman" w:eastAsia="宋体"/>
          <w:b w:val="0"/>
          <w:sz w:val="24"/>
        </w:rPr>
        <w:t>对政府与协会：主动承担试点示范、标准编制、白皮书撰写，把公司预判转化为行业共识，把行业共识转化为市场需求。</w:t>
      </w:r>
    </w:p>
    <w:p>
      <w:pPr>
        <w:pStyle w:val="Heading2"/>
        <w:spacing w:before="240" w:after="120"/>
      </w:pPr>
      <w:r>
        <w:rPr>
          <w:rFonts w:ascii="Times New Roman" w:hAnsi="Times New Roman" w:eastAsia="黑体"/>
          <w:b/>
          <w:color w:val="000000"/>
          <w:sz w:val="28"/>
        </w:rPr>
        <w:t>8.4 主要风险与应对</w:t>
      </w:r>
    </w:p>
    <w:p>
      <w:pPr>
        <w:spacing w:lineRule="auto" w:line="336" w:after="80"/>
        <w:ind w:firstLine="482"/>
        <w:jc w:val="both"/>
      </w:pPr>
      <w:r>
        <w:rPr>
          <w:rFonts w:ascii="Times New Roman" w:hAnsi="Times New Roman" w:eastAsia="宋体"/>
          <w:b w:val="0"/>
          <w:sz w:val="24"/>
        </w:rPr>
        <w:t>风险一：范式节奏误判（Agent成熟慢于预期或快于预期）。应对：三层产品体系天然对冲——慢了靠配置平台和底座吃饭，快了数字员工立即放量；每半年滚动校准投入配比。</w:t>
      </w:r>
    </w:p>
    <w:p>
      <w:pPr>
        <w:spacing w:lineRule="auto" w:line="336" w:after="80"/>
        <w:ind w:firstLine="482"/>
        <w:jc w:val="both"/>
      </w:pPr>
      <w:r>
        <w:rPr>
          <w:rFonts w:ascii="Times New Roman" w:hAnsi="Times New Roman" w:eastAsia="宋体"/>
          <w:b w:val="0"/>
          <w:sz w:val="24"/>
        </w:rPr>
        <w:t>风险二：巨头挤压（通用大模型厂商或国际软件巨头下场）。应对：深挖三维引擎+行业数据+客户信任三重护城河，抢在2027年前完成关键客户卡位；必要时以开放合作换生存空间。</w:t>
      </w:r>
    </w:p>
    <w:p>
      <w:pPr>
        <w:spacing w:lineRule="auto" w:line="336" w:after="80"/>
        <w:ind w:firstLine="482"/>
        <w:jc w:val="both"/>
      </w:pPr>
      <w:r>
        <w:rPr>
          <w:rFonts w:ascii="Times New Roman" w:hAnsi="Times New Roman" w:eastAsia="宋体"/>
          <w:b w:val="0"/>
          <w:sz w:val="24"/>
        </w:rPr>
        <w:t>风险三：AI质量与责任事故。应对：坚守“AI生成+人工确认”的责任边界，建立成果可追溯体系，购买职业责任保险，率先参与制定AI质量标准，把风险管理变成竞争优势。</w:t>
      </w:r>
    </w:p>
    <w:p>
      <w:pPr>
        <w:spacing w:lineRule="auto" w:line="336" w:after="80"/>
        <w:ind w:firstLine="482"/>
        <w:jc w:val="both"/>
      </w:pPr>
      <w:r>
        <w:rPr>
          <w:rFonts w:ascii="Times New Roman" w:hAnsi="Times New Roman" w:eastAsia="宋体"/>
          <w:b w:val="0"/>
          <w:sz w:val="24"/>
        </w:rPr>
        <w:t>风险四：数据合规风险。应对：数据合规官制度，所有数据活动依法依规、授权明确，私有化部署满足敏感客户要求。</w:t>
      </w:r>
    </w:p>
    <w:p>
      <w:pPr>
        <w:spacing w:lineRule="auto" w:line="336" w:after="80"/>
        <w:ind w:firstLine="482"/>
        <w:jc w:val="both"/>
      </w:pPr>
      <w:r>
        <w:rPr>
          <w:rFonts w:ascii="Times New Roman" w:hAnsi="Times New Roman" w:eastAsia="宋体"/>
          <w:b w:val="0"/>
          <w:sz w:val="24"/>
        </w:rPr>
        <w:t>风险五：转型期现金流风险。应对：存量项目业务稳住基本盘，底座授权大单压舱，严控固定成本扩张，设置季度现金流红线预警。</w:t>
      </w:r>
    </w:p>
    <w:p>
      <w:pPr>
        <w:spacing w:lineRule="auto" w:line="336" w:after="80"/>
        <w:ind w:firstLine="482"/>
        <w:jc w:val="both"/>
      </w:pPr>
      <w:r>
        <w:rPr>
          <w:rFonts w:ascii="Times New Roman" w:hAnsi="Times New Roman" w:eastAsia="宋体"/>
          <w:b w:val="0"/>
          <w:sz w:val="24"/>
        </w:rPr>
        <w:t>风险六：组织惯性与人才流失。应对：一把手挂帅转型，全员战略共识工程（见第九章），关键人才股权/期权绑定，让员工成为转型受益者。</w:t>
      </w:r>
    </w:p>
    <w:p>
      <w:r>
        <w:br w:type="page"/>
      </w:r>
    </w:p>
    <w:p>
      <w:pPr>
        <w:pStyle w:val="Heading1"/>
        <w:pageBreakBefore w:val="0"/>
        <w:spacing w:before="360" w:after="200"/>
      </w:pPr>
      <w:r>
        <w:rPr>
          <w:rFonts w:ascii="Times New Roman" w:hAnsi="Times New Roman" w:eastAsia="黑体"/>
          <w:b/>
          <w:color w:val="000000"/>
          <w:sz w:val="32"/>
        </w:rPr>
        <w:t>第九章 统一认识：全员行动纲领</w:t>
      </w:r>
    </w:p>
    <w:p>
      <w:pPr>
        <w:spacing w:lineRule="auto" w:line="336" w:after="80"/>
        <w:ind w:firstLine="482"/>
        <w:jc w:val="both"/>
      </w:pPr>
      <w:r>
        <w:rPr>
          <w:rFonts w:ascii="Times New Roman" w:hAnsi="Times New Roman" w:eastAsia="宋体"/>
          <w:b w:val="0"/>
          <w:sz w:val="24"/>
        </w:rPr>
        <w:t>战略的成败，最终取决于全体员工是否真信、真懂、真干。全公司必须统一以下五点认识：</w:t>
      </w:r>
    </w:p>
    <w:p>
      <w:pPr>
        <w:spacing w:lineRule="auto" w:line="336" w:after="80"/>
        <w:ind w:firstLine="482"/>
        <w:jc w:val="both"/>
      </w:pPr>
      <w:r>
        <w:rPr>
          <w:rFonts w:ascii="Times New Roman" w:hAnsi="Times New Roman" w:eastAsia="宋体"/>
          <w:b w:val="0"/>
          <w:sz w:val="24"/>
        </w:rPr>
        <w:t>第一，认清“变与不变”。变的是范式——从APP到Agent，从卖工具到卖结果；不变的是根本——客户是上帝，需求是根本，帮客户又快又好又省地完成任务，永远是我们存在的理由。</w:t>
      </w:r>
    </w:p>
    <w:p>
      <w:pPr>
        <w:spacing w:lineRule="auto" w:line="336" w:after="80"/>
        <w:ind w:firstLine="482"/>
        <w:jc w:val="both"/>
      </w:pPr>
      <w:r>
        <w:rPr>
          <w:rFonts w:ascii="Times New Roman" w:hAnsi="Times New Roman" w:eastAsia="宋体"/>
          <w:b w:val="0"/>
          <w:sz w:val="24"/>
        </w:rPr>
        <w:t>第二，认清“危与机”。不转型，玄镜平台将随旧范式一起被边缘化；转型成功，云基将从行业的参与者跃升为行业的底座。历史窗口只有两三年，等看清楚再动就晚了。</w:t>
      </w:r>
    </w:p>
    <w:p>
      <w:pPr>
        <w:spacing w:lineRule="auto" w:line="336" w:after="80"/>
        <w:ind w:firstLine="482"/>
        <w:jc w:val="both"/>
      </w:pPr>
      <w:r>
        <w:rPr>
          <w:rFonts w:ascii="Times New Roman" w:hAnsi="Times New Roman" w:eastAsia="宋体"/>
          <w:b w:val="0"/>
          <w:sz w:val="24"/>
        </w:rPr>
        <w:t>第三，认清“渡船与彼岸”。2026年做配置平台、做超低价，不是战略摇摆，而是以渡船渡向彼岸的主动布局；做项目、做服务的每一位员工，都是在为公司积累通向Agent时代最宝贵的数据与场景弹药。</w:t>
      </w:r>
    </w:p>
    <w:p>
      <w:pPr>
        <w:spacing w:lineRule="auto" w:line="336" w:after="80"/>
        <w:ind w:firstLine="482"/>
        <w:jc w:val="both"/>
      </w:pPr>
      <w:r>
        <w:rPr>
          <w:rFonts w:ascii="Times New Roman" w:hAnsi="Times New Roman" w:eastAsia="宋体"/>
          <w:b w:val="0"/>
          <w:sz w:val="24"/>
        </w:rPr>
        <w:t>第四，认清“自己的新角色”。每一位公路工程师都要成为“AI的老师”——把自己的经验教给数字员工；每一位程序员都要成为“Agent的制造者”；每一位服务与销售人员都要成为“客户成功伙伴+数据采集员”。人人皆是转型的主角，无人是旁观者。</w:t>
      </w:r>
    </w:p>
    <w:p>
      <w:pPr>
        <w:spacing w:lineRule="auto" w:line="336" w:after="80"/>
        <w:ind w:firstLine="482"/>
        <w:jc w:val="both"/>
      </w:pPr>
      <w:r>
        <w:rPr>
          <w:rFonts w:ascii="Times New Roman" w:hAnsi="Times New Roman" w:eastAsia="宋体"/>
          <w:b w:val="0"/>
          <w:sz w:val="24"/>
        </w:rPr>
        <w:t>第五，认清“纪律与耐心”。方向坚定不动摇，节奏灵活可调整；不打无准备之仗，不赚伤害战略的钱；用五年时间，一年一个台阶，把云基建成公路行业AI新范式的核心企业。</w:t>
      </w:r>
    </w:p>
    <w:p>
      <w:r>
        <w:br w:type="page"/>
      </w:r>
    </w:p>
    <w:p>
      <w:pPr>
        <w:pStyle w:val="Heading1"/>
        <w:pageBreakBefore w:val="0"/>
        <w:spacing w:before="360" w:after="200"/>
      </w:pPr>
      <w:r>
        <w:rPr>
          <w:rFonts w:ascii="Times New Roman" w:hAnsi="Times New Roman" w:eastAsia="黑体"/>
          <w:b/>
          <w:color w:val="000000"/>
          <w:sz w:val="32"/>
        </w:rPr>
        <w:t>结语</w:t>
      </w:r>
    </w:p>
    <w:p>
      <w:pPr>
        <w:spacing w:lineRule="auto" w:line="336" w:after="80"/>
        <w:ind w:firstLine="482"/>
        <w:jc w:val="both"/>
      </w:pPr>
      <w:r>
        <w:rPr>
          <w:rFonts w:ascii="Times New Roman" w:hAnsi="Times New Roman" w:eastAsia="宋体"/>
          <w:b w:val="0"/>
          <w:sz w:val="24"/>
        </w:rPr>
        <w:t>未来五年，公路行业数智化将完成从“平台+APP”到“智能底座+Agent”的范式跃迁，最终用户直接面对的将是以数字员工形态存在的Agent，商业的本质将从“卖软件”变为“交付结果”。这一预判，是本战略的基石。</w:t>
      </w:r>
    </w:p>
    <w:p>
      <w:pPr>
        <w:spacing w:lineRule="auto" w:line="336" w:after="80"/>
        <w:ind w:firstLine="482"/>
        <w:jc w:val="both"/>
      </w:pPr>
      <w:r>
        <w:rPr>
          <w:rFonts w:ascii="Times New Roman" w:hAnsi="Times New Roman" w:eastAsia="宋体"/>
          <w:b w:val="0"/>
          <w:sz w:val="24"/>
        </w:rPr>
        <w:t>云基公司手握自主可控的三维数字化核心技术与玄镜平台，身处政策共振、需求迫切、格局未定的历史窗口。2026年，我们以玄镜智能底座为根、以云基智配为渡船、以首批数字员工为矛，立足脚跟；2027～2029年，转动数据飞轮，确立行业身位；2030年，立范式、成生态、启新程。</w:t>
      </w:r>
    </w:p>
    <w:p>
      <w:pPr>
        <w:spacing w:lineRule="auto" w:line="336" w:after="80"/>
        <w:ind w:firstLine="482"/>
        <w:jc w:val="both"/>
      </w:pPr>
      <w:r>
        <w:rPr>
          <w:rFonts w:ascii="Times New Roman" w:hAnsi="Times New Roman" w:eastAsia="宋体"/>
          <w:b w:val="0"/>
          <w:sz w:val="24"/>
        </w:rPr>
        <w:t>道路虽远，行则将至；事虽难，做则必成。全体云基人，让我们统一认识、统一步调，向着“中国公路行业智能化核心底座企业”的目标，坚定出发。</w:t>
      </w:r>
    </w:p>
    <w:p>
      <w:pPr>
        <w:spacing w:lineRule="auto" w:line="336" w:after="80"/>
        <w:ind w:firstLine="482"/>
        <w:jc w:val="both"/>
      </w:pPr>
      <w:r>
        <w:rPr>
          <w:rFonts w:ascii="Times New Roman" w:hAnsi="Times New Roman" w:eastAsia="宋体"/>
          <w:b w:val="0"/>
          <w:sz w:val="24"/>
        </w:rPr>
        <w:t>（本报告为公司2026～2030年发展战略纲领性文件，自发布之日起施行，每年度滚动校准一次。）</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