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200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基于客体属性的主体行为的时空分布逻辑</w:t>
      </w:r>
    </w:p>
    <w:p>
      <w:pPr>
        <w:jc w:val="center"/>
      </w:pPr>
      <w:r>
        <w:rPr>
          <w:rFonts w:ascii="Times New Roman" w:hAnsi="Times New Roman" w:eastAsia="楷体"/>
          <w:b w:val="0"/>
          <w:sz w:val="28"/>
        </w:rPr>
        <w:t>十四维世界模型的一句话语法及其落地</w:t>
      </w:r>
    </w:p>
    <w:p>
      <w:pPr>
        <w:spacing w:after="480"/>
        <w:jc w:val="center"/>
      </w:pPr>
      <w:r>
        <w:rPr>
          <w:rFonts w:ascii="Times New Roman" w:hAnsi="Times New Roman" w:eastAsia="楷体"/>
          <w:b w:val="0"/>
          <w:color w:val="595959"/>
          <w:sz w:val="24"/>
        </w:rPr>
        <w:t>口诀202609061930 Fable5.1 合著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引言：一句话，十四维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基于客体属性的主体行为的时空分布逻辑”，是十四维世界模型的最高层口诀。本稿在《基于客体属性的主体行为的时空分布逻辑（口诀2020609061730Astra）》的基础上重写，同时吸收《口诀》三十六章、《口诀十四维世界模型理论总纲》、《口诀总文档》各图页及《一体多面一门多窗》的内容，力求把这句话还原为一套可读、可拆、可编码、可验证的结构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全文围绕一个判断展开：这句口诀本身就是一棵语法树，十四个维度是它的十四个词位。读懂这棵树，就读懂了现实业务如何转写为数字世界，也读懂了数字世界应当如何反过来约束自己，不越过现实。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第一章 口诀的语法：把一句话读成一个世界模型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把口诀逐词拆开，可以得到一张对照表：“基于”是方法论起点；“客体”是①，客体的“属性”是②；“主体”是③，主体自身的属性是④；“行为”并非一个动词，而是法⑤及其属性⑥、机⑦及其属性⑧、料⑨及其属性⑩的合称；“时”是⑪，“空”是⑫，“分布”是⑬，“逻辑”是⑭。五类对象与五类属性构成十个一级维度，回答“有什么、状态如何”；时间、空间、分布、逻辑四个关系维度，回答“何时何地、如何配置、如何牵连”。</w:t>
      </w:r>
    </w:p>
    <w:p>
      <w:pPr>
        <w:spacing w:before="120"/>
        <w:jc w:val="center"/>
      </w:pPr>
      <w:r>
        <w:rPr>
          <w:rFonts w:ascii="Times New Roman" w:hAnsi="Times New Roman" w:eastAsia="黑体"/>
          <w:b/>
          <w:sz w:val="21"/>
        </w:rPr>
        <w:t>表1 口诀成分与十四维对照表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907"/>
        <w:gridCol w:w="3345"/>
        <w:gridCol w:w="2665"/>
      </w:tblGrid>
      <w:tr>
        <w:tc>
          <w:tcPr>
            <w:tcW w:type="dxa" w:w="1587"/>
            <w:shd w:val="clear" w:color="auto" w:fill="D9E2F3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口诀成分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3345"/>
            <w:shd w:val="clear" w:color="auto" w:fill="D9E2F3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2665"/>
            <w:shd w:val="clear" w:color="auto" w:fill="D9E2F3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场景一对应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基于</w:t>
            </w:r>
          </w:p>
        </w:tc>
        <w:tc>
          <w:tcPr>
            <w:tcW w:type="dxa" w:w="90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334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方法论起点：客体先定，主体相生</w:t>
            </w:r>
          </w:p>
        </w:tc>
        <w:tc>
          <w:tcPr>
            <w:tcW w:type="dxa" w:w="266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先锁定“填方路基”这一客体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客体</w:t>
            </w:r>
          </w:p>
        </w:tc>
        <w:tc>
          <w:tcPr>
            <w:tcW w:type="dxa" w:w="90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①</w:t>
            </w:r>
          </w:p>
        </w:tc>
        <w:tc>
          <w:tcPr>
            <w:tcW w:type="dxa" w:w="334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ID、名称；网线段点／项目部件构件；无含义空间解构</w:t>
            </w:r>
          </w:p>
        </w:tc>
        <w:tc>
          <w:tcPr>
            <w:tcW w:type="dxa" w:w="266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某项目K1+150填方路基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属性（客体）</w:t>
            </w:r>
          </w:p>
        </w:tc>
        <w:tc>
          <w:tcPr>
            <w:tcW w:type="dxa" w:w="90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②</w:t>
            </w:r>
          </w:p>
        </w:tc>
        <w:tc>
          <w:tcPr>
            <w:tcW w:type="dxa" w:w="334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几何类、非几何类；设计值／实测值</w:t>
            </w:r>
          </w:p>
        </w:tc>
        <w:tc>
          <w:tcPr>
            <w:tcW w:type="dxa" w:w="266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96%压实度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主体</w:t>
            </w:r>
          </w:p>
        </w:tc>
        <w:tc>
          <w:tcPr>
            <w:tcW w:type="dxa" w:w="90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③</w:t>
            </w:r>
          </w:p>
        </w:tc>
        <w:tc>
          <w:tcPr>
            <w:tcW w:type="dxa" w:w="334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人（法人、自然人）、岗、角</w:t>
            </w:r>
          </w:p>
        </w:tc>
        <w:tc>
          <w:tcPr>
            <w:tcW w:type="dxa" w:w="266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某甲级单位、某机手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属性（主体）</w:t>
            </w:r>
          </w:p>
        </w:tc>
        <w:tc>
          <w:tcPr>
            <w:tcW w:type="dxa" w:w="90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④</w:t>
            </w:r>
          </w:p>
        </w:tc>
        <w:tc>
          <w:tcPr>
            <w:tcW w:type="dxa" w:w="334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自然、社会、经济、关系属性</w:t>
            </w:r>
          </w:p>
        </w:tc>
        <w:tc>
          <w:tcPr>
            <w:tcW w:type="dxa" w:w="266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甲级资质、持证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行为·法</w:t>
            </w:r>
          </w:p>
        </w:tc>
        <w:tc>
          <w:tcPr>
            <w:tcW w:type="dxa" w:w="90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⑤⑥</w:t>
            </w:r>
          </w:p>
        </w:tc>
        <w:tc>
          <w:tcPr>
            <w:tcW w:type="dxa" w:w="334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方法、工艺、制度、算法及其属性</w:t>
            </w:r>
          </w:p>
        </w:tc>
        <w:tc>
          <w:tcPr>
            <w:tcW w:type="dxa" w:w="266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振动碾压及其频率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行为·机</w:t>
            </w:r>
          </w:p>
        </w:tc>
        <w:tc>
          <w:tcPr>
            <w:tcW w:type="dxa" w:w="90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⑦⑧</w:t>
            </w:r>
          </w:p>
        </w:tc>
        <w:tc>
          <w:tcPr>
            <w:tcW w:type="dxa" w:w="334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工具、设备、软硬件及其属性</w:t>
            </w:r>
          </w:p>
        </w:tc>
        <w:tc>
          <w:tcPr>
            <w:tcW w:type="dxa" w:w="266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压路机，10吨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行为·料</w:t>
            </w:r>
          </w:p>
        </w:tc>
        <w:tc>
          <w:tcPr>
            <w:tcW w:type="dxa" w:w="90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⑨⑩</w:t>
            </w:r>
          </w:p>
        </w:tc>
        <w:tc>
          <w:tcPr>
            <w:tcW w:type="dxa" w:w="334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物料、资金、数据、能源及其属性</w:t>
            </w:r>
          </w:p>
        </w:tc>
        <w:tc>
          <w:tcPr>
            <w:tcW w:type="dxa" w:w="266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砂石料，3%含水量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时</w:t>
            </w:r>
          </w:p>
        </w:tc>
        <w:tc>
          <w:tcPr>
            <w:tcW w:type="dxa" w:w="90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⑪</w:t>
            </w:r>
          </w:p>
        </w:tc>
        <w:tc>
          <w:tcPr>
            <w:tcW w:type="dxa" w:w="334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时刻；时期（季节、生命周期、频率）</w:t>
            </w:r>
          </w:p>
        </w:tc>
        <w:tc>
          <w:tcPr>
            <w:tcW w:type="dxa" w:w="266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某年某月某日上午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空</w:t>
            </w:r>
          </w:p>
        </w:tc>
        <w:tc>
          <w:tcPr>
            <w:tcW w:type="dxa" w:w="90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⑫</w:t>
            </w:r>
          </w:p>
        </w:tc>
        <w:tc>
          <w:tcPr>
            <w:tcW w:type="dxa" w:w="334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地理位置；空间环境</w:t>
            </w:r>
          </w:p>
        </w:tc>
        <w:tc>
          <w:tcPr>
            <w:tcW w:type="dxa" w:w="266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K1+150，填方路基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分布</w:t>
            </w:r>
          </w:p>
        </w:tc>
        <w:tc>
          <w:tcPr>
            <w:tcW w:type="dxa" w:w="90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⑬</w:t>
            </w:r>
          </w:p>
        </w:tc>
        <w:tc>
          <w:tcPr>
            <w:tcW w:type="dxa" w:w="334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集中、分散、混合；静态、动态</w:t>
            </w:r>
          </w:p>
        </w:tc>
        <w:tc>
          <w:tcPr>
            <w:tcW w:type="dxa" w:w="266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碾压遍数与机具的段落安排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逻辑</w:t>
            </w:r>
          </w:p>
        </w:tc>
        <w:tc>
          <w:tcPr>
            <w:tcW w:type="dxa" w:w="90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⑭</w:t>
            </w:r>
          </w:p>
        </w:tc>
        <w:tc>
          <w:tcPr>
            <w:tcW w:type="dxa" w:w="334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内逻辑、间逻辑、元逻辑；关系实例</w:t>
            </w:r>
          </w:p>
        </w:tc>
        <w:tc>
          <w:tcPr>
            <w:tcW w:type="dxa" w:w="2665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含水量、吨位、遍数与压实度的关系</w:t>
            </w:r>
          </w:p>
        </w:tc>
      </w:tr>
    </w:tbl>
    <w:p>
      <w:pPr>
        <w:spacing w:after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种读法有三层含义。第一，对象与属性成对出现，说明十四维坚持“对象回答是什么，属性回答怎么样”的分层，不把一根桩的桩长与这根桩本身混为一个记录。第二，行为被展开为法机料，说明十四维不满足于“施工”“管理”这样的动词，而要求说清怎么做、借助什么、投入什么。第三，四个关系维度放在句末，说明它们不是对象的附属字段，而是对全部对象与行为的再一次观察：任何一次作用都必须能回答何时、何地、如何配置、遵循什么关系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《口诀》第七章说：“十四端，各有所问，非事事必备也。未涉者阙之，未明者存疑。”十四维是观物之门，不是天地之限。遇到装不进去的内容，先反省对象是否切分得当，再检验模型是否表达充分，而不轻易增加第十五个一级维度。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第二章 “基于”：客体先定，主体相生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口诀中最容易被忽略的是“基于”二字。它规定了拆解场景的顺序：先定客体，后定主体。主体与客体不是两种固定身份，而是相对于一次具体作用成立的角色。项目经理在人力资源评价中是被评价的客体，进入工程管理场景便成为组织人机料的主体；书稿受校勘时是客体，助人求知时又是料。《口诀》第五章说：“主客因事而立，非生而有定。”客体一旦漂移，主体就无处安放，系统建模也失去稳定的基础。可以概括为：客体先定，主体相生；客体不定，主体难分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基于客体属性”更进一层的含义是：一切主体行为都是对客体属性的作用。思维导图对“场景”的定义十分朴素——所有各主体行为，都是针对客体属性的查看、设计、建造、测量、评定、预测。查看是读取属性，设计是设定目标属性，建造是改变属性，测量是采集属性，评定是比较属性，预测是推演属性。由此可知，客体属性是全部业务的公分母：功能菜单上的每一个按钮，都对应着某个主体对某类客体属性的某种动作。先把客体和属性站稳，再谈功能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分析顺序于是可以固定为：客体定边界，属性定状态，主体据此行动；随后由任务目标与环境条件决定改变什么、改变到什么程度。“物不孤生，事不独成”，环境条件也须纳入客体属性之中。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第三章 客体与客体属性：正名、解构与留白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客体是当前任务中被作用、被管理、被研究或需要改变的对象，既可以是桩基、路面等物理实体，也可以是合同、案件、数学命题等抽象对象。思维导图给客体规定了三件事：ID号与名称；网、线、段、点与项目、部件、构件的层级；以及“无含义空间解构，形成对象单元结构树”。ID是身份，名称是称谓，解构是骨架。所谓“无含义解构”，是指拆分只依据空间与结构的包含关系，不预先塞进专业含义，各专业再在这棵树上挂各自的面。拆分的粒度服从“管理需求最小原则”，《口诀》第二章讲得更透：“所辨之细，止于足以解事；所采之广，止于足以成知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客体属性分为几何类与非几何类。几何类是外观、尺寸、坐标等可测量的形态信息；非几何类涵盖物理、力学、化学、材质、经济等特征，以及技术状况、病害、修订状态等状态信息。同一属性还应区分设计值、实测值、计划值与实际值：混凝土强度的设计要求与检测结果虽然相关，却不能压成一个含义不明的数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客体最重要的纪律是“正名”与“留白”。正名，即“名可更，所指不可暗移”：不因部门分工使一物生出数籍，不因数籍相似把数物强合为一身；对象拆分、合并、替换时记其所出、存其所自，“守其可追，非守其不变”。留白，即“未测者当留其白，莫以空为无；推得者当明其据，莫以料想为亲见”。册可助知，不可代物。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第四章 主体与主体属性：人、岗、角与数字主体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主体是能够发起、组织、控制和实施行为的一方。总纲从社会角度把主体分为组织主体与个人主体；思维导图则从建模角度把主体切成“人、岗、角”三层：人包括法人与自然人，各有ID、名称与属性；岗分为稳定组织与临时组织中的岗位，若干岗位组成最小组织；角是业务流程节点的驱动者。《口诀总文档》的主体页给出完整链条：组织树与岗位树承载结构，个人只与岗位发生关系，一人可多岗、一岗可多人；权限只按角色赋予，不按个人和岗位赋予；账号登录的是个人，通过人岗匹配、岗角匹配、角权匹配完成授权。这条“人—岗—角—权”链，正是《口诀》所说的“人异于位，位异于任，任异于权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主体属性同样分几何类与非几何类，后者细分自然、社会、经济、关系属性，例如施工单位的资质与信用等级、项目经理的职责与能力。主体属性决定“可为乎、当为乎”：能动未必宜动。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字时代的主体有了新成员。具备任务理解、计划分解、工具调用与反馈调整能力的智能体，可以在授权边界内充当数字主体，与自然人、机器人共同构成“三人”，同样要进入人岗角权的链条。《口诀》第五章还有一句提醒：“列人于客体之中，为察事之便；其志、其言、其尊，不得随名而损。”把人建成对象，是为了把事看清，而不是把人降格为数据。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第五章 行为与法机料：劳动工具的三分及其自身演化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为是主体与客体发生联系的方式，但在十四维中，行为不是一个可以独立记录的动词，而必须落实为法、机、料三类对象及其属性。这一分法上承“劳动者—劳动对象—劳动工具”这条参照线：法是方法、工艺、制度、规则、程序、算法，回答“怎么做”；机是工具、设备与软硬件载体，回答“借助什么执行”；料是被投入、消耗、转化或使用的资源，回答“投入和处理什么”。三者各有ID、名称与属性：法有适用条件与版本，机有型号、能力与运行状态，料有规格、数量与质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把法机料当作独立对象而非主体的附注，有两个理由。其一，它们自身会随行为演化：一次桩基施工结束，客体状态变了，钻机台班增加了，钢筋库存减少了，工法也留下了执行记录，行为既改变客体，也改变实现它的条件。其二，它们的角色随场景转移：“书受校勘则为客，助人求知则为料；器受修治则为客，助人施作则为机。”《口诀》第六章由此提出“辨用以清事，守名以贯事”——用途按场景辨别，身份按ID贯通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《口诀》的法度、器用、资用三章给出了三类对象各自的纪律：法，“约书是所载，约束是所行”，制度写进系统不等于被执行；机，“器以成事为贵，不以繁饰为贵”；料，“取材不可不察其源，用力不可不计其损”，涉人之私者明其所许而后用——数据作为料的一种，尤其适用最后一条。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第六章 时间：时刻、时期与双重时间戳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时间说明对象状态与行为在何时存在或发生。思维导图把时间分为时刻与时期：时刻是钟表上的具体时点，用于记录开工、检测、验收等事件；时期包括季节、生命周期与频率，用于表达阶段、周期与节律。总纲称之为绝对时间与相对时间，两者互补：只有日期而无先后依赖，难以组织流程；只有先后而无时刻，难以核对工期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稿在此强调一个常被忽视的分层——事件发生之时与得知记载之时。《口诀》第十四章说：“事有发生之时，亦有得知与记载之时。迟来的实情，可以更今日之知，不可伪称昨日已知。”数字系统若只保留一个时间字段，后来者便无法复察当初的判断是基于哪些已知信息作出的。对象状态的每一次更新都应带有双重时间戳，使“过去存其迹，现在察其势，未来列其可能”三者相照而不相冒名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时间还决定时机，“时机已失，倍力亦难追”。进度管理以时间为主线，正因为它把计划时刻与实际时刻、工序先后与资源到位并置比较，而不只是盯着一张甘特图。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第七章 空间：位置、环境与可达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空间说明对象所在的位置及其相互方位。思维导图分为地理位置与空间环境：地理位置以坐标、桩号、行政区划等参照体系定位，空间环境包括水文、地质、地理、气候等条件。总纲对应地区分绝对空间与相对空间：绝对坐标帮助找到对象，相对关系——某桩属于哪个墩、某构件位于另一构件之上、某路段属于哪条线路——帮助理解结构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《口诀》第十五章对空间的提醒有三条。一是“言物所在，须明所依之准”，坐标系可以转换，但转换方法与残余误差必须让人知道。二是“勿混地之远近与事之亲疏”，图上邻近未必路上可达，路网库中的拓扑关系与项目库中的管理归属是两回事。三是“既见点线，亦见阻隔与通道”，知物在何处，更知如何能至。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第八章 分布：集中、分散、混合与存量流向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布描述对象、状态与资源在不同节点、区域或时点上的配置。思维导图把分布的形态归为集中、分散与混合；总纲把分布的时态分为静态与动态：静态分布是某一时点的格局，如材料在各仓库的库存、设备在各标段的位置；动态分布是格局随时间的变化，如资金流动、人员调配与施工力量转移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布之所以要独立成维，是因为“有总数，未必有全貌”。《口诀》第十六章说：“粮足于国而一邑有饥，力足于众而一时无援，皆分布失宜也。”资源总量充足而局部短缺，是最常见的分布问题；“存量见所余，流向见所往，积滞见所阻”，三者合看才能支撑调度。集中与分散各有利弊，应随事量其聚散，不奉一式为常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分布维度还向上投射到系统架构本身。省域方案中的“一网多台、台连台、圈中圈、数换数”，就是把部、省、市、县多层主体及其数据按集中—分散—混合的原则安排：众所共用者不使重造，因事而异者不使强齐。分布既是业务对象的维度，也是数字世界自己的维度。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第九章 逻辑：内逻辑、间逻辑、元逻辑与关系实例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逻辑描述对象之间的关系、约束与规律。思维导图分为内逻辑与间逻辑；总纲进一步分为类逻辑、间逻辑与元逻辑：类逻辑关注同类对象内部的组织与构成，如桩基与其组成部分；间逻辑关注不同对象之间的作用与映射，如设计工程量与造价计算的关联；元逻辑协调不同逻辑之间的适用范围、优先级与冲突处理，如多项制度同时作用时的执行次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《口诀总文档》的数据架构页给出了逻辑维度最具体的形态：它被编码为“关系实例数据”，条目是客体/客体属性、客体/主体、客体/法、客体/机、客体/料、客体/时间、客体/空间、主体/法、主体/主体、时间/空间等。这意味着逻辑维度可以被枚举为前面各维两两之间的关系实例，正如思维导图所言，关系是指时空分布逻辑，是前面若干个维度的组合。逻辑不是漂浮在对象之外的说明文字，而是对象之间可查询、可版本化的连接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建模时需要明确一条连线究竟表达归属、映射、因果还是相参，“须各明其义”。关系可以对象化管理，例如“设计到造价的映射规则”可以成为有名称、版本与适用范围的记录，但要区分关系本身与承载关系的管理记录。元逻辑尤须警惕：“约上有约，终须落于可知、可议、可改之处。不可借最高之名，藏不可问之权。”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第十章 从口诀到编码：数据架构中的十四维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四维的落脚点是指导数字世界的构建。《口诀总文档》把十四维直接转写为数据编码体系：B00为数据定义（类定义、属性定义），B01客体、B02客体属性、B03主体、B04主体属性、B05法、B06机、B07料、B08时间、B09空间、B10逻辑，逐级向下细分。客体下有编码与二维、三维模型，客体属性下有基础信息、技术状况、病害等属性组，主体下有自然主体、业务主体与业务角色，法下有局部挖补、机械铣刨等工法，机、料各分本体与属性，时间下有时间轴、工程阶段，空间下有环境、位置特征、底图。应用服务与能力服务分别以A、C编码另列，从底层就区分了“世界是什么”与“对世界做什么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套编码印证了几条建模原则。一是对象先于功能：A类应用围绕B类对象组织，而非反过来。二是维度之间尽可能独立，同一要素只归一个一级维度，跨维使用通过B10的关系实例实现。三是覆盖全生命周期：一根桩在设计、造价、招采、施工、计量支付、审计、养护各阶段侧重不同，却始终沿同一身份可寻。基建业务编码把申报单位、业务事项、申报时间与流水号编入一串码，则是主体、法、时间三维在编码层的合流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验收一个系统，除了功能能否运行，更要检查对象能否跨阶段追踪、属性口径是否一致、行为是否留痕、关系是否可查。对象贯通是业务贯通与智能应用的基础。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第十一章 一体多面、一门多窗：十四维之上的应用形态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四维解决“世界如何被表达”，一体多面与一门多窗解决“世界如何被使用”。一体，是一个本体、一个共同的对象世界，即十四维所建的路网库、项目库、主体库与主题库；多面，是不同主体各取所需的观察面——政府看政策与信用，业主看进度质量造价安全环保，乙方看方案设备材料。《口诀》第二十四章说：“观山之人各立一处，所见不同，而山不因之裂为数山。”面可以不同，但来处必须相同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一门，是一张待办清单，“我要办”；多窗，是围绕待办打开的决策支持窗口，“我要看”。门以便入为功，聚其待办于一门，使急缓有序、来由可问、责任可知、下一步可行；窗随所问而开，或观对象与现状，或察证据与来历，或比诸策与代价，不以皆开为博。“人适应软件”是技术受限时的按能而现，“软件适应人”才是随心而动、按需而现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从十四维到一体多面一门多窗，是从世界模型到工作台的路径：先理共同之本，再安各异之用。“台如地基，贵能承众用。其善不在自高，而在使上有所生。”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第十二章 智能体与知限：主体的扩展与模型的自我约束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四维时代最大的主体扩展是智能体。《口诀》第三十章“任智”给出了纳入的条件：“能言者先验其所知，能谋者先察其所据，能行者先明其所许。理解、筹划、执行，各须有验，不以一能代诸能。”能力测试矩阵把理解力、计划力、执行力分别在应用层与平台层考核，正是这一思想的操作化。智能体作为数字主体，同样要有ID、属性、岗位、角色与权限，“授之事，亦授之界；任之能，须定承其责者。小事可试，大事须审，越界能止，失效有接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四维本身也应接受知限与知返的约束。“一例可明其用，不足尽证其通”，公路、审批、司法、数学多个场景能被拆解，说明框架有适用基础，不等于已经证明普适；一个什么都能解释却无法被证伪的模型，“所得或止于归名，未足以明理”。善立模者要“言其能见，明其未见，列其适处，存其失效之端”。十四维最有力的地方，恰恰是它承认自己是观物之门而非天地之限——有可修之缺，胜于不可疑之圆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留余同样重要：对象体系要留扩展余地，编码要留空位，系统要留退路。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第十三章 两个场景的完整拆解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《口诀总文档》用两个场景说明十四维的通用性，一个来自工地，一个来自家庭。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场景一：某年某月某日上午，在某项目K1+150填方路基上，某甲级单位的某有证机手，驾驶10吨压路机，振动碾压3%含水量的砂石料，达到96%压实度。逐词对应：年月日上午是⑪时间；K1+150填方路基是⑫空间，也是①客体；甲级单位与有证机手是③主体和④主体属性；10吨压路机是⑦机与⑧机属性；振动碾压是⑤法及其⑥属性；3%含水量砂石料是⑨料及其⑩属性；96%压实度是②客体属性。碾压遍数与机具在各段之间的安排是⑬分布；压实度与含水量、吨位、遍数之间的关系是⑭逻辑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场景二：某年某月某日晚上，在某家客厅，儿子由年轻的妈妈做了一碗刀削面喂饱了。晚上是时间，客厅是空间；儿子是客体，饿与饱是客体属性的前后状态；妈妈是主体，年轻是主体属性；刀削是法，刀是机，面是料；一碗是分布；饿而食之则饱，是逻辑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两个场景的对照说明：十四维不是工程专用的分类表，而是人对任何一次“有人对某物做了某事”的自然理解方式。政府审批、进度管理、勘察设计、公路养护、司法裁判、数学发现，都能在不增加一级维度的前提下完成同样的拆解。变化的只是对象名称、属性内容与专业方法，不变的是那份问题清单。</w:t>
      </w:r>
    </w:p>
    <w:p>
      <w:pPr>
        <w:pStyle w:val="Heading1"/>
        <w:keepNext/>
        <w:spacing w:before="360" w:after="160"/>
      </w:pPr>
      <w:r>
        <w:rPr>
          <w:rFonts w:ascii="Times New Roman" w:hAnsi="Times New Roman" w:eastAsia="黑体"/>
          <w:b/>
          <w:color w:val="1F3864"/>
          <w:sz w:val="30"/>
        </w:rPr>
        <w:t>结语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把这句口诀重新读一遍：“基于”是起点，客体属性是依据，主体行为是路径，法机料是实现，时空分布逻辑是贯穿全程的四重观察。它既是一种看现实的方式，也是一种建数字世界的方式，还是一种约束数字世界不要僭越现实的方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《口诀》最后一章说：“以一贯众，以实养知，以行求验，以德御能。使物尽其用，使人得其生，而不自以为已尽天下。”十四维的价值不在于把一切装进十四个格子，而在于让每一个格子里的东西可追、可比、可问、可改；让桥通而人安、器成而人闲，让众业相通而众人仍各有其志。</w:t>
      </w:r>
    </w:p>
    <w:sectPr w:rsidR="00FC693F" w:rsidRPr="0006063C" w:rsidSect="00034616"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