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1200"/>
        <w:jc w:val="center"/>
      </w:pPr>
      <w:r>
        <w:rPr>
          <w:rFonts w:ascii="Times New Roman" w:hAnsi="Times New Roman" w:eastAsia="黑体"/>
          <w:b/>
          <w:color w:val="000000"/>
          <w:sz w:val="44"/>
        </w:rPr>
        <w:t>基于客体属性的主体行为的时空分布逻辑</w:t>
      </w:r>
    </w:p>
    <w:p>
      <w:pPr>
        <w:jc w:val="center"/>
      </w:pPr>
      <w:r>
        <w:rPr>
          <w:rFonts w:ascii="Times New Roman" w:hAnsi="Times New Roman" w:eastAsia="楷体"/>
          <w:b w:val="0"/>
          <w:sz w:val="28"/>
        </w:rPr>
        <w:t>十四维世界模型的一句话语法及其落地</w:t>
      </w:r>
    </w:p>
    <w:p>
      <w:pPr>
        <w:spacing w:after="480"/>
        <w:jc w:val="center"/>
      </w:pPr>
      <w:r>
        <w:rPr>
          <w:rFonts w:ascii="Times New Roman" w:hAnsi="Times New Roman" w:eastAsia="楷体"/>
          <w:b w:val="0"/>
          <w:color w:val="595959"/>
          <w:sz w:val="24"/>
        </w:rPr>
        <w:t>口诀202609061930 Fable5.1 合著</w:t>
      </w:r>
    </w:p>
    <w:p>
      <w:pPr>
        <w:pStyle w:val="Heading1"/>
        <w:keepNext/>
        <w:spacing w:before="360" w:after="160"/>
      </w:pPr>
      <w:r>
        <w:rPr>
          <w:rFonts w:ascii="Times New Roman" w:hAnsi="Times New Roman" w:eastAsia="黑体"/>
          <w:b/>
          <w:color w:val="1F3864"/>
          <w:sz w:val="30"/>
        </w:rPr>
        <w:t>引言：一句话，十四维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“基于客体属性的主体行为的时空分布逻辑”，是十四维世界模型的最高层口诀。本稿在《基于客体属性的主体行为的时空分布逻辑（口诀2020609061730Astra）》的基础上重写，同时吸收《口诀》三十六章、《口诀十四维世界模型理论总纲》、《口诀总文档》各图页及《一体多面一门多窗》的内容，力求把这句话还原为一套可读、可拆、可编码、可验证的结构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全文围绕一个判断展开：这句口诀本身就是一棵语法树，十四个维度是它的十四个词位。读懂这棵树，就读懂了现实业务如何转写为数字世界，也读懂了数字世界应当如何反过来约束自己，不越过现实。</w:t>
      </w:r>
    </w:p>
    <w:p>
      <w:pPr>
        <w:pStyle w:val="Heading1"/>
        <w:keepNext/>
        <w:spacing w:before="360" w:after="160"/>
      </w:pPr>
      <w:r>
        <w:rPr>
          <w:rFonts w:ascii="Times New Roman" w:hAnsi="Times New Roman" w:eastAsia="黑体"/>
          <w:b/>
          <w:color w:val="1F3864"/>
          <w:sz w:val="30"/>
        </w:rPr>
        <w:t>第一章 口诀的语法：把一句话读成一个世界模型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把口诀逐词拆开，可以得到一张对照表：“基于”是方法论起点；“客体”是①，客体的“属性”是②；“主体”是③，主体自身的属性是④；“行为”并非一个动词，而是法⑤及其属性⑥、机⑦及其属性⑧、料⑨及其属性⑩的合称；“时”是⑪，“空”是⑫，“分布”是⑬，“逻辑”是⑭。五类对象与五类属性构成十个一级维度，回答“有什么、状态如何”；时间、空间、分布、逻辑四个关系维度，回答“何时何地、如何配置、如何牵连”。</w:t>
      </w:r>
    </w:p>
    <w:p>
      <w:pPr>
        <w:spacing w:before="120"/>
        <w:jc w:val="center"/>
      </w:pPr>
      <w:r>
        <w:rPr>
          <w:rFonts w:ascii="Times New Roman" w:hAnsi="Times New Roman" w:eastAsia="黑体"/>
          <w:b/>
          <w:sz w:val="21"/>
        </w:rPr>
        <w:t>表1 口诀成分与十四维对照表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09"/>
        <w:gridCol w:w="2209"/>
        <w:gridCol w:w="2209"/>
        <w:gridCol w:w="2209"/>
      </w:tblGrid>
      <w:tr>
        <w:tc>
          <w:tcPr>
            <w:tcW w:type="dxa" w:w="1474"/>
            <w:shd w:val="clear" w:color="auto" w:fill="D9E2F3"/>
          </w:tcPr>
          <w:p>
            <w:pPr>
              <w:spacing w:after="0" w:line="276" w:lineRule="auto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口诀成分</w:t>
            </w:r>
          </w:p>
        </w:tc>
        <w:tc>
          <w:tcPr>
            <w:tcW w:type="dxa" w:w="794"/>
            <w:shd w:val="clear" w:color="auto" w:fill="D9E2F3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维度</w:t>
            </w:r>
          </w:p>
        </w:tc>
        <w:tc>
          <w:tcPr>
            <w:tcW w:type="dxa" w:w="3515"/>
            <w:shd w:val="clear" w:color="auto" w:fill="D9E2F3"/>
          </w:tcPr>
          <w:p>
            <w:pPr>
              <w:spacing w:after="0" w:line="276" w:lineRule="auto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内容</w:t>
            </w:r>
          </w:p>
        </w:tc>
        <w:tc>
          <w:tcPr>
            <w:tcW w:type="dxa" w:w="2721"/>
            <w:shd w:val="clear" w:color="auto" w:fill="D9E2F3"/>
          </w:tcPr>
          <w:p>
            <w:pPr>
              <w:spacing w:after="0" w:line="276" w:lineRule="auto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场景一对应</w:t>
            </w:r>
          </w:p>
        </w:tc>
      </w:tr>
      <w:tr>
        <w:tc>
          <w:tcPr>
            <w:tcW w:type="dxa" w:w="1474"/>
          </w:tcPr>
          <w:p>
            <w:pPr>
              <w:spacing w:after="0" w:line="276" w:lineRule="auto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基于</w:t>
            </w:r>
          </w:p>
        </w:tc>
        <w:tc>
          <w:tcPr>
            <w:tcW w:type="dxa" w:w="794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—</w:t>
            </w:r>
          </w:p>
        </w:tc>
        <w:tc>
          <w:tcPr>
            <w:tcW w:type="dxa" w:w="3515"/>
          </w:tcPr>
          <w:p>
            <w:pPr>
              <w:spacing w:after="0" w:line="276" w:lineRule="auto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方法论起点：客体先定，主体相生</w:t>
            </w:r>
          </w:p>
        </w:tc>
        <w:tc>
          <w:tcPr>
            <w:tcW w:type="dxa" w:w="2721"/>
          </w:tcPr>
          <w:p>
            <w:pPr>
              <w:spacing w:after="0" w:line="276" w:lineRule="auto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先锁定“填方路基”这一客体</w:t>
            </w:r>
          </w:p>
        </w:tc>
      </w:tr>
      <w:tr>
        <w:tc>
          <w:tcPr>
            <w:tcW w:type="dxa" w:w="1474"/>
          </w:tcPr>
          <w:p>
            <w:pPr>
              <w:spacing w:after="0" w:line="276" w:lineRule="auto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客体</w:t>
            </w:r>
          </w:p>
        </w:tc>
        <w:tc>
          <w:tcPr>
            <w:tcW w:type="dxa" w:w="794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①</w:t>
            </w:r>
          </w:p>
        </w:tc>
        <w:tc>
          <w:tcPr>
            <w:tcW w:type="dxa" w:w="3515"/>
          </w:tcPr>
          <w:p>
            <w:pPr>
              <w:spacing w:after="0" w:line="276" w:lineRule="auto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ID、名称；网线段点／项目部件构件；无含义空间解构</w:t>
            </w:r>
          </w:p>
        </w:tc>
        <w:tc>
          <w:tcPr>
            <w:tcW w:type="dxa" w:w="2721"/>
          </w:tcPr>
          <w:p>
            <w:pPr>
              <w:spacing w:after="0" w:line="276" w:lineRule="auto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某项目K1+150填方路基</w:t>
            </w:r>
          </w:p>
        </w:tc>
      </w:tr>
      <w:tr>
        <w:tc>
          <w:tcPr>
            <w:tcW w:type="dxa" w:w="1474"/>
          </w:tcPr>
          <w:p>
            <w:pPr>
              <w:spacing w:after="0" w:line="276" w:lineRule="auto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属性（客体）</w:t>
            </w:r>
          </w:p>
        </w:tc>
        <w:tc>
          <w:tcPr>
            <w:tcW w:type="dxa" w:w="794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②</w:t>
            </w:r>
          </w:p>
        </w:tc>
        <w:tc>
          <w:tcPr>
            <w:tcW w:type="dxa" w:w="3515"/>
          </w:tcPr>
          <w:p>
            <w:pPr>
              <w:spacing w:after="0" w:line="276" w:lineRule="auto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几何类、非几何类；设计值／实测值</w:t>
            </w:r>
          </w:p>
        </w:tc>
        <w:tc>
          <w:tcPr>
            <w:tcW w:type="dxa" w:w="2721"/>
          </w:tcPr>
          <w:p>
            <w:pPr>
              <w:spacing w:after="0" w:line="276" w:lineRule="auto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96%压实度</w:t>
            </w:r>
          </w:p>
        </w:tc>
      </w:tr>
      <w:tr>
        <w:tc>
          <w:tcPr>
            <w:tcW w:type="dxa" w:w="1474"/>
          </w:tcPr>
          <w:p>
            <w:pPr>
              <w:spacing w:after="0" w:line="276" w:lineRule="auto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主体</w:t>
            </w:r>
          </w:p>
        </w:tc>
        <w:tc>
          <w:tcPr>
            <w:tcW w:type="dxa" w:w="794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③</w:t>
            </w:r>
          </w:p>
        </w:tc>
        <w:tc>
          <w:tcPr>
            <w:tcW w:type="dxa" w:w="3515"/>
          </w:tcPr>
          <w:p>
            <w:pPr>
              <w:spacing w:after="0" w:line="276" w:lineRule="auto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人（法人、自然人）、岗、角</w:t>
            </w:r>
          </w:p>
        </w:tc>
        <w:tc>
          <w:tcPr>
            <w:tcW w:type="dxa" w:w="2721"/>
          </w:tcPr>
          <w:p>
            <w:pPr>
              <w:spacing w:after="0" w:line="276" w:lineRule="auto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某甲级单位、某机手</w:t>
            </w:r>
          </w:p>
        </w:tc>
      </w:tr>
      <w:tr>
        <w:tc>
          <w:tcPr>
            <w:tcW w:type="dxa" w:w="1474"/>
          </w:tcPr>
          <w:p>
            <w:pPr>
              <w:spacing w:after="0" w:line="276" w:lineRule="auto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属性（主体）</w:t>
            </w:r>
          </w:p>
        </w:tc>
        <w:tc>
          <w:tcPr>
            <w:tcW w:type="dxa" w:w="794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④</w:t>
            </w:r>
          </w:p>
        </w:tc>
        <w:tc>
          <w:tcPr>
            <w:tcW w:type="dxa" w:w="3515"/>
          </w:tcPr>
          <w:p>
            <w:pPr>
              <w:spacing w:after="0" w:line="276" w:lineRule="auto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自然、社会、经济、关系属性</w:t>
            </w:r>
          </w:p>
        </w:tc>
        <w:tc>
          <w:tcPr>
            <w:tcW w:type="dxa" w:w="2721"/>
          </w:tcPr>
          <w:p>
            <w:pPr>
              <w:spacing w:after="0" w:line="276" w:lineRule="auto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甲级资质、持证</w:t>
            </w:r>
          </w:p>
        </w:tc>
      </w:tr>
      <w:tr>
        <w:tc>
          <w:tcPr>
            <w:tcW w:type="dxa" w:w="1474"/>
          </w:tcPr>
          <w:p>
            <w:pPr>
              <w:spacing w:after="0" w:line="276" w:lineRule="auto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行为·法</w:t>
            </w:r>
          </w:p>
        </w:tc>
        <w:tc>
          <w:tcPr>
            <w:tcW w:type="dxa" w:w="794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⑤⑥</w:t>
            </w:r>
          </w:p>
        </w:tc>
        <w:tc>
          <w:tcPr>
            <w:tcW w:type="dxa" w:w="3515"/>
          </w:tcPr>
          <w:p>
            <w:pPr>
              <w:spacing w:after="0" w:line="276" w:lineRule="auto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方法、工艺、制度、算法及其属性</w:t>
            </w:r>
          </w:p>
        </w:tc>
        <w:tc>
          <w:tcPr>
            <w:tcW w:type="dxa" w:w="2721"/>
          </w:tcPr>
          <w:p>
            <w:pPr>
              <w:spacing w:after="0" w:line="276" w:lineRule="auto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振动碾压及其频率</w:t>
            </w:r>
          </w:p>
        </w:tc>
      </w:tr>
      <w:tr>
        <w:tc>
          <w:tcPr>
            <w:tcW w:type="dxa" w:w="1474"/>
          </w:tcPr>
          <w:p>
            <w:pPr>
              <w:spacing w:after="0" w:line="276" w:lineRule="auto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行为·机</w:t>
            </w:r>
          </w:p>
        </w:tc>
        <w:tc>
          <w:tcPr>
            <w:tcW w:type="dxa" w:w="794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⑦⑧</w:t>
            </w:r>
          </w:p>
        </w:tc>
        <w:tc>
          <w:tcPr>
            <w:tcW w:type="dxa" w:w="3515"/>
          </w:tcPr>
          <w:p>
            <w:pPr>
              <w:spacing w:after="0" w:line="276" w:lineRule="auto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工具、设备、软硬件及其属性</w:t>
            </w:r>
          </w:p>
        </w:tc>
        <w:tc>
          <w:tcPr>
            <w:tcW w:type="dxa" w:w="2721"/>
          </w:tcPr>
          <w:p>
            <w:pPr>
              <w:spacing w:after="0" w:line="276" w:lineRule="auto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压路机，10吨</w:t>
            </w:r>
          </w:p>
        </w:tc>
      </w:tr>
      <w:tr>
        <w:tc>
          <w:tcPr>
            <w:tcW w:type="dxa" w:w="1474"/>
          </w:tcPr>
          <w:p>
            <w:pPr>
              <w:spacing w:after="0" w:line="276" w:lineRule="auto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行为·料</w:t>
            </w:r>
          </w:p>
        </w:tc>
        <w:tc>
          <w:tcPr>
            <w:tcW w:type="dxa" w:w="794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⑨⑩</w:t>
            </w:r>
          </w:p>
        </w:tc>
        <w:tc>
          <w:tcPr>
            <w:tcW w:type="dxa" w:w="3515"/>
          </w:tcPr>
          <w:p>
            <w:pPr>
              <w:spacing w:after="0" w:line="276" w:lineRule="auto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物料、资金、数据、能源及其属性</w:t>
            </w:r>
          </w:p>
        </w:tc>
        <w:tc>
          <w:tcPr>
            <w:tcW w:type="dxa" w:w="2721"/>
          </w:tcPr>
          <w:p>
            <w:pPr>
              <w:spacing w:after="0" w:line="276" w:lineRule="auto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砂石料，3%含水量</w:t>
            </w:r>
          </w:p>
        </w:tc>
      </w:tr>
      <w:tr>
        <w:tc>
          <w:tcPr>
            <w:tcW w:type="dxa" w:w="1474"/>
          </w:tcPr>
          <w:p>
            <w:pPr>
              <w:spacing w:after="0" w:line="276" w:lineRule="auto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时</w:t>
            </w:r>
          </w:p>
        </w:tc>
        <w:tc>
          <w:tcPr>
            <w:tcW w:type="dxa" w:w="794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⑪</w:t>
            </w:r>
          </w:p>
        </w:tc>
        <w:tc>
          <w:tcPr>
            <w:tcW w:type="dxa" w:w="3515"/>
          </w:tcPr>
          <w:p>
            <w:pPr>
              <w:spacing w:after="0" w:line="276" w:lineRule="auto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时刻；时期（季节、生命周期、频率）</w:t>
            </w:r>
          </w:p>
        </w:tc>
        <w:tc>
          <w:tcPr>
            <w:tcW w:type="dxa" w:w="2721"/>
          </w:tcPr>
          <w:p>
            <w:pPr>
              <w:spacing w:after="0" w:line="276" w:lineRule="auto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某年某月某日上午</w:t>
            </w:r>
          </w:p>
        </w:tc>
      </w:tr>
      <w:tr>
        <w:tc>
          <w:tcPr>
            <w:tcW w:type="dxa" w:w="1474"/>
          </w:tcPr>
          <w:p>
            <w:pPr>
              <w:spacing w:after="0" w:line="276" w:lineRule="auto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空</w:t>
            </w:r>
          </w:p>
        </w:tc>
        <w:tc>
          <w:tcPr>
            <w:tcW w:type="dxa" w:w="794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⑫</w:t>
            </w:r>
          </w:p>
        </w:tc>
        <w:tc>
          <w:tcPr>
            <w:tcW w:type="dxa" w:w="3515"/>
          </w:tcPr>
          <w:p>
            <w:pPr>
              <w:spacing w:after="0" w:line="276" w:lineRule="auto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地理位置；空间环境</w:t>
            </w:r>
          </w:p>
        </w:tc>
        <w:tc>
          <w:tcPr>
            <w:tcW w:type="dxa" w:w="2721"/>
          </w:tcPr>
          <w:p>
            <w:pPr>
              <w:spacing w:after="0" w:line="276" w:lineRule="auto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K1+150，填方路基</w:t>
            </w:r>
          </w:p>
        </w:tc>
      </w:tr>
      <w:tr>
        <w:tc>
          <w:tcPr>
            <w:tcW w:type="dxa" w:w="1474"/>
          </w:tcPr>
          <w:p>
            <w:pPr>
              <w:spacing w:after="0" w:line="276" w:lineRule="auto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分布</w:t>
            </w:r>
          </w:p>
        </w:tc>
        <w:tc>
          <w:tcPr>
            <w:tcW w:type="dxa" w:w="794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⑬</w:t>
            </w:r>
          </w:p>
        </w:tc>
        <w:tc>
          <w:tcPr>
            <w:tcW w:type="dxa" w:w="3515"/>
          </w:tcPr>
          <w:p>
            <w:pPr>
              <w:spacing w:after="0" w:line="276" w:lineRule="auto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集中、分散、混合；静态、动态</w:t>
            </w:r>
          </w:p>
        </w:tc>
        <w:tc>
          <w:tcPr>
            <w:tcW w:type="dxa" w:w="2721"/>
          </w:tcPr>
          <w:p>
            <w:pPr>
              <w:spacing w:after="0" w:line="276" w:lineRule="auto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碾压遍数与机具的段落安排</w:t>
            </w:r>
          </w:p>
        </w:tc>
      </w:tr>
      <w:tr>
        <w:tc>
          <w:tcPr>
            <w:tcW w:type="dxa" w:w="1474"/>
          </w:tcPr>
          <w:p>
            <w:pPr>
              <w:spacing w:after="0" w:line="276" w:lineRule="auto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逻辑</w:t>
            </w:r>
          </w:p>
        </w:tc>
        <w:tc>
          <w:tcPr>
            <w:tcW w:type="dxa" w:w="794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⑭</w:t>
            </w:r>
          </w:p>
        </w:tc>
        <w:tc>
          <w:tcPr>
            <w:tcW w:type="dxa" w:w="3515"/>
          </w:tcPr>
          <w:p>
            <w:pPr>
              <w:spacing w:after="0" w:line="276" w:lineRule="auto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内逻辑、间逻辑、元逻辑；关系实例</w:t>
            </w:r>
          </w:p>
        </w:tc>
        <w:tc>
          <w:tcPr>
            <w:tcW w:type="dxa" w:w="2721"/>
          </w:tcPr>
          <w:p>
            <w:pPr>
              <w:spacing w:after="0" w:line="276" w:lineRule="auto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含水量、吨位、遍数与压实度的关系</w:t>
            </w:r>
          </w:p>
        </w:tc>
      </w:tr>
    </w:tbl>
    <w:p>
      <w:pPr>
        <w:spacing w:after="0"/>
      </w:pPr>
    </w:p>
    <w:p>
      <w:pPr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这种读法有三层含义。第一，对象与属性成对出现，说明十四维坚持“对象回答是什么，属性回答怎么样”的分层，不把一根桩的桩长与这根桩本身混为一个记录。第二，行为被展开为法机料，说明十四维不满足于“施工”“管理”这样的动词，而要求说清怎么做、借助什么、投入什么。第三，四个关系维度放在句末，说明它们不是对象的附属字段，而是对全部对象与行为的再一次观察：任何一次作用都必须能回答何时、何地、如何配置、遵循什么关系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《口诀》第七章说：“十四端，各有所问，非事事必备也。未涉者阙之，未明者存疑。”十四维是观物之门，不是天地之限。遇到装不进去的内容，先反省对象是否切分得当，再检验模型是否表达充分，而不轻易增加第十五个一级维度。</w:t>
      </w:r>
    </w:p>
    <w:p>
      <w:pPr>
        <w:pStyle w:val="Heading1"/>
        <w:keepNext/>
        <w:spacing w:before="360" w:after="160"/>
      </w:pPr>
      <w:r>
        <w:rPr>
          <w:rFonts w:ascii="Times New Roman" w:hAnsi="Times New Roman" w:eastAsia="黑体"/>
          <w:b/>
          <w:color w:val="1F3864"/>
          <w:sz w:val="30"/>
        </w:rPr>
        <w:t>第二章 “基于”：客体先定，主体相生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口诀中最容易被忽略的是“基于”二字。它规定了拆解场景的顺序：先定客体，后定主体。主体与客体不是两种固定身份，而是相对于一次具体作用成立的角色。项目经理在人力资源评价中是被评价的客体，进入工程管理场景便成为组织人机料的主体；书稿受校勘时是客体，助人求知时又是料。《口诀》第五章说：“主客因事而立，非生而有定。”客体一旦漂移，主体就无处安放，系统建模也失去稳定的基础。可以概括为：客体先定，主体相生；客体不定，主体难分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“基于客体属性”更进一层的含义是：一切主体行为都是对客体属性的作用。思维导图对“场景”的定义十分朴素——所有各主体行为，都是针对客体属性的查看、设计、建造、测量、评定、预测。查看是读取属性，设计是设定目标属性，建造是改变属性，测量是采集属性，评定是比较属性，预测是推演属性。由此可知，客体属性是全部业务的公分母：功能菜单上的每一个按钮，都对应着某个主体对某类客体属性的某种动作。先把客体和属性站稳，再谈功能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分析顺序于是可以固定为：客体定边界，属性定状态，主体据此行动；随后由任务目标与环境条件决定改变什么、改变到什么程度。“物不孤生，事不独成”，环境条件也须纳入客体属性之中。</w:t>
      </w:r>
    </w:p>
    <w:p>
      <w:pPr>
        <w:pStyle w:val="Heading1"/>
        <w:keepNext/>
        <w:spacing w:before="360" w:after="160"/>
      </w:pPr>
      <w:r>
        <w:rPr>
          <w:rFonts w:ascii="Times New Roman" w:hAnsi="Times New Roman" w:eastAsia="黑体"/>
          <w:b/>
          <w:color w:val="1F3864"/>
          <w:sz w:val="30"/>
        </w:rPr>
        <w:t>第三章 客体与客体属性：正名、解构与留白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客体是当前任务中被作用、被管理、被研究或需要改变的对象，既可以是桩基、路面等物理实体，也可以是合同、案件、数学命题等抽象对象。思维导图给客体规定了三件事：ID号与名称；网、线、段、点与项目、部件、构件的层级；以及“无含义空间解构，形成对象单元结构树”。ID是身份，名称是称谓，解构是骨架。所谓“无含义解构”，是指拆分只依据空间与结构的包含关系，不预先塞进专业含义，各专业再在这棵树上挂各自的面。拆分的粒度服从“管理需求最小原则”，《口诀》第二章讲得更透：“所辨之细，止于足以解事；所采之广，止于足以成知。”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客体属性分为几何类与非几何类。几何类是外观、尺寸、坐标等可测量的形态信息；非几何类涵盖物理、力学、化学、材质、经济等特征，以及技术状况、病害、修订状态等状态信息。同一属性还应区分设计值、实测值、计划值与实际值：混凝土强度的设计要求与检测结果虽然相关，却不能压成一个含义不明的数字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对客体最重要的纪律是“正名”与“留白”。正名，即“名可更，所指不可暗移”：不因部门分工使一物生出数籍，不因数籍相似把数物强合为一身；对象拆分、合并、替换时记其所出、存其所自，“守其可追，非守其不变”。留白，即“未测者当留其白，莫以空为无；推得者当明其据，莫以料想为亲见”。册可助知，不可代物。</w:t>
      </w:r>
    </w:p>
    <w:p>
      <w:pPr>
        <w:pStyle w:val="Heading1"/>
        <w:keepNext/>
        <w:spacing w:before="360" w:after="160"/>
      </w:pPr>
      <w:r>
        <w:rPr>
          <w:rFonts w:ascii="Times New Roman" w:hAnsi="Times New Roman" w:eastAsia="黑体"/>
          <w:b/>
          <w:color w:val="1F3864"/>
          <w:sz w:val="30"/>
        </w:rPr>
        <w:t>第四章 主体与主体属性：人、岗、角与数字主体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主体是能够发起、组织、控制和实施行为的一方。总纲从社会角度把主体分为组织主体与个人主体；思维导图则从建模角度把主体切成“人、岗、角”三层：人包括法人与自然人，各有ID、名称与属性；岗分为稳定组织与临时组织中的岗位，若干岗位组成最小组织；角是业务流程节点的驱动者。《口诀总文档》的主体页给出完整链条：组织树与岗位树承载结构，个人只与岗位发生关系，一人可多岗、一岗可多人；权限只按角色赋予，不按个人和岗位赋予；账号登录的是个人，通过人岗匹配、岗角匹配、角权匹配完成授权。这条“人—岗—角—权”链，正是《口诀》所说的“人异于位，位异于任，任异于权”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主体属性同样分几何类与非几何类，后者细分自然、社会、经济、关系属性，例如施工单位的资质与信用等级、项目经理的职责与能力。主体属性决定“可为乎、当为乎”：能动未必宜动。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数字时代的主体有了新成员。具备任务理解、计划分解、工具调用与反馈调整能力的智能体，可以在授权边界内充当数字主体，与自然人、机器人共同构成“三人”，同样要进入人岗角权的链条。《口诀》第五章还有一句提醒：“列人于客体之中，为察事之便；其志、其言、其尊，不得随名而损。”把人建成对象，是为了把事看清，而不是把人降格为数据。</w:t>
      </w:r>
    </w:p>
    <w:p>
      <w:pPr>
        <w:pStyle w:val="Heading1"/>
        <w:keepNext/>
        <w:spacing w:before="360" w:after="160"/>
      </w:pPr>
      <w:r>
        <w:rPr>
          <w:rFonts w:ascii="Times New Roman" w:hAnsi="Times New Roman" w:eastAsia="黑体"/>
          <w:b/>
          <w:color w:val="1F3864"/>
          <w:sz w:val="30"/>
        </w:rPr>
        <w:t>第五章 行为与法机料：劳动工具的三分及其自身演化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行为是主体与客体发生联系的方式，但在十四维中，行为不是一个可以独立记录的动词，而必须落实为法、机、料三类对象及其属性。这一分法上承“劳动者—劳动对象—劳动工具”这条参照线：法是方法、工艺、制度、规则、程序、算法，回答“怎么做”；机是工具、设备与软硬件载体，回答“借助什么执行”；料是被投入、消耗、转化或使用的资源，回答“投入和处理什么”。三者各有ID、名称与属性：法有适用条件与版本，机有型号、能力与运行状态，料有规格、数量与质量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把法机料当作独立对象而非主体的附注，有两个理由。其一，它们自身会随行为演化：一次桩基施工结束，客体状态变了，钻机台班增加了，钢筋库存减少了，工法也留下了执行记录，行为既改变客体，也改变实现它的条件。其二，它们的角色随场景转移：“书受校勘则为客，助人求知则为料；器受修治则为客，助人施作则为机。”《口诀》第六章由此提出“辨用以清事，守名以贯事”——用途按场景辨别，身份按ID贯通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《口诀》的法度、器用、资用三章给出了三类对象各自的纪律：法，“约书是所载，约束是所行”，制度写进系统不等于被执行；机，“器以成事为贵，不以繁饰为贵”；料，“取材不可不察其源，用力不可不计其损”，涉人之私者明其所许而后用——数据作为料的一种，尤其适用最后一条。</w:t>
      </w:r>
    </w:p>
    <w:p>
      <w:pPr>
        <w:pStyle w:val="Heading1"/>
        <w:keepNext/>
        <w:spacing w:before="360" w:after="160"/>
      </w:pPr>
      <w:r>
        <w:rPr>
          <w:rFonts w:ascii="Times New Roman" w:hAnsi="Times New Roman" w:eastAsia="黑体"/>
          <w:b/>
          <w:color w:val="1F3864"/>
          <w:sz w:val="30"/>
        </w:rPr>
        <w:t>第六章 时间：时刻、时期与双重时间戳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时间说明对象状态与行为在何时存在或发生。思维导图把时间分为时刻与时期：时刻是钟表上的具体时点，用于记录开工、检测、验收等事件；时期包括季节、生命周期与频率，用于表达阶段、周期与节律。总纲称之为绝对时间与相对时间，两者互补：只有日期而无先后依赖，难以组织流程；只有先后而无时刻，难以核对工期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本稿在此强调一个常被忽视的分层——事件发生之时与得知记载之时。《口诀》第十四章说：“事有发生之时，亦有得知与记载之时。迟来的实情，可以更今日之知，不可伪称昨日已知。”数字系统若只保留一个时间字段，后来者便无法复察当初的判断是基于哪些已知信息作出的。对象状态的每一次更新都应带有双重时间戳，使“过去存其迹，现在察其势，未来列其可能”三者相照而不相冒名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时间还决定时机，“时机已失，倍力亦难追”。进度管理以时间为主线，正因为它把计划时刻与实际时刻、工序先后与资源到位并置比较，而不只是盯着一张甘特图。</w:t>
      </w:r>
    </w:p>
    <w:p>
      <w:pPr>
        <w:pStyle w:val="Heading1"/>
        <w:keepNext/>
        <w:spacing w:before="360" w:after="160"/>
      </w:pPr>
      <w:r>
        <w:rPr>
          <w:rFonts w:ascii="Times New Roman" w:hAnsi="Times New Roman" w:eastAsia="黑体"/>
          <w:b/>
          <w:color w:val="1F3864"/>
          <w:sz w:val="30"/>
        </w:rPr>
        <w:t>第七章 空间：位置、环境与可达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空间说明对象所在的位置及其相互方位。思维导图分为地理位置与空间环境：地理位置以坐标、桩号、行政区划等参照体系定位，空间环境包括水文、地质、地理、气候等条件。总纲对应地区分绝对空间与相对空间：绝对坐标帮助找到对象，相对关系——某桩属于哪个墩、某构件位于另一构件之上、某路段属于哪条线路——帮助理解结构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《口诀》第十五章对空间的提醒有三条。一是“言物所在，须明所依之准”，坐标系可以转换，但转换方法与残余误差必须让人知道。二是“勿混地之远近与事之亲疏”，图上邻近未必路上可达，路网库中的拓扑关系与项目库中的管理归属是两回事。三是“既见点线，亦见阻隔与通道”，知物在何处，更知如何能至。</w:t>
      </w:r>
    </w:p>
    <w:p>
      <w:pPr>
        <w:pStyle w:val="Heading1"/>
        <w:keepNext/>
        <w:spacing w:before="360" w:after="160"/>
      </w:pPr>
      <w:r>
        <w:rPr>
          <w:rFonts w:ascii="Times New Roman" w:hAnsi="Times New Roman" w:eastAsia="黑体"/>
          <w:b/>
          <w:color w:val="1F3864"/>
          <w:sz w:val="30"/>
        </w:rPr>
        <w:t>第八章 分布：集中、分散、混合与存量流向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分布描述对象、状态与资源在不同节点、区域或时点上的配置。思维导图把分布的形态归为集中、分散与混合；总纲把分布的时态分为静态与动态：静态分布是某一时点的格局，如材料在各仓库的库存、设备在各标段的位置；动态分布是格局随时间的变化，如资金流动、人员调配与施工力量转移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分布之所以要独立成维，是因为“有总数，未必有全貌”。《口诀》第十六章说：“粮足于国而一邑有饥，力足于众而一时无援，皆分布失宜也。”资源总量充足而局部短缺，是最常见的分布问题；“存量见所余，流向见所往，积滞见所阻”，三者合看才能支撑调度。集中与分散各有利弊，应随事量其聚散，不奉一式为常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分布维度还向上投射到系统架构本身。省域方案中的“一网多台、台连台、圈中圈、数换数”，就是把部、省、市、县多层主体及其数据按集中—分散—混合的原则安排：众所共用者不使重造，因事而异者不使强齐。分布既是业务对象的维度，也是数字世界自己的维度。</w:t>
      </w:r>
    </w:p>
    <w:p>
      <w:pPr>
        <w:pStyle w:val="Heading1"/>
        <w:keepNext/>
        <w:spacing w:before="360" w:after="160"/>
      </w:pPr>
      <w:r>
        <w:rPr>
          <w:rFonts w:ascii="Times New Roman" w:hAnsi="Times New Roman" w:eastAsia="黑体"/>
          <w:b/>
          <w:color w:val="1F3864"/>
          <w:sz w:val="30"/>
        </w:rPr>
        <w:t>第九章 逻辑：内逻辑、间逻辑、元逻辑与关系实例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逻辑描述对象之间的关系、约束与规律。思维导图分为内逻辑与间逻辑；总纲进一步分为类逻辑、间逻辑与元逻辑：类逻辑关注同类对象内部的组织与构成，如桩基与其组成部分；间逻辑关注不同对象之间的作用与映射，如设计工程量与造价计算的关联；元逻辑协调不同逻辑之间的适用范围、优先级与冲突处理，如多项制度同时作用时的执行次序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《口诀总文档》的数据架构页给出了逻辑维度最具体的形态：它被编码为“关系实例数据”，条目是客体/客体属性、客体/主体、客体/法、客体/机、客体/料、客体/时间、客体/空间、主体/法、主体/主体、时间/空间等。这意味着逻辑维度可以被枚举为前面各维两两之间的关系实例，正如思维导图所言，关系是指时空分布逻辑，是前面若干个维度的组合。逻辑不是漂浮在对象之外的说明文字，而是对象之间可查询、可版本化的连接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建模时需要明确一条连线究竟表达归属、映射、因果还是相参，“须各明其义”。关系可以对象化管理，例如“设计到造价的映射规则”可以成为有名称、版本与适用范围的记录，但要区分关系本身与承载关系的管理记录。元逻辑尤须警惕：“约上有约，终须落于可知、可议、可改之处。不可借最高之名，藏不可问之权。”</w:t>
      </w:r>
    </w:p>
    <w:p>
      <w:pPr>
        <w:pStyle w:val="Heading1"/>
        <w:keepNext/>
        <w:spacing w:before="360" w:after="160"/>
      </w:pPr>
      <w:r>
        <w:rPr>
          <w:rFonts w:ascii="Times New Roman" w:hAnsi="Times New Roman" w:eastAsia="黑体"/>
          <w:b/>
          <w:color w:val="1F3864"/>
          <w:sz w:val="30"/>
        </w:rPr>
        <w:t>第十章 从口诀到编码：数据架构中的十四维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十四维的落脚点是指导数字世界的构建。《口诀总文档》把十四维直接转写为数据编码体系：B00为数据定义（类定义、属性定义），B01客体、B02客体属性、B03主体、B04主体属性、B05法、B06机、B07料、B08时间、B09空间、B10逻辑，逐级向下细分。客体下有编码与二维、三维模型，客体属性下有基础信息、技术状况、病害等属性组，主体下有自然主体、业务主体与业务角色，法下有局部挖补、机械铣刨等工法，机、料各分本体与属性，时间下有时间轴、工程阶段，空间下有环境、位置特征、底图。应用服务与能力服务分别以A、C编码另列，从底层就区分了“世界是什么”与“对世界做什么”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这套编码印证了几条建模原则。一是对象先于功能：A类应用围绕B类对象组织，而非反过来。二是维度之间尽可能独立，同一要素只归一个一级维度，跨维使用通过B10的关系实例实现。三是覆盖全生命周期：一根桩在设计、造价、招采、施工、计量支付、审计、养护各阶段侧重不同，却始终沿同一身份可寻。基建业务编码把申报单位、业务事项、申报时间与流水号编入一串码，则是主体、法、时间三维在编码层的合流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验收一个系统，除了功能能否运行，更要检查对象能否跨阶段追踪、属性口径是否一致、行为是否留痕、关系是否可查。对象贯通是业务贯通与智能应用的基础。</w:t>
      </w:r>
    </w:p>
    <w:p>
      <w:pPr>
        <w:pStyle w:val="Heading1"/>
        <w:keepNext/>
        <w:spacing w:before="360" w:after="160"/>
      </w:pPr>
      <w:r>
        <w:rPr>
          <w:rFonts w:ascii="Times New Roman" w:hAnsi="Times New Roman" w:eastAsia="黑体"/>
          <w:b/>
          <w:color w:val="1F3864"/>
          <w:sz w:val="30"/>
        </w:rPr>
        <w:t>第十一章 一体多面、一门多窗：十四维之上的应用形态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十四维解决“世界如何被表达”，一体多面与一门多窗解决“世界如何被使用”。一体，是一个本体、一个共同的对象世界，即十四维所建的路网库、项目库、主体库与主题库；多面，是不同主体各取所需的观察面——政府看政策与信用，业主看进度质量造价安全环保，乙方看方案设备材料。《口诀》第二十四章说：“观山之人各立一处，所见不同，而山不因之裂为数山。”面可以不同，但来处必须相同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一门，是一张待办清单，“我要办”；多窗，是围绕待办打开的决策支持窗口，“我要看”。门以便入为功，聚其待办于一门，使急缓有序、来由可问、责任可知、下一步可行；窗随所问而开，或观对象与现状，或察证据与来历，或比诸策与代价，不以皆开为博。“人适应软件”是技术受限时的按能而现，“软件适应人”才是随心而动、按需而现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从十四维到一体多面一门多窗，是从世界模型到工作台的路径：先理共同之本，再安各异之用。“台如地基，贵能承众用。其善不在自高，而在使上有所生。”</w:t>
      </w:r>
    </w:p>
    <w:p>
      <w:pPr>
        <w:pStyle w:val="Heading1"/>
        <w:keepNext/>
        <w:spacing w:before="360" w:after="160"/>
      </w:pPr>
      <w:r>
        <w:rPr>
          <w:rFonts w:ascii="Times New Roman" w:hAnsi="Times New Roman" w:eastAsia="黑体"/>
          <w:b/>
          <w:color w:val="1F3864"/>
          <w:sz w:val="30"/>
        </w:rPr>
        <w:t>第十二章 智能体与知限：主体的扩展与模型的自我约束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十四维时代最大的主体扩展是智能体。《口诀》第三十章“任智”给出了纳入的条件：“能言者先验其所知，能谋者先察其所据，能行者先明其所许。理解、筹划、执行，各须有验，不以一能代诸能。”能力测试矩阵把理解力、计划力、执行力分别在应用层与平台层考核，正是这一思想的操作化。智能体作为数字主体，同样要有ID、属性、岗位、角色与权限，“授之事，亦授之界；任之能，须定承其责者。小事可试，大事须审，越界能止，失效有接”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十四维本身也应接受知限与知返的约束。“一例可明其用，不足尽证其通”，公路、审批、司法、数学多个场景能被拆解，说明框架有适用基础，不等于已经证明普适；一个什么都能解释却无法被证伪的模型，“所得或止于归名，未足以明理”。善立模者要“言其能见，明其未见，列其适处，存其失效之端”。十四维最有力的地方，恰恰是它承认自己是观物之门而非天地之限——有可修之缺，胜于不可疑之圆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留余同样重要：对象体系要留扩展余地，编码要留空位，系统要留退路。</w:t>
      </w:r>
    </w:p>
    <w:p>
      <w:pPr>
        <w:pStyle w:val="Heading1"/>
        <w:keepNext/>
        <w:spacing w:before="360" w:after="160"/>
      </w:pPr>
      <w:r>
        <w:rPr>
          <w:rFonts w:ascii="Times New Roman" w:hAnsi="Times New Roman" w:eastAsia="黑体"/>
          <w:b/>
          <w:color w:val="1F3864"/>
          <w:sz w:val="30"/>
        </w:rPr>
        <w:t>第十三章 两个场景的完整拆解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《口诀总文档》用两个场景说明十四维的通用性，一个来自工地，一个来自家庭。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场景一：某年某月某日上午，在某项目K1+150填方路基上，某甲级单位的某有证机手，驾驶10吨压路机，振动碾压3%含水量的砂石料，达到96%压实度。逐词对应：年月日上午是⑪时间；K1+150填方路基是⑫空间，也是①客体；甲级单位与有证机手是③主体和④主体属性；10吨压路机是⑦机与⑧机属性；振动碾压是⑤法及其⑥属性；3%含水量砂石料是⑨料及其⑩属性；96%压实度是②客体属性。碾压遍数与机具在各段之间的安排是⑬分布；压实度与含水量、吨位、遍数之间的关系是⑭逻辑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场景二：某年某月某日晚上，在某家客厅，儿子由年轻的妈妈做了一碗刀削面喂饱了。晚上是时间，客厅是空间；儿子是客体，饿与饱是客体属性的前后状态；妈妈是主体，年轻是主体属性；刀削是法，刀是机，面是料；一碗是分布；饿而食之则饱，是逻辑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两个场景的对照说明：十四维不是工程专用的分类表，而是人对任何一次“有人对某物做了某事”的自然理解方式。政府审批、进度管理、勘察设计、公路养护、司法裁判、数学发现，都能在不增加一级维度的前提下完成同样的拆解。变化的只是对象名称、属性内容与专业方法，不变的是那份问题清单。</w:t>
      </w:r>
    </w:p>
    <w:p>
      <w:pPr>
        <w:pStyle w:val="Heading1"/>
        <w:keepNext/>
        <w:spacing w:before="360" w:after="160"/>
      </w:pPr>
      <w:r>
        <w:rPr>
          <w:rFonts w:ascii="Times New Roman" w:hAnsi="Times New Roman" w:eastAsia="黑体"/>
          <w:b/>
          <w:color w:val="1F3864"/>
          <w:sz w:val="30"/>
        </w:rPr>
        <w:t>结语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把这句口诀重新读一遍：“基于”是起点，客体属性是依据，主体行为是路径，法机料是实现，时空分布逻辑是贯穿全程的四重观察。它既是一种看现实的方式，也是一种建数字世界的方式，还是一种约束数字世界不要僭越现实的方式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《口诀》最后一章说：“以一贯众，以实养知，以行求验，以德御能。使物尽其用，使人得其生，而不自以为已尽天下。”十四维的价值不在于把一切装进十四个格子，而在于让每一个格子里的东西可追、可比、可问、可改；让桥通而人安、器成而人闲，让众业相通而众人仍各有其志。</w:t>
      </w:r>
    </w:p>
    <w:sectPr w:rsidR="00FC693F" w:rsidRPr="0006063C" w:rsidSect="00034616">
      <w:pgSz w:w="12240" w:h="15840"/>
      <w:pgMar w:top="1440" w:right="1701" w:bottom="1440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