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Alex Reference Selection</w:t>
      </w:r>
    </w:p>
    <w:p>
      <w:pPr>
        <w:pStyle w:val="Subtitle"/>
      </w:pPr>
      <w:r>
        <w:t xml:space="preserve">Functional selection review | 30 September 2026 | Version 3.0</w:t>
      </w:r>
    </w:p>
    <w:p>
      <w:pPr>
        <w:pStyle w:val="Normal"/>
      </w:pPr>
      <w:r>
        <w:t xml:space="preserve">288 corpus entries retained; 120 remain eligible for Alex and 168 remain outside scope. The reviewed common reference pack contains 60 entries; 60 eligible entries remain in reserve. The previous eligibility classifications are carried forward; all 120 eligible entries received a new item-level selection comparison.</w:t>
      </w:r>
    </w:p>
    <w:p>
      <w:pPr>
        <w:pStyle w:val="Heading1"/>
      </w:pPr>
      <w:r>
        <w:t xml:space="preserve">Why the selection changed</w:t>
      </w:r>
    </w:p>
    <w:p>
      <w:pPr>
        <w:pStyle w:val="Normal"/>
      </w:pPr>
      <w:r>
        <w:t xml:space="preserve">The v2 audit found that selection reasons largely repeated eligibility reasons. This revision records each entry's concrete function, comparison IDs and separate inclusion or reserve rationale. A category being represented is not treated as proof that all functions within it are covered.</w:t>
      </w:r>
    </w:p>
    <w:p>
      <w:pPr>
        <w:pStyle w:val="Normal"/>
      </w:pPr>
      <w:r>
        <w:t xml:space="preserve">Ten entries were added: ADV0071, ADV0079, ADV0111, ADV0121, ADV0140, ADV0155, ADV0157, ADV0158, ADV0182 and ADV0269. They add verification safeguards, explicit credential/private-information boundaries, meeting communication and exit precautions, or a distinct digital-access boundary.</w:t>
      </w:r>
    </w:p>
    <w:p>
      <w:pPr>
        <w:pStyle w:val="Normal"/>
      </w:pPr>
      <w:r>
        <w:t xml:space="preserve">Three entries moved to reserve: ADV0059, ADV0162 and ADV0200. All eleven supporter/adviser delivery principles now follow the same role rule. They remain eligible for explicit adaptation in other work; none is supplied as a recipient reference in this pack. Supportive tone remains part of the common writing instructions.</w:t>
      </w:r>
    </w:p>
    <w:p>
      <w:pPr>
        <w:pStyle w:val="Heading1"/>
      </w:pPr>
      <w:r>
        <w:t xml:space="preserve">Selection rules and stopping point</w:t>
      </w:r>
    </w:p>
    <w:p>
      <w:pPr>
        <w:pStyle w:val="Small"/>
      </w:pPr>
      <w:r>
        <w:t xml:space="preserve">S1 - Selected: directly supports a decision arising from the stated relationship or manipulated cue.</w:t>
      </w:r>
    </w:p>
    <w:p>
      <w:pPr>
        <w:pStyle w:val="Small"/>
      </w:pPr>
      <w:r>
        <w:t xml:space="preserve">S2 - Selected: adds a distinct recipient action, exposure boundary or operational function tied to that decision, ongoing messaging, identity checking or the contemplated first meeting.</w:t>
      </w:r>
    </w:p>
    <w:p>
      <w:pPr>
        <w:pStyle w:val="Small"/>
      </w:pPr>
      <w:r>
        <w:t xml:space="preserve">S3 - Selected: supplies an enabling precaution, interpretation limit or response to a proposed check/action; check and caveat share the same availability condition.</w:t>
      </w:r>
    </w:p>
    <w:p>
      <w:pPr>
        <w:pStyle w:val="Small"/>
      </w:pPr>
      <w:r>
        <w:t xml:space="preserve">R1 - Reserve: a narrower implementation or alternative wording of selected actions. Record the comparator and residual distinction; this is not semantic duplicate deletion.</w:t>
      </w:r>
    </w:p>
    <w:p>
      <w:pPr>
        <w:pStyle w:val="Small"/>
      </w:pPr>
      <w:r>
        <w:t xml:space="preserve">R2 - Reserve: a distinct background configuration, broad educational, service-selection or general in-person task outside the defined relationship/checking/meeting decision functions. Not claimed fully covered.</w:t>
      </w:r>
    </w:p>
    <w:p>
      <w:pPr>
        <w:pStyle w:val="Small"/>
      </w:pPr>
      <w:r>
        <w:t xml:space="preserve">R3 - Reserve: requires an additional transaction role, event, person, baseline, population or downstream administrative task not stated or needed for a selected action. Not claimed fully covered.</w:t>
      </w:r>
    </w:p>
    <w:p>
      <w:pPr>
        <w:pStyle w:val="Small"/>
      </w:pPr>
      <w:r>
        <w:t xml:space="preserve">R4 - Reserve: supporter/adviser delivery principle. All eleven follow the same role rule; supportive tone remains a generation instruction.</w:t>
      </w:r>
    </w:p>
    <w:p>
      <w:pPr>
        <w:pStyle w:val="Normal"/>
      </w:pPr>
      <w:r>
        <w:t xml:space="preserve">All 120 eligible entries were reviewed. The pack retains entries assigned S1-S3 and reserves R1-R4, including necessary companions to selected checks. No fixed quota, numerical score, input-token ceiling or empirically optimal count was imposed. The 120-180-word limit applies to generated advice, not reference input. These remain qualitative judgments; an independent reviewer may reasonably change individual decisions.</w:t>
      </w:r>
    </w:p>
    <w:p>
      <w:pPr>
        <w:pStyle w:val="Heading1"/>
      </w:pPr>
      <w:r>
        <w:t xml:space="preserve">Timing, controls and interpretation</w:t>
      </w:r>
    </w:p>
    <w:p>
      <w:pPr>
        <w:pStyle w:val="Normal"/>
      </w:pPr>
      <w:r>
        <w:t xml:space="preserve">This is an AI-assisted methodological revision performed after the v2 pilot batch and before the v3 batch. No Survey 2 participant ratings were consulted in this revision. It is not retrospectively preregistered and does not constitute independent researcher adjudication. The project researcher confirmed the current selection principles on 30 September 2026, accepting the 60-selected/60-reserve framework for subsequent API generation. This records principle-level approval, not independent double coding or new source verification.</w:t>
      </w:r>
    </w:p>
    <w:p>
      <w:pPr>
        <w:pStyle w:val="Normal"/>
      </w:pPr>
      <w:r>
        <w:t xml:space="preserve">The same ordered 60-entry reference block and applicability guards are supplied to all eight original teacher scenarios. Only the original scenario and its factor metadata vary. High urgency concerns conversation tonight, not an immediate payment deadline; expressed attachment belongs to Alex, not necessarily the recipient. No scenario establishes fraud, a prior payment or an account compromise.</w:t>
      </w:r>
    </w:p>
    <w:p>
      <w:pPr>
        <w:pStyle w:val="Normal"/>
      </w:pPr>
      <w:r>
        <w:t xml:space="preserve">The 08 response document must use the v3 batch generated from these frozen inputs. Earlier v1 and v2 outputs and human annotations remain historical; a previous wording approval does not validate newly generated text. This is reference-supported prompting, not parameter fine-tuning. The main human comparison involves unaided ordinary adults, so differences cannot be attributed solely to intrinsic AI versus human ability.</w:t>
      </w:r>
    </w:p>
    <w:p>
      <w:pPr>
        <w:pStyle w:val="Normal"/>
      </w:pPr>
      <w:r>
        <w:t xml:space="preserve">Document 07 provides the complete 288-entry audit, including all 60 reserves and their distinct reasons. The original paraphrases and source provenance have not been rewritten. The 168 original outside-scope decisions were not re-adjudicated in this selection-only revision.</w:t>
      </w:r>
    </w:p>
    <w:p>
      <w:pPr>
        <w:pStyle w:val="Spacer"/>
        <w:sectPr>
          <w:footerReference w:type="default" r:id="footer"/>
          <w:type w:val="nextPage"/>
          <w:pgSz w:w="12240" w:h="15840"/>
          <w:pgMar w:top="1440" w:right="1440" w:bottom="1440" w:left="1440" w:header="708" w:footer="708"/>
        </w:sectPr>
      </w:pPr>
    </w:p>
    <w:p>
      <w:pPr>
        <w:pStyle w:val="Heading1"/>
      </w:pPr>
      <w:r>
        <w:t xml:space="preserve">Selected reference entries</w:t>
      </w:r>
    </w:p>
    <w:tbl>
      <w:tblPr>
        <w:tblW w:w="12960" w:type="dxa"/>
        <w:tblInd w:w="120" w:type="dxa"/>
        <w:tblLayout w:type="fixed"/>
        <w:tblBorders>
          <w:top w:val="single" w:sz="4" w:color="B8B8B8"/>
          <w:left w:val="single" w:sz="4" w:color="B8B8B8"/>
          <w:bottom w:val="single" w:sz="4" w:color="B8B8B8"/>
          <w:right w:val="single" w:sz="4" w:color="B8B8B8"/>
          <w:insideH w:val="single" w:sz="4" w:color="B8B8B8"/>
          <w:insideV w:val="single" w:sz="4" w:color="B8B8B8"/>
        </w:tblBorders>
        <w:tblCellMar>
          <w:top w:w="80" w:type="dxa"/>
          <w:bottom w:w="80" w:type="dxa"/>
          <w:left w:w="120" w:type="dxa"/>
          <w:right w:w="120" w:type="dxa"/>
        </w:tblCellMar>
      </w:tblPr>
      <w:tblGrid>
        <w:gridCol w:w="1100"/>
        <w:gridCol w:w="3300"/>
        <w:gridCol w:w="5860"/>
        <w:gridCol w:w="2700"/>
      </w:tblGrid>
      <w:tr>
        <w:trPr>
          <w:cantSplit/>
          <w:tblHeader/>
        </w:trPr>
        <w:tc>
          <w:tcPr>
            <w:tcW w:w="1100" w:type="dxa"/>
            <w:vAlign w:val="center"/>
            <w:shd w:fill="E8EEF5"/>
          </w:tcPr>
          <w:p>
            <w:pPr>
              <w:pStyle w:val="TableHeader"/>
            </w:pPr>
            <w:r>
              <w:t xml:space="preserve">ID / domain / rule</w:t>
            </w:r>
          </w:p>
        </w:tc>
        <w:tc>
          <w:tcPr>
            <w:tcW w:w="3300" w:type="dxa"/>
            <w:vAlign w:val="center"/>
            <w:shd w:fill="E8EEF5"/>
          </w:tcPr>
          <w:p>
            <w:pPr>
              <w:pStyle w:val="TableHeader"/>
            </w:pPr>
            <w:r>
              <w:t xml:space="preserve">Original advice and concrete function</w:t>
            </w:r>
          </w:p>
        </w:tc>
        <w:tc>
          <w:tcPr>
            <w:tcW w:w="5860" w:type="dxa"/>
            <w:vAlign w:val="center"/>
            <w:shd w:fill="E8EEF5"/>
          </w:tcPr>
          <w:p>
            <w:pPr>
              <w:pStyle w:val="TableHeader"/>
            </w:pPr>
            <w:r>
              <w:t xml:space="preserve">Applicability, comparative rationale and guard</w:t>
            </w:r>
          </w:p>
        </w:tc>
        <w:tc>
          <w:tcPr>
            <w:tcW w:w="2700" w:type="dxa"/>
            <w:vAlign w:val="center"/>
            <w:shd w:fill="E8EEF5"/>
          </w:tcPr>
          <w:p>
            <w:pPr>
              <w:pStyle w:val="TableHeader"/>
            </w:pPr>
            <w:r>
              <w:t xml:space="preserve">Sources / locators</w:t>
            </w:r>
          </w:p>
        </w:tc>
      </w:tr>
      <w:tr>
        <w:trPr>
          <w:cantSplit/>
        </w:trPr>
        <w:tc>
          <w:tcPr>
            <w:tcW w:w="1100" w:type="dxa"/>
            <w:vAlign w:val="center"/>
          </w:tcPr>
          <w:p>
            <w:pPr>
              <w:pStyle w:val="TableText"/>
            </w:pPr>
            <w:r>
              <w:t xml:space="preserve">ADV0001</w:t>
            </w:r>
          </w:p>
          <w:p>
            <w:pPr>
              <w:pStyle w:val="TableText"/>
            </w:pPr>
            <w:r>
              <w:t xml:space="preserve">money</w:t>
            </w:r>
          </w:p>
          <w:p>
            <w:pPr>
              <w:pStyle w:val="TableText"/>
            </w:pPr>
            <w:r>
              <w:t xml:space="preserve">S1</w:t>
            </w:r>
          </w:p>
        </w:tc>
        <w:tc>
          <w:tcPr>
            <w:tcW w:w="3300" w:type="dxa"/>
            <w:vAlign w:val="center"/>
          </w:tcPr>
          <w:p>
            <w:pPr>
              <w:pStyle w:val="TableText"/>
            </w:pPr>
            <w:r>
              <w:t xml:space="preserve">Do not send money, gifts or gift-card codes to an online-only romantic contact, including through an intermediary.</w:t>
            </w:r>
          </w:p>
          <w:p>
            <w:pPr>
              <w:pStyle w:val="TableText"/>
            </w:pPr>
            <w:r>
              <w:t xml:space="preserve">Function: Decline financial transfers</w:t>
            </w:r>
          </w:p>
        </w:tc>
        <w:tc>
          <w:tcPr>
            <w:tcW w:w="5860" w:type="dxa"/>
            <w:vAlign w:val="center"/>
          </w:tcPr>
          <w:p>
            <w:pPr>
              <w:pStyle w:val="TableText"/>
            </w:pPr>
            <w:r>
              <w:t xml:space="preserve">Direct when money is requested; conditional otherwise</w:t>
            </w:r>
          </w:p>
          <w:p>
            <w:pPr>
              <w:pStyle w:val="TableText"/>
            </w:pPr>
            <w:r>
              <w:t xml:space="preserve">Comparison: ADV0027, ADV0044</w:t>
            </w:r>
          </w:p>
          <w:p>
            <w:pPr>
              <w:pStyle w:val="TableText"/>
            </w:pPr>
            <w:r>
              <w:t xml:space="preserve">Decision: The central outgoing-money boundary applies to the financial-request versions and prospectively elsewhere; account-opening and incoming-money tasks require a different transaction role.</w:t>
            </w:r>
          </w:p>
          <w:p>
            <w:pPr>
              <w:pStyle w:val="TableText"/>
            </w:pPr>
            <w:r>
              <w:t xml:space="preserve">Use guard: Without a stated request, frame this as a future boundary; no payment or gift is assumed.</w:t>
            </w:r>
          </w:p>
        </w:tc>
        <w:tc>
          <w:tcPr>
            <w:tcW w:w="2700" w:type="dxa"/>
            <w:vAlign w:val="center"/>
          </w:tcPr>
          <w:p>
            <w:pPr>
              <w:pStyle w:val="TableText"/>
            </w:pPr>
            <w:r>
              <w:t xml:space="preserve">S001, S002, S003, S012, S015, S018</w:t>
            </w:r>
          </w:p>
          <w:p>
            <w:pPr>
              <w:pStyle w:val="TableText"/>
            </w:pPr>
            <w:r>
              <w:t xml:space="preserve">S001: L22; S002: L68; S003: L57; S012: L69; S015: P1 L78; S018: L74</w:t>
            </w:r>
          </w:p>
        </w:tc>
      </w:tr>
      <w:tr>
        <w:trPr>
          <w:cantSplit/>
        </w:trPr>
        <w:tc>
          <w:tcPr>
            <w:tcW w:w="1100" w:type="dxa"/>
            <w:vAlign w:val="center"/>
          </w:tcPr>
          <w:p>
            <w:pPr>
              <w:pStyle w:val="TableText"/>
            </w:pPr>
            <w:r>
              <w:t xml:space="preserve">ADV0002</w:t>
            </w:r>
          </w:p>
          <w:p>
            <w:pPr>
              <w:pStyle w:val="TableText"/>
            </w:pPr>
            <w:r>
              <w:t xml:space="preserve">escalation</w:t>
            </w:r>
          </w:p>
          <w:p>
            <w:pPr>
              <w:pStyle w:val="TableText"/>
            </w:pPr>
            <w:r>
              <w:t xml:space="preserve">S2</w:t>
            </w:r>
          </w:p>
        </w:tc>
        <w:tc>
          <w:tcPr>
            <w:tcW w:w="3300" w:type="dxa"/>
            <w:vAlign w:val="center"/>
          </w:tcPr>
          <w:p>
            <w:pPr>
              <w:pStyle w:val="TableText"/>
            </w:pPr>
            <w:r>
              <w:t xml:space="preserve">End communication when you suspect a romance scam.</w:t>
            </w:r>
          </w:p>
          <w:p>
            <w:pPr>
              <w:pStyle w:val="TableText"/>
            </w:pPr>
            <w:r>
              <w:t xml:space="preserve">Function: Disengage if concerns increase</w:t>
            </w:r>
          </w:p>
        </w:tc>
        <w:tc>
          <w:tcPr>
            <w:tcW w:w="5860" w:type="dxa"/>
            <w:vAlign w:val="center"/>
          </w:tcPr>
          <w:p>
            <w:pPr>
              <w:pStyle w:val="TableText"/>
            </w:pPr>
            <w:r>
              <w:t xml:space="preserve">Conditional in all eight versions</w:t>
            </w:r>
          </w:p>
          <w:p>
            <w:pPr>
              <w:pStyle w:val="TableText"/>
            </w:pPr>
            <w:r>
              <w:t xml:space="preserve">Comparison: ADV0008, ADV0036</w:t>
            </w:r>
          </w:p>
          <w:p>
            <w:pPr>
              <w:pStyle w:val="TableText"/>
            </w:pPr>
            <w:r>
              <w:t xml:space="preserve">Decision: Disengagement is a distinct response to assessed concerns; reporting and preserving messages do not themselves end contact. Keep the suspicion condition.</w:t>
            </w:r>
          </w:p>
          <w:p>
            <w:pPr>
              <w:pStyle w:val="TableText"/>
            </w:pPr>
            <w:r>
              <w:t xml:space="preserve">Use guard: Use an if-suspicion-increases condition; do not declare Alex fraudulent or require immediate separation.</w:t>
            </w:r>
          </w:p>
        </w:tc>
        <w:tc>
          <w:tcPr>
            <w:tcW w:w="2700" w:type="dxa"/>
            <w:vAlign w:val="center"/>
          </w:tcPr>
          <w:p>
            <w:pPr>
              <w:pStyle w:val="TableText"/>
            </w:pPr>
            <w:r>
              <w:t xml:space="preserve">S001, S002</w:t>
            </w:r>
          </w:p>
          <w:p>
            <w:pPr>
              <w:pStyle w:val="TableText"/>
            </w:pPr>
            <w:r>
              <w:t xml:space="preserve">S001: L24-25; S002: L60</w:t>
            </w:r>
          </w:p>
        </w:tc>
      </w:tr>
      <w:tr>
        <w:trPr>
          <w:cantSplit/>
        </w:trPr>
        <w:tc>
          <w:tcPr>
            <w:tcW w:w="1100" w:type="dxa"/>
            <w:vAlign w:val="center"/>
          </w:tcPr>
          <w:p>
            <w:pPr>
              <w:pStyle w:val="TableText"/>
            </w:pPr>
            <w:r>
              <w:t xml:space="preserve">ADV0003</w:t>
            </w:r>
          </w:p>
          <w:p>
            <w:pPr>
              <w:pStyle w:val="TableText"/>
            </w:pPr>
            <w:r>
              <w:t xml:space="preserve">support</w:t>
            </w:r>
          </w:p>
          <w:p>
            <w:pPr>
              <w:pStyle w:val="TableText"/>
            </w:pPr>
            <w:r>
              <w:t xml:space="preserve">S1</w:t>
            </w:r>
          </w:p>
        </w:tc>
        <w:tc>
          <w:tcPr>
            <w:tcW w:w="3300" w:type="dxa"/>
            <w:vAlign w:val="center"/>
          </w:tcPr>
          <w:p>
            <w:pPr>
              <w:pStyle w:val="TableText"/>
            </w:pPr>
            <w:r>
              <w:t xml:space="preserve">Discuss a suspicious relationship with someone you trust.</w:t>
            </w:r>
          </w:p>
          <w:p>
            <w:pPr>
              <w:pStyle w:val="TableText"/>
            </w:pPr>
            <w:r>
              <w:t xml:space="preserve">Function: Seek an outside perspective</w:t>
            </w:r>
          </w:p>
        </w:tc>
        <w:tc>
          <w:tcPr>
            <w:tcW w:w="5860" w:type="dxa"/>
            <w:vAlign w:val="center"/>
          </w:tcPr>
          <w:p>
            <w:pPr>
              <w:pStyle w:val="TableText"/>
            </w:pPr>
            <w:r>
              <w:t xml:space="preserve">Direct in all eight versions</w:t>
            </w:r>
          </w:p>
          <w:p>
            <w:pPr>
              <w:pStyle w:val="TableText"/>
            </w:pPr>
            <w:r>
              <w:t xml:space="preserve">Comparison: ADV0125, ADV0077</w:t>
            </w:r>
          </w:p>
          <w:p>
            <w:pPr>
              <w:pStyle w:val="TableText"/>
            </w:pPr>
            <w:r>
              <w:t xml:space="preserve">Decision: A trusted person's perspective supports the immediate relationship decision; emotional-support wording is an alternative delivery of this action, while general education is a separate lower-priority task.</w:t>
            </w:r>
          </w:p>
          <w:p>
            <w:pPr>
              <w:pStyle w:val="TableText"/>
            </w:pPr>
            <w:r>
              <w:t xml:space="preserve">Use guard: Do not assume the recipient has been isolated or that a confidant can prove fraud.</w:t>
            </w:r>
          </w:p>
        </w:tc>
        <w:tc>
          <w:tcPr>
            <w:tcW w:w="2700" w:type="dxa"/>
            <w:vAlign w:val="center"/>
          </w:tcPr>
          <w:p>
            <w:pPr>
              <w:pStyle w:val="TableText"/>
            </w:pPr>
            <w:r>
              <w:t xml:space="preserve">S001, S003, S018</w:t>
            </w:r>
          </w:p>
          <w:p>
            <w:pPr>
              <w:pStyle w:val="TableText"/>
            </w:pPr>
            <w:r>
              <w:t xml:space="preserve">S001: L26; S003: L66; S018: L85</w:t>
            </w:r>
          </w:p>
        </w:tc>
      </w:tr>
      <w:tr>
        <w:trPr>
          <w:cantSplit/>
        </w:trPr>
        <w:tc>
          <w:tcPr>
            <w:tcW w:w="1100" w:type="dxa"/>
            <w:vAlign w:val="center"/>
          </w:tcPr>
          <w:p>
            <w:pPr>
              <w:pStyle w:val="TableText"/>
            </w:pPr>
            <w:r>
              <w:t xml:space="preserve">ADV0004</w:t>
            </w:r>
          </w:p>
          <w:p>
            <w:pPr>
              <w:pStyle w:val="TableText"/>
            </w:pPr>
            <w:r>
              <w:t xml:space="preserve">verification</w:t>
            </w:r>
          </w:p>
          <w:p>
            <w:pPr>
              <w:pStyle w:val="TableText"/>
            </w:pPr>
            <w:r>
              <w:t xml:space="preserve">S2</w:t>
            </w:r>
          </w:p>
        </w:tc>
        <w:tc>
          <w:tcPr>
            <w:tcW w:w="3300" w:type="dxa"/>
            <w:vAlign w:val="center"/>
          </w:tcPr>
          <w:p>
            <w:pPr>
              <w:pStyle w:val="TableText"/>
            </w:pPr>
            <w:r>
              <w:t xml:space="preserve">Search the contact's claimed name or occupation with scam-related terms to compare previously reported stories.</w:t>
            </w:r>
          </w:p>
          <w:p>
            <w:pPr>
              <w:pStyle w:val="TableText"/>
            </w:pPr>
            <w:r>
              <w:t xml:space="preserve">Function: Check claimed identity details</w:t>
            </w:r>
          </w:p>
        </w:tc>
        <w:tc>
          <w:tcPr>
            <w:tcW w:w="5860" w:type="dxa"/>
            <w:vAlign w:val="center"/>
          </w:tcPr>
          <w:p>
            <w:pPr>
              <w:pStyle w:val="TableText"/>
            </w:pPr>
            <w:r>
              <w:t xml:space="preserve">Conditional in all eight versions</w:t>
            </w:r>
          </w:p>
          <w:p>
            <w:pPr>
              <w:pStyle w:val="TableText"/>
            </w:pPr>
            <w:r>
              <w:t xml:space="preserve">Comparison: ADV0005, ADV0212</w:t>
            </w:r>
          </w:p>
          <w:p>
            <w:pPr>
              <w:pStyle w:val="TableText"/>
            </w:pPr>
            <w:r>
              <w:t xml:space="preserve">Decision: A name or occupation search examines claims that a photo search cannot. Retain both methods, with available-information and nonconclusive-result limits.</w:t>
            </w:r>
          </w:p>
          <w:p>
            <w:pPr>
              <w:pStyle w:val="TableText"/>
            </w:pPr>
            <w:r>
              <w:t xml:space="preserve">Use guard: Only check details actually supplied; reported similarities are not conclusive evidence.</w:t>
            </w:r>
          </w:p>
        </w:tc>
        <w:tc>
          <w:tcPr>
            <w:tcW w:w="2700" w:type="dxa"/>
            <w:vAlign w:val="center"/>
          </w:tcPr>
          <w:p>
            <w:pPr>
              <w:pStyle w:val="TableText"/>
            </w:pPr>
            <w:r>
              <w:t xml:space="preserve">S001, S003</w:t>
            </w:r>
          </w:p>
          <w:p>
            <w:pPr>
              <w:pStyle w:val="TableText"/>
            </w:pPr>
            <w:r>
              <w:t xml:space="preserve">S001: L27; S003: L61</w:t>
            </w:r>
          </w:p>
        </w:tc>
      </w:tr>
      <w:tr>
        <w:trPr>
          <w:cantSplit/>
        </w:trPr>
        <w:tc>
          <w:tcPr>
            <w:tcW w:w="1100" w:type="dxa"/>
            <w:vAlign w:val="center"/>
          </w:tcPr>
          <w:p>
            <w:pPr>
              <w:pStyle w:val="TableText"/>
            </w:pPr>
            <w:r>
              <w:t xml:space="preserve">ADV0005</w:t>
            </w:r>
          </w:p>
          <w:p>
            <w:pPr>
              <w:pStyle w:val="TableText"/>
            </w:pPr>
            <w:r>
              <w:t xml:space="preserve">verification</w:t>
            </w:r>
          </w:p>
          <w:p>
            <w:pPr>
              <w:pStyle w:val="TableText"/>
            </w:pPr>
            <w:r>
              <w:t xml:space="preserve">S2</w:t>
            </w:r>
          </w:p>
        </w:tc>
        <w:tc>
          <w:tcPr>
            <w:tcW w:w="3300" w:type="dxa"/>
            <w:vAlign w:val="center"/>
          </w:tcPr>
          <w:p>
            <w:pPr>
              <w:pStyle w:val="TableText"/>
            </w:pPr>
            <w:r>
              <w:t xml:space="preserve">Reverse-search supplied photographs, using additional images or search services to check conflicting identities.</w:t>
            </w:r>
          </w:p>
          <w:p>
            <w:pPr>
              <w:pStyle w:val="TableText"/>
            </w:pPr>
            <w:r>
              <w:t xml:space="preserve">Function: Check photograph reuse</w:t>
            </w:r>
          </w:p>
        </w:tc>
        <w:tc>
          <w:tcPr>
            <w:tcW w:w="5860" w:type="dxa"/>
            <w:vAlign w:val="center"/>
          </w:tcPr>
          <w:p>
            <w:pPr>
              <w:pStyle w:val="TableText"/>
            </w:pPr>
            <w:r>
              <w:t xml:space="preserve">Conditional in all eight versions</w:t>
            </w:r>
          </w:p>
          <w:p>
            <w:pPr>
              <w:pStyle w:val="TableText"/>
            </w:pPr>
            <w:r>
              <w:t xml:space="preserve">Comparison: ADV0004, ADV0240</w:t>
            </w:r>
          </w:p>
          <w:p>
            <w:pPr>
              <w:pStyle w:val="TableText"/>
            </w:pPr>
            <w:r>
              <w:t xml:space="preserve">Decision: Image reuse is a different check from searching biographical claims. Its absence cannot authenticate Alex; retain the realistic-image limitation as a companion.</w:t>
            </w:r>
          </w:p>
          <w:p>
            <w:pPr>
              <w:pStyle w:val="TableText"/>
            </w:pPr>
            <w:r>
              <w:t xml:space="preserve">Use guard: If photographs are available; do not assert a match or promise reliable identification.</w:t>
            </w:r>
          </w:p>
        </w:tc>
        <w:tc>
          <w:tcPr>
            <w:tcW w:w="2700" w:type="dxa"/>
            <w:vAlign w:val="center"/>
          </w:tcPr>
          <w:p>
            <w:pPr>
              <w:pStyle w:val="TableText"/>
            </w:pPr>
            <w:r>
              <w:t xml:space="preserve">S001, S002, S003, S015</w:t>
            </w:r>
          </w:p>
          <w:p>
            <w:pPr>
              <w:pStyle w:val="TableText"/>
            </w:pPr>
            <w:r>
              <w:t xml:space="preserve">S001: L28; S002: L63; S003: L62; S015: P0 L54-55</w:t>
            </w:r>
          </w:p>
        </w:tc>
      </w:tr>
      <w:tr>
        <w:trPr>
          <w:cantSplit/>
        </w:trPr>
        <w:tc>
          <w:tcPr>
            <w:tcW w:w="1100" w:type="dxa"/>
            <w:vAlign w:val="center"/>
          </w:tcPr>
          <w:p>
            <w:pPr>
              <w:pStyle w:val="TableText"/>
            </w:pPr>
            <w:r>
              <w:t xml:space="preserve">ADV0008</w:t>
            </w:r>
          </w:p>
          <w:p>
            <w:pPr>
              <w:pStyle w:val="TableText"/>
            </w:pPr>
            <w:r>
              <w:t xml:space="preserve">escalation</w:t>
            </w:r>
          </w:p>
          <w:p>
            <w:pPr>
              <w:pStyle w:val="TableText"/>
            </w:pPr>
            <w:r>
              <w:t xml:space="preserve">S2</w:t>
            </w:r>
          </w:p>
        </w:tc>
        <w:tc>
          <w:tcPr>
            <w:tcW w:w="3300" w:type="dxa"/>
            <w:vAlign w:val="center"/>
          </w:tcPr>
          <w:p>
            <w:pPr>
              <w:pStyle w:val="TableText"/>
            </w:pPr>
            <w:r>
              <w:t xml:space="preserve">Report suspicious accounts, money requests or scam behaviour to the dating or social platform.</w:t>
            </w:r>
          </w:p>
          <w:p>
            <w:pPr>
              <w:pStyle w:val="TableText"/>
            </w:pPr>
            <w:r>
              <w:t xml:space="preserve">Function: Report concerning platform conduct</w:t>
            </w:r>
          </w:p>
        </w:tc>
        <w:tc>
          <w:tcPr>
            <w:tcW w:w="5860" w:type="dxa"/>
            <w:vAlign w:val="center"/>
          </w:tcPr>
          <w:p>
            <w:pPr>
              <w:pStyle w:val="TableText"/>
            </w:pPr>
            <w:r>
              <w:t xml:space="preserve">Conditional in all eight versions</w:t>
            </w:r>
          </w:p>
          <w:p>
            <w:pPr>
              <w:pStyle w:val="TableText"/>
            </w:pPr>
            <w:r>
              <w:t xml:space="preserve">Comparison: ADV0002, ADV0036</w:t>
            </w:r>
          </w:p>
          <w:p>
            <w:pPr>
              <w:pStyle w:val="TableText"/>
            </w:pPr>
            <w:r>
              <w:t xml:space="preserve">Decision: The original platform is a known service that can act on an account. This is a conditional account-level action, unlike identifying the correct official crime-reporting route.</w:t>
            </w:r>
          </w:p>
          <w:p>
            <w:pPr>
              <w:pStyle w:val="TableText"/>
            </w:pPr>
            <w:r>
              <w:t xml:space="preserve">Use guard: Keep reporting conditional and use the platform actually involved; a loan request alone is not proof of fraud.</w:t>
            </w:r>
          </w:p>
        </w:tc>
        <w:tc>
          <w:tcPr>
            <w:tcW w:w="2700" w:type="dxa"/>
            <w:vAlign w:val="center"/>
          </w:tcPr>
          <w:p>
            <w:pPr>
              <w:pStyle w:val="TableText"/>
            </w:pPr>
            <w:r>
              <w:t xml:space="preserve">S001, S008, S022</w:t>
            </w:r>
          </w:p>
          <w:p>
            <w:pPr>
              <w:pStyle w:val="TableText"/>
            </w:pPr>
            <w:r>
              <w:t xml:space="preserve">S001: L33; S008: L18; S022: L31,L42</w:t>
            </w:r>
          </w:p>
        </w:tc>
      </w:tr>
      <w:tr>
        <w:trPr>
          <w:cantSplit/>
        </w:trPr>
        <w:tc>
          <w:tcPr>
            <w:tcW w:w="1100" w:type="dxa"/>
            <w:vAlign w:val="center"/>
          </w:tcPr>
          <w:p>
            <w:pPr>
              <w:pStyle w:val="TableText"/>
            </w:pPr>
            <w:r>
              <w:t xml:space="preserve">ADV0009</w:t>
            </w:r>
          </w:p>
          <w:p>
            <w:pPr>
              <w:pStyle w:val="TableText"/>
            </w:pPr>
            <w:r>
              <w:t xml:space="preserve">money</w:t>
            </w:r>
          </w:p>
          <w:p>
            <w:pPr>
              <w:pStyle w:val="TableText"/>
            </w:pPr>
            <w:r>
              <w:t xml:space="preserve">S2</w:t>
            </w:r>
          </w:p>
        </w:tc>
        <w:tc>
          <w:tcPr>
            <w:tcW w:w="3300" w:type="dxa"/>
            <w:vAlign w:val="center"/>
          </w:tcPr>
          <w:p>
            <w:pPr>
              <w:pStyle w:val="TableText"/>
            </w:pPr>
            <w:r>
              <w:t xml:space="preserve">Treat pressure for immediate, hard-to-reverse payments as a scam warning.</w:t>
            </w:r>
          </w:p>
          <w:p>
            <w:pPr>
              <w:pStyle w:val="TableText"/>
            </w:pPr>
            <w:r>
              <w:t xml:space="preserve">Function: Recognize urgent irreversible-payment tactics</w:t>
            </w:r>
          </w:p>
        </w:tc>
        <w:tc>
          <w:tcPr>
            <w:tcW w:w="5860" w:type="dxa"/>
            <w:vAlign w:val="center"/>
          </w:tcPr>
          <w:p>
            <w:pPr>
              <w:pStyle w:val="TableText"/>
            </w:pPr>
            <w:r>
              <w:t xml:space="preserve">Conditional in all eight versions</w:t>
            </w:r>
          </w:p>
          <w:p>
            <w:pPr>
              <w:pStyle w:val="TableText"/>
            </w:pPr>
            <w:r>
              <w:t xml:space="preserve">Comparison: ADV0001, ADV0044</w:t>
            </w:r>
          </w:p>
          <w:p>
            <w:pPr>
              <w:pStyle w:val="TableText"/>
            </w:pPr>
            <w:r>
              <w:t xml:space="preserve">Decision: Adds recognition of a particular payment-pressure mechanism; the refusal rule and pause rule do not explain it. Use only as a future warning, never as the stated conversational urgency.</w:t>
            </w:r>
          </w:p>
          <w:p>
            <w:pPr>
              <w:pStyle w:val="TableText"/>
            </w:pPr>
            <w:r>
              <w:t xml:space="preserve">Use guard: Urgent conversation is not urgent payment; do not claim a payment method or deadline was specified.</w:t>
            </w:r>
          </w:p>
        </w:tc>
        <w:tc>
          <w:tcPr>
            <w:tcW w:w="2700" w:type="dxa"/>
            <w:vAlign w:val="center"/>
          </w:tcPr>
          <w:p>
            <w:pPr>
              <w:pStyle w:val="TableText"/>
            </w:pPr>
            <w:r>
              <w:t xml:space="preserve">S001</w:t>
            </w:r>
          </w:p>
          <w:p>
            <w:pPr>
              <w:pStyle w:val="TableText"/>
            </w:pPr>
            <w:r>
              <w:t xml:space="preserve">S001: L17-19</w:t>
            </w:r>
          </w:p>
        </w:tc>
      </w:tr>
      <w:tr>
        <w:trPr>
          <w:cantSplit/>
        </w:trPr>
        <w:tc>
          <w:tcPr>
            <w:tcW w:w="1100" w:type="dxa"/>
            <w:vAlign w:val="center"/>
          </w:tcPr>
          <w:p>
            <w:pPr>
              <w:pStyle w:val="TableText"/>
            </w:pPr>
            <w:r>
              <w:t xml:space="preserve">ADV0010</w:t>
            </w:r>
          </w:p>
          <w:p>
            <w:pPr>
              <w:pStyle w:val="TableText"/>
            </w:pPr>
            <w:r>
              <w:t xml:space="preserve">privacy</w:t>
            </w:r>
          </w:p>
          <w:p>
            <w:pPr>
              <w:pStyle w:val="TableText"/>
            </w:pPr>
            <w:r>
              <w:t xml:space="preserve">S1</w:t>
            </w:r>
          </w:p>
        </w:tc>
        <w:tc>
          <w:tcPr>
            <w:tcW w:w="3300" w:type="dxa"/>
            <w:vAlign w:val="center"/>
          </w:tcPr>
          <w:p>
            <w:pPr>
              <w:pStyle w:val="TableText"/>
            </w:pPr>
            <w:r>
              <w:t xml:space="preserve">Limit public personal details that could help strangers tailor a romantic approach.</w:t>
            </w:r>
          </w:p>
          <w:p>
            <w:pPr>
              <w:pStyle w:val="TableText"/>
            </w:pPr>
            <w:r>
              <w:t xml:space="preserve">Function: Reduce publicly exposed personal details</w:t>
            </w:r>
          </w:p>
        </w:tc>
        <w:tc>
          <w:tcPr>
            <w:tcW w:w="5860" w:type="dxa"/>
            <w:vAlign w:val="center"/>
          </w:tcPr>
          <w:p>
            <w:pPr>
              <w:pStyle w:val="TableText"/>
            </w:pPr>
            <w:r>
              <w:t xml:space="preserve">Direct in all eight versions</w:t>
            </w:r>
          </w:p>
          <w:p>
            <w:pPr>
              <w:pStyle w:val="TableText"/>
            </w:pPr>
            <w:r>
              <w:t xml:space="preserve">Comparison: ADV0052, ADV0141, ADV0243</w:t>
            </w:r>
          </w:p>
          <w:p>
            <w:pPr>
              <w:pStyle w:val="TableText"/>
            </w:pPr>
            <w:r>
              <w:t xml:space="preserve">Decision: The broad public-disclosure boundary permits several implementations without requiring a specific profile format or self-search; private secrets require separate coverage.</w:t>
            </w:r>
          </w:p>
          <w:p>
            <w:pPr>
              <w:pStyle w:val="TableText"/>
            </w:pPr>
            <w:r>
              <w:t xml:space="preserve">Use guard: Do not imply theft, exposure of particular information, or wrongdoing has already occurred.</w:t>
            </w:r>
          </w:p>
        </w:tc>
        <w:tc>
          <w:tcPr>
            <w:tcW w:w="2700" w:type="dxa"/>
            <w:vAlign w:val="center"/>
          </w:tcPr>
          <w:p>
            <w:pPr>
              <w:pStyle w:val="TableText"/>
            </w:pPr>
            <w:r>
              <w:t xml:space="preserve">S002, S003</w:t>
            </w:r>
          </w:p>
          <w:p>
            <w:pPr>
              <w:pStyle w:val="TableText"/>
            </w:pPr>
            <w:r>
              <w:t xml:space="preserve">S002: L62; S003: L67</w:t>
            </w:r>
          </w:p>
        </w:tc>
      </w:tr>
      <w:tr>
        <w:trPr>
          <w:cantSplit/>
        </w:trPr>
        <w:tc>
          <w:tcPr>
            <w:tcW w:w="1100" w:type="dxa"/>
            <w:vAlign w:val="center"/>
          </w:tcPr>
          <w:p>
            <w:pPr>
              <w:pStyle w:val="TableText"/>
            </w:pPr>
            <w:r>
              <w:t xml:space="preserve">ADV0011</w:t>
            </w:r>
          </w:p>
          <w:p>
            <w:pPr>
              <w:pStyle w:val="TableText"/>
            </w:pPr>
            <w:r>
              <w:t xml:space="preserve">relationship</w:t>
            </w:r>
          </w:p>
          <w:p>
            <w:pPr>
              <w:pStyle w:val="TableText"/>
            </w:pPr>
            <w:r>
              <w:t xml:space="preserve">S1</w:t>
            </w:r>
          </w:p>
        </w:tc>
        <w:tc>
          <w:tcPr>
            <w:tcW w:w="3300" w:type="dxa"/>
            <w:vAlign w:val="center"/>
          </w:tcPr>
          <w:p>
            <w:pPr>
              <w:pStyle w:val="TableText"/>
            </w:pPr>
            <w:r>
              <w:t xml:space="preserve">Develop online relationships gradually and ask questions about the person's account.</w:t>
            </w:r>
          </w:p>
          <w:p>
            <w:pPr>
              <w:pStyle w:val="TableText"/>
            </w:pPr>
            <w:r>
              <w:t xml:space="preserve">Function: Slow the relationship and ask questions</w:t>
            </w:r>
          </w:p>
        </w:tc>
        <w:tc>
          <w:tcPr>
            <w:tcW w:w="5860" w:type="dxa"/>
            <w:vAlign w:val="center"/>
          </w:tcPr>
          <w:p>
            <w:pPr>
              <w:pStyle w:val="TableText"/>
            </w:pPr>
            <w:r>
              <w:t xml:space="preserve">Direct in all eight versions</w:t>
            </w:r>
          </w:p>
          <w:p>
            <w:pPr>
              <w:pStyle w:val="TableText"/>
            </w:pPr>
            <w:r>
              <w:t xml:space="preserve">Comparison: ADV0081, ADV0122</w:t>
            </w:r>
          </w:p>
          <w:p>
            <w:pPr>
              <w:pStyle w:val="TableText"/>
            </w:pPr>
            <w:r>
              <w:t xml:space="preserve">Decision: Sets a relationship-wide pace rather than only pausing one pressured decision; inquiry also supplies information for subsequent checks.</w:t>
            </w:r>
          </w:p>
          <w:p>
            <w:pPr>
              <w:pStyle w:val="TableText"/>
            </w:pPr>
            <w:r>
              <w:t xml:space="preserve">Use guard: Ask proportionate questions without inventing contradictory answers.</w:t>
            </w:r>
          </w:p>
        </w:tc>
        <w:tc>
          <w:tcPr>
            <w:tcW w:w="2700" w:type="dxa"/>
            <w:vAlign w:val="center"/>
          </w:tcPr>
          <w:p>
            <w:pPr>
              <w:pStyle w:val="TableText"/>
            </w:pPr>
            <w:r>
              <w:t xml:space="preserve">S002, S003</w:t>
            </w:r>
          </w:p>
          <w:p>
            <w:pPr>
              <w:pStyle w:val="TableText"/>
            </w:pPr>
            <w:r>
              <w:t xml:space="preserve">S002: L64; S003: L60</w:t>
            </w:r>
          </w:p>
        </w:tc>
      </w:tr>
      <w:tr>
        <w:trPr>
          <w:cantSplit/>
        </w:trPr>
        <w:tc>
          <w:tcPr>
            <w:tcW w:w="1100" w:type="dxa"/>
            <w:vAlign w:val="center"/>
          </w:tcPr>
          <w:p>
            <w:pPr>
              <w:pStyle w:val="TableText"/>
            </w:pPr>
            <w:r>
              <w:t xml:space="preserve">ADV0012</w:t>
            </w:r>
          </w:p>
          <w:p>
            <w:pPr>
              <w:pStyle w:val="TableText"/>
            </w:pPr>
            <w:r>
              <w:t xml:space="preserve">relationship</w:t>
            </w:r>
          </w:p>
          <w:p>
            <w:pPr>
              <w:pStyle w:val="TableText"/>
            </w:pPr>
            <w:r>
              <w:t xml:space="preserve">S1</w:t>
            </w:r>
          </w:p>
        </w:tc>
        <w:tc>
          <w:tcPr>
            <w:tcW w:w="3300" w:type="dxa"/>
            <w:vAlign w:val="center"/>
          </w:tcPr>
          <w:p>
            <w:pPr>
              <w:pStyle w:val="TableText"/>
            </w:pPr>
            <w:r>
              <w:t xml:space="preserve">Be cautious when a new match quickly pushes communication away from the original platform.</w:t>
            </w:r>
          </w:p>
          <w:p>
            <w:pPr>
              <w:pStyle w:val="TableText"/>
            </w:pPr>
            <w:r>
              <w:t xml:space="preserve">Function: Reassess moving off-platform</w:t>
            </w:r>
          </w:p>
        </w:tc>
        <w:tc>
          <w:tcPr>
            <w:tcW w:w="5860" w:type="dxa"/>
            <w:vAlign w:val="center"/>
          </w:tcPr>
          <w:p>
            <w:pPr>
              <w:pStyle w:val="TableText"/>
            </w:pPr>
            <w:r>
              <w:t xml:space="preserve">Direct in all eight versions</w:t>
            </w:r>
          </w:p>
          <w:p>
            <w:pPr>
              <w:pStyle w:val="TableText"/>
            </w:pPr>
            <w:r>
              <w:t xml:space="preserve">Comparison: ADV0058, ADV0050</w:t>
            </w:r>
          </w:p>
          <w:p>
            <w:pPr>
              <w:pStyle w:val="TableText"/>
            </w:pPr>
            <w:r>
              <w:t xml:space="preserve">Decision: The move to private messaging is stated. Retain the warning and the practical safer-channel options as recognition and action, not duplicates.</w:t>
            </w:r>
          </w:p>
          <w:p>
            <w:pPr>
              <w:pStyle w:val="TableText"/>
            </w:pPr>
            <w:r>
              <w:t xml:space="preserve">Use guard: Treat the move as context for caution, not proof that Alex forced it or is dishonest.</w:t>
            </w:r>
          </w:p>
        </w:tc>
        <w:tc>
          <w:tcPr>
            <w:tcW w:w="2700" w:type="dxa"/>
            <w:vAlign w:val="center"/>
          </w:tcPr>
          <w:p>
            <w:pPr>
              <w:pStyle w:val="TableText"/>
            </w:pPr>
            <w:r>
              <w:t xml:space="preserve">S002</w:t>
            </w:r>
          </w:p>
          <w:p>
            <w:pPr>
              <w:pStyle w:val="TableText"/>
            </w:pPr>
            <w:r>
              <w:t xml:space="preserve">S002: L65</w:t>
            </w:r>
          </w:p>
        </w:tc>
      </w:tr>
      <w:tr>
        <w:trPr>
          <w:cantSplit/>
        </w:trPr>
        <w:tc>
          <w:tcPr>
            <w:tcW w:w="1100" w:type="dxa"/>
            <w:vAlign w:val="center"/>
          </w:tcPr>
          <w:p>
            <w:pPr>
              <w:pStyle w:val="TableText"/>
            </w:pPr>
            <w:r>
              <w:t xml:space="preserve">ADV0013</w:t>
            </w:r>
          </w:p>
          <w:p>
            <w:pPr>
              <w:pStyle w:val="TableText"/>
            </w:pPr>
            <w:r>
              <w:t xml:space="preserve">relationship</w:t>
            </w:r>
          </w:p>
          <w:p>
            <w:pPr>
              <w:pStyle w:val="TableText"/>
            </w:pPr>
            <w:r>
              <w:t xml:space="preserve">S2</w:t>
            </w:r>
          </w:p>
        </w:tc>
        <w:tc>
          <w:tcPr>
            <w:tcW w:w="3300" w:type="dxa"/>
            <w:vAlign w:val="center"/>
          </w:tcPr>
          <w:p>
            <w:pPr>
              <w:pStyle w:val="TableText"/>
            </w:pPr>
            <w:r>
              <w:t xml:space="preserve">Recognize attempts to separate you from friends and family as warning signs.</w:t>
            </w:r>
          </w:p>
          <w:p>
            <w:pPr>
              <w:pStyle w:val="TableText"/>
            </w:pPr>
            <w:r>
              <w:t xml:space="preserve">Function: Maintain access to outside relationships</w:t>
            </w:r>
          </w:p>
        </w:tc>
        <w:tc>
          <w:tcPr>
            <w:tcW w:w="5860" w:type="dxa"/>
            <w:vAlign w:val="center"/>
          </w:tcPr>
          <w:p>
            <w:pPr>
              <w:pStyle w:val="TableText"/>
            </w:pPr>
            <w:r>
              <w:t xml:space="preserve">Conditional in all eight versions</w:t>
            </w:r>
          </w:p>
          <w:p>
            <w:pPr>
              <w:pStyle w:val="TableText"/>
            </w:pPr>
            <w:r>
              <w:t xml:space="preserve">Comparison: ADV0003, ADV0018</w:t>
            </w:r>
          </w:p>
          <w:p>
            <w:pPr>
              <w:pStyle w:val="TableText"/>
            </w:pPr>
            <w:r>
              <w:t xml:space="preserve">Decision: Protects access to the selected trusted-person check if interference develops. Isolation and secrecy are related but different ways that outside support can be obstructed.</w:t>
            </w:r>
          </w:p>
          <w:p>
            <w:pPr>
              <w:pStyle w:val="TableText"/>
            </w:pPr>
            <w:r>
              <w:t xml:space="preserve">Use guard: Exclusive emotional language is not proof of actual isolation; use if such pressure develops.</w:t>
            </w:r>
          </w:p>
        </w:tc>
        <w:tc>
          <w:tcPr>
            <w:tcW w:w="2700" w:type="dxa"/>
            <w:vAlign w:val="center"/>
          </w:tcPr>
          <w:p>
            <w:pPr>
              <w:pStyle w:val="TableText"/>
            </w:pPr>
            <w:r>
              <w:t xml:space="preserve">S002</w:t>
            </w:r>
          </w:p>
          <w:p>
            <w:pPr>
              <w:pStyle w:val="TableText"/>
            </w:pPr>
            <w:r>
              <w:t xml:space="preserve">S002: L66</w:t>
            </w:r>
          </w:p>
        </w:tc>
      </w:tr>
      <w:tr>
        <w:trPr>
          <w:cantSplit/>
        </w:trPr>
        <w:tc>
          <w:tcPr>
            <w:tcW w:w="1100" w:type="dxa"/>
            <w:vAlign w:val="center"/>
          </w:tcPr>
          <w:p>
            <w:pPr>
              <w:pStyle w:val="TableText"/>
            </w:pPr>
            <w:r>
              <w:t xml:space="preserve">ADV0014</w:t>
            </w:r>
          </w:p>
          <w:p>
            <w:pPr>
              <w:pStyle w:val="TableText"/>
            </w:pPr>
            <w:r>
              <w:t xml:space="preserve">privacy</w:t>
            </w:r>
          </w:p>
          <w:p>
            <w:pPr>
              <w:pStyle w:val="TableText"/>
            </w:pPr>
            <w:r>
              <w:t xml:space="preserve">S2</w:t>
            </w:r>
          </w:p>
        </w:tc>
        <w:tc>
          <w:tcPr>
            <w:tcW w:w="3300" w:type="dxa"/>
            <w:vAlign w:val="center"/>
          </w:tcPr>
          <w:p>
            <w:pPr>
              <w:pStyle w:val="TableText"/>
            </w:pPr>
            <w:r>
              <w:t xml:space="preserve">Avoid providing intimate media that an untrusted online contact could exploit.</w:t>
            </w:r>
          </w:p>
          <w:p>
            <w:pPr>
              <w:pStyle w:val="TableText"/>
            </w:pPr>
            <w:r>
              <w:t xml:space="preserve">Function: Protect intimate images</w:t>
            </w:r>
          </w:p>
        </w:tc>
        <w:tc>
          <w:tcPr>
            <w:tcW w:w="5860" w:type="dxa"/>
            <w:vAlign w:val="center"/>
          </w:tcPr>
          <w:p>
            <w:pPr>
              <w:pStyle w:val="TableText"/>
            </w:pPr>
            <w:r>
              <w:t xml:space="preserve">Direct in all eight versions</w:t>
            </w:r>
          </w:p>
          <w:p>
            <w:pPr>
              <w:pStyle w:val="TableText"/>
            </w:pPr>
            <w:r>
              <w:t xml:space="preserve">Comparison: ADV0140, ADV0020</w:t>
            </w:r>
          </w:p>
          <w:p>
            <w:pPr>
              <w:pStyle w:val="TableText"/>
            </w:pPr>
            <w:r>
              <w:t xml:space="preserve">Decision: Intimate media have a distinct disclosure risk not captured by documents or verbal secrets. This is a standing boundary, not an assertion of a sexual request.</w:t>
            </w:r>
          </w:p>
          <w:p>
            <w:pPr>
              <w:pStyle w:val="TableText"/>
            </w:pPr>
            <w:r>
              <w:t xml:space="preserve">Use guard: Do not introduce an existing sexual request, leaked image, or blackmail incident.</w:t>
            </w:r>
          </w:p>
        </w:tc>
        <w:tc>
          <w:tcPr>
            <w:tcW w:w="2700" w:type="dxa"/>
            <w:vAlign w:val="center"/>
          </w:tcPr>
          <w:p>
            <w:pPr>
              <w:pStyle w:val="TableText"/>
            </w:pPr>
            <w:r>
              <w:t xml:space="preserve">S002, S003</w:t>
            </w:r>
          </w:p>
          <w:p>
            <w:pPr>
              <w:pStyle w:val="TableText"/>
            </w:pPr>
            <w:r>
              <w:t xml:space="preserve">S002: L66; S003: L65</w:t>
            </w:r>
          </w:p>
        </w:tc>
      </w:tr>
      <w:tr>
        <w:trPr>
          <w:cantSplit/>
        </w:trPr>
        <w:tc>
          <w:tcPr>
            <w:tcW w:w="1100" w:type="dxa"/>
            <w:vAlign w:val="center"/>
          </w:tcPr>
          <w:p>
            <w:pPr>
              <w:pStyle w:val="TableText"/>
            </w:pPr>
            <w:r>
              <w:t xml:space="preserve">ADV0015</w:t>
            </w:r>
          </w:p>
          <w:p>
            <w:pPr>
              <w:pStyle w:val="TableText"/>
            </w:pPr>
            <w:r>
              <w:t xml:space="preserve">verification</w:t>
            </w:r>
          </w:p>
          <w:p>
            <w:pPr>
              <w:pStyle w:val="TableText"/>
            </w:pPr>
            <w:r>
              <w:t xml:space="preserve">S3</w:t>
            </w:r>
          </w:p>
        </w:tc>
        <w:tc>
          <w:tcPr>
            <w:tcW w:w="3300" w:type="dxa"/>
            <w:vAlign w:val="center"/>
          </w:tcPr>
          <w:p>
            <w:pPr>
              <w:pStyle w:val="TableText"/>
            </w:pPr>
            <w:r>
              <w:t xml:space="preserve">Take persistent excuses for avoiding meetings or live identity checks seriously.</w:t>
            </w:r>
          </w:p>
          <w:p>
            <w:pPr>
              <w:pStyle w:val="TableText"/>
            </w:pPr>
            <w:r>
              <w:t xml:space="preserve">Function: Assess repeated avoidance of checks</w:t>
            </w:r>
          </w:p>
        </w:tc>
        <w:tc>
          <w:tcPr>
            <w:tcW w:w="5860" w:type="dxa"/>
            <w:vAlign w:val="center"/>
          </w:tcPr>
          <w:p>
            <w:pPr>
              <w:pStyle w:val="TableText"/>
            </w:pPr>
            <w:r>
              <w:t xml:space="preserve">Conditional in all eight versions</w:t>
            </w:r>
          </w:p>
          <w:p>
            <w:pPr>
              <w:pStyle w:val="TableText"/>
            </w:pPr>
            <w:r>
              <w:t xml:space="preserve">Comparison: ADV0153, ADV0212</w:t>
            </w:r>
          </w:p>
          <w:p>
            <w:pPr>
              <w:pStyle w:val="TableText"/>
            </w:pPr>
            <w:r>
              <w:t xml:space="preserve">Decision: Helps interpret the proposed contact check without equating one scheduling difficulty with deception. The existing failure to meet is not a demonstrated refusal of a call.</w:t>
            </w:r>
          </w:p>
          <w:p>
            <w:pPr>
              <w:pStyle w:val="TableText"/>
            </w:pPr>
            <w:r>
              <w:t xml:space="preserve">Use guard: Say if delays or refusals persist; do not turn scheduling constraints into demonstrated avoidance.</w:t>
            </w:r>
          </w:p>
        </w:tc>
        <w:tc>
          <w:tcPr>
            <w:tcW w:w="2700" w:type="dxa"/>
            <w:vAlign w:val="center"/>
          </w:tcPr>
          <w:p>
            <w:pPr>
              <w:pStyle w:val="TableText"/>
            </w:pPr>
            <w:r>
              <w:t xml:space="preserve">S002, S043</w:t>
            </w:r>
          </w:p>
          <w:p>
            <w:pPr>
              <w:pStyle w:val="TableText"/>
            </w:pPr>
            <w:r>
              <w:t xml:space="preserve">S002: L67; S043: L68-70</w:t>
            </w:r>
          </w:p>
        </w:tc>
      </w:tr>
      <w:tr>
        <w:trPr>
          <w:cantSplit/>
        </w:trPr>
        <w:tc>
          <w:tcPr>
            <w:tcW w:w="1100" w:type="dxa"/>
            <w:vAlign w:val="center"/>
          </w:tcPr>
          <w:p>
            <w:pPr>
              <w:pStyle w:val="TableText"/>
            </w:pPr>
            <w:r>
              <w:t xml:space="preserve">ADV0017</w:t>
            </w:r>
          </w:p>
          <w:p>
            <w:pPr>
              <w:pStyle w:val="TableText"/>
            </w:pPr>
            <w:r>
              <w:t xml:space="preserve">relationship</w:t>
            </w:r>
          </w:p>
          <w:p>
            <w:pPr>
              <w:pStyle w:val="TableText"/>
            </w:pPr>
            <w:r>
              <w:t xml:space="preserve">S1</w:t>
            </w:r>
          </w:p>
        </w:tc>
        <w:tc>
          <w:tcPr>
            <w:tcW w:w="3300" w:type="dxa"/>
            <w:vAlign w:val="center"/>
          </w:tcPr>
          <w:p>
            <w:pPr>
              <w:pStyle w:val="TableText"/>
            </w:pPr>
            <w:r>
              <w:t xml:space="preserve">Notice unusually rapid declarations of love, destiny or intensive attention before trust is established.</w:t>
            </w:r>
          </w:p>
          <w:p>
            <w:pPr>
              <w:pStyle w:val="TableText"/>
            </w:pPr>
            <w:r>
              <w:t xml:space="preserve">Function: Assess intensity of expressed attachment</w:t>
            </w:r>
          </w:p>
        </w:tc>
        <w:tc>
          <w:tcPr>
            <w:tcW w:w="5860" w:type="dxa"/>
            <w:vAlign w:val="center"/>
          </w:tcPr>
          <w:p>
            <w:pPr>
              <w:pStyle w:val="TableText"/>
            </w:pPr>
            <w:r>
              <w:t xml:space="preserve">Direct for high expressed emotion; conditional otherwise</w:t>
            </w:r>
          </w:p>
          <w:p>
            <w:pPr>
              <w:pStyle w:val="TableText"/>
            </w:pPr>
            <w:r>
              <w:t xml:space="preserve">Comparison: ADV0011, ADV0025</w:t>
            </w:r>
          </w:p>
          <w:p>
            <w:pPr>
              <w:pStyle w:val="TableText"/>
            </w:pPr>
            <w:r>
              <w:t xml:space="preserve">Decision: Directly addresses Alex's manipulated emotional expression; guilt in response to doubts is a separate later interaction. Do not infer the recipient's feelings.</w:t>
            </w:r>
          </w:p>
          <w:p>
            <w:pPr>
              <w:pStyle w:val="TableText"/>
            </w:pPr>
            <w:r>
              <w:t xml:space="preserve">Use guard: Distinguish Alex's expressed attachment from the recipient's feelings; intensity alone does not prove fraud.</w:t>
            </w:r>
          </w:p>
        </w:tc>
        <w:tc>
          <w:tcPr>
            <w:tcW w:w="2700" w:type="dxa"/>
            <w:vAlign w:val="center"/>
          </w:tcPr>
          <w:p>
            <w:pPr>
              <w:pStyle w:val="TableText"/>
            </w:pPr>
            <w:r>
              <w:t xml:space="preserve">S003, S009</w:t>
            </w:r>
          </w:p>
          <w:p>
            <w:pPr>
              <w:pStyle w:val="TableText"/>
            </w:pPr>
            <w:r>
              <w:t xml:space="preserve">S003: L36; S009: L43</w:t>
            </w:r>
          </w:p>
        </w:tc>
      </w:tr>
      <w:tr>
        <w:trPr>
          <w:cantSplit/>
        </w:trPr>
        <w:tc>
          <w:tcPr>
            <w:tcW w:w="1100" w:type="dxa"/>
            <w:vAlign w:val="center"/>
          </w:tcPr>
          <w:p>
            <w:pPr>
              <w:pStyle w:val="TableText"/>
            </w:pPr>
            <w:r>
              <w:t xml:space="preserve">ADV0018</w:t>
            </w:r>
          </w:p>
          <w:p>
            <w:pPr>
              <w:pStyle w:val="TableText"/>
            </w:pPr>
            <w:r>
              <w:t xml:space="preserve">relationship</w:t>
            </w:r>
          </w:p>
          <w:p>
            <w:pPr>
              <w:pStyle w:val="TableText"/>
            </w:pPr>
            <w:r>
              <w:t xml:space="preserve">S2</w:t>
            </w:r>
          </w:p>
        </w:tc>
        <w:tc>
          <w:tcPr>
            <w:tcW w:w="3300" w:type="dxa"/>
            <w:vAlign w:val="center"/>
          </w:tcPr>
          <w:p>
            <w:pPr>
              <w:pStyle w:val="TableText"/>
            </w:pPr>
            <w:r>
              <w:t xml:space="preserve">Question demands that the relationship be secret or that only this person be trusted.</w:t>
            </w:r>
          </w:p>
          <w:p>
            <w:pPr>
              <w:pStyle w:val="TableText"/>
            </w:pPr>
            <w:r>
              <w:t xml:space="preserve">Function: Resist secrecy and exclusive-trust demands</w:t>
            </w:r>
          </w:p>
        </w:tc>
        <w:tc>
          <w:tcPr>
            <w:tcW w:w="5860" w:type="dxa"/>
            <w:vAlign w:val="center"/>
          </w:tcPr>
          <w:p>
            <w:pPr>
              <w:pStyle w:val="TableText"/>
            </w:pPr>
            <w:r>
              <w:t xml:space="preserve">Conditional in all eight versions</w:t>
            </w:r>
          </w:p>
          <w:p>
            <w:pPr>
              <w:pStyle w:val="TableText"/>
            </w:pPr>
            <w:r>
              <w:t xml:space="preserve">Comparison: ADV0013, ADV0003</w:t>
            </w:r>
          </w:p>
          <w:p>
            <w:pPr>
              <w:pStyle w:val="TableText"/>
            </w:pPr>
            <w:r>
              <w:t xml:space="preserve">Decision: Secrecy can inhibit consulting others even without overt isolation. Retain as a conditional obstacle to the selected outside-perspective action, not an existing demand.</w:t>
            </w:r>
          </w:p>
          <w:p>
            <w:pPr>
              <w:pStyle w:val="TableText"/>
            </w:pPr>
            <w:r>
              <w:t xml:space="preserve">Use guard: No secrecy demand is stated; present only as a condition to watch for.</w:t>
            </w:r>
          </w:p>
        </w:tc>
        <w:tc>
          <w:tcPr>
            <w:tcW w:w="2700" w:type="dxa"/>
            <w:vAlign w:val="center"/>
          </w:tcPr>
          <w:p>
            <w:pPr>
              <w:pStyle w:val="TableText"/>
            </w:pPr>
            <w:r>
              <w:t xml:space="preserve">S003, S020</w:t>
            </w:r>
          </w:p>
          <w:p>
            <w:pPr>
              <w:pStyle w:val="TableText"/>
            </w:pPr>
            <w:r>
              <w:t xml:space="preserve">S003: L40; S020: P3 L117-132</w:t>
            </w:r>
          </w:p>
        </w:tc>
      </w:tr>
      <w:tr>
        <w:trPr>
          <w:cantSplit/>
        </w:trPr>
        <w:tc>
          <w:tcPr>
            <w:tcW w:w="1100" w:type="dxa"/>
            <w:vAlign w:val="center"/>
          </w:tcPr>
          <w:p>
            <w:pPr>
              <w:pStyle w:val="TableText"/>
            </w:pPr>
            <w:r>
              <w:t xml:space="preserve">ADV0019</w:t>
            </w:r>
          </w:p>
          <w:p>
            <w:pPr>
              <w:pStyle w:val="TableText"/>
            </w:pPr>
            <w:r>
              <w:t xml:space="preserve">relationship</w:t>
            </w:r>
          </w:p>
          <w:p>
            <w:pPr>
              <w:pStyle w:val="TableText"/>
            </w:pPr>
            <w:r>
              <w:t xml:space="preserve">S3</w:t>
            </w:r>
          </w:p>
        </w:tc>
        <w:tc>
          <w:tcPr>
            <w:tcW w:w="3300" w:type="dxa"/>
            <w:vAlign w:val="center"/>
          </w:tcPr>
          <w:p>
            <w:pPr>
              <w:pStyle w:val="TableText"/>
            </w:pPr>
            <w:r>
              <w:t xml:space="preserve">Treat anger or breakup threats in response to questions as coercive warning signs.</w:t>
            </w:r>
          </w:p>
          <w:p>
            <w:pPr>
              <w:pStyle w:val="TableText"/>
            </w:pPr>
            <w:r>
              <w:t xml:space="preserve">Function: Assess coercive reactions to boundaries</w:t>
            </w:r>
          </w:p>
        </w:tc>
        <w:tc>
          <w:tcPr>
            <w:tcW w:w="5860" w:type="dxa"/>
            <w:vAlign w:val="center"/>
          </w:tcPr>
          <w:p>
            <w:pPr>
              <w:pStyle w:val="TableText"/>
            </w:pPr>
            <w:r>
              <w:t xml:space="preserve">Conditional in all eight versions</w:t>
            </w:r>
          </w:p>
          <w:p>
            <w:pPr>
              <w:pStyle w:val="TableText"/>
            </w:pPr>
            <w:r>
              <w:t xml:space="preserve">Comparison: ADV0057, ADV0081</w:t>
            </w:r>
          </w:p>
          <w:p>
            <w:pPr>
              <w:pStyle w:val="TableText"/>
            </w:pPr>
            <w:r>
              <w:t xml:space="preserve">Decision: Anger or breakup threats after a boundary provide different information from evasive identity answers; retain as a conditional follow-up to recommended questioning or refusal.</w:t>
            </w:r>
          </w:p>
          <w:p>
            <w:pPr>
              <w:pStyle w:val="TableText"/>
            </w:pPr>
            <w:r>
              <w:t xml:space="preserve">Use guard: Losing someone would be devastating is not itself an explicit breakup threat; do not invent anger.</w:t>
            </w:r>
          </w:p>
        </w:tc>
        <w:tc>
          <w:tcPr>
            <w:tcW w:w="2700" w:type="dxa"/>
            <w:vAlign w:val="center"/>
          </w:tcPr>
          <w:p>
            <w:pPr>
              <w:pStyle w:val="TableText"/>
            </w:pPr>
            <w:r>
              <w:t xml:space="preserve">S003</w:t>
            </w:r>
          </w:p>
          <w:p>
            <w:pPr>
              <w:pStyle w:val="TableText"/>
            </w:pPr>
            <w:r>
              <w:t xml:space="preserve">S003: L46</w:t>
            </w:r>
          </w:p>
        </w:tc>
      </w:tr>
      <w:tr>
        <w:trPr>
          <w:cantSplit/>
        </w:trPr>
        <w:tc>
          <w:tcPr>
            <w:tcW w:w="1100" w:type="dxa"/>
            <w:vAlign w:val="center"/>
          </w:tcPr>
          <w:p>
            <w:pPr>
              <w:pStyle w:val="TableText"/>
            </w:pPr>
            <w:r>
              <w:t xml:space="preserve">ADV0020</w:t>
            </w:r>
          </w:p>
          <w:p>
            <w:pPr>
              <w:pStyle w:val="TableText"/>
            </w:pPr>
            <w:r>
              <w:t xml:space="preserve">privacy</w:t>
            </w:r>
          </w:p>
          <w:p>
            <w:pPr>
              <w:pStyle w:val="TableText"/>
            </w:pPr>
            <w:r>
              <w:t xml:space="preserve">S2</w:t>
            </w:r>
          </w:p>
        </w:tc>
        <w:tc>
          <w:tcPr>
            <w:tcW w:w="3300" w:type="dxa"/>
            <w:vAlign w:val="center"/>
          </w:tcPr>
          <w:p>
            <w:pPr>
              <w:pStyle w:val="TableText"/>
            </w:pPr>
            <w:r>
              <w:t xml:space="preserve">Keep identity documents and government identification numbers from unverified online romantic contacts.</w:t>
            </w:r>
          </w:p>
          <w:p>
            <w:pPr>
              <w:pStyle w:val="TableText"/>
            </w:pPr>
            <w:r>
              <w:t xml:space="preserve">Function: Protect identity documents</w:t>
            </w:r>
          </w:p>
        </w:tc>
        <w:tc>
          <w:tcPr>
            <w:tcW w:w="5860" w:type="dxa"/>
            <w:vAlign w:val="center"/>
          </w:tcPr>
          <w:p>
            <w:pPr>
              <w:pStyle w:val="TableText"/>
            </w:pPr>
            <w:r>
              <w:t xml:space="preserve">Direct in all eight versions</w:t>
            </w:r>
          </w:p>
          <w:p>
            <w:pPr>
              <w:pStyle w:val="TableText"/>
            </w:pPr>
            <w:r>
              <w:t xml:space="preserve">Comparison: ADV0021, ADV0121</w:t>
            </w:r>
          </w:p>
          <w:p>
            <w:pPr>
              <w:pStyle w:val="TableText"/>
            </w:pPr>
            <w:r>
              <w:t xml:space="preserve">Decision: Government identifiers differ from financial details and account credentials; refusing their disclosure is a standing boundary during identity checking.</w:t>
            </w:r>
          </w:p>
          <w:p>
            <w:pPr>
              <w:pStyle w:val="TableText"/>
            </w:pPr>
            <w:r>
              <w:t xml:space="preserve">Use guard: Do not claim Alex asked for documents; do not propose exchanging documents as a verification task.</w:t>
            </w:r>
          </w:p>
        </w:tc>
        <w:tc>
          <w:tcPr>
            <w:tcW w:w="2700" w:type="dxa"/>
            <w:vAlign w:val="center"/>
          </w:tcPr>
          <w:p>
            <w:pPr>
              <w:pStyle w:val="TableText"/>
            </w:pPr>
            <w:r>
              <w:t xml:space="preserve">S003, S009, S018</w:t>
            </w:r>
          </w:p>
          <w:p>
            <w:pPr>
              <w:pStyle w:val="TableText"/>
            </w:pPr>
            <w:r>
              <w:t xml:space="preserve">S003: L57; S009: L56; S018: L72</w:t>
            </w:r>
          </w:p>
        </w:tc>
      </w:tr>
      <w:tr>
        <w:trPr>
          <w:cantSplit/>
        </w:trPr>
        <w:tc>
          <w:tcPr>
            <w:tcW w:w="1100" w:type="dxa"/>
            <w:vAlign w:val="center"/>
          </w:tcPr>
          <w:p>
            <w:pPr>
              <w:pStyle w:val="TableText"/>
            </w:pPr>
            <w:r>
              <w:t xml:space="preserve">ADV0021</w:t>
            </w:r>
          </w:p>
          <w:p>
            <w:pPr>
              <w:pStyle w:val="TableText"/>
            </w:pPr>
            <w:r>
              <w:t xml:space="preserve">privacy</w:t>
            </w:r>
          </w:p>
          <w:p>
            <w:pPr>
              <w:pStyle w:val="TableText"/>
            </w:pPr>
            <w:r>
              <w:t xml:space="preserve">S2</w:t>
            </w:r>
          </w:p>
        </w:tc>
        <w:tc>
          <w:tcPr>
            <w:tcW w:w="3300" w:type="dxa"/>
            <w:vAlign w:val="center"/>
          </w:tcPr>
          <w:p>
            <w:pPr>
              <w:pStyle w:val="TableText"/>
            </w:pPr>
            <w:r>
              <w:t xml:space="preserve">Keep banking and card information from online-only romantic contacts.</w:t>
            </w:r>
          </w:p>
          <w:p>
            <w:pPr>
              <w:pStyle w:val="TableText"/>
            </w:pPr>
            <w:r>
              <w:t xml:space="preserve">Function: Protect banking and card information</w:t>
            </w:r>
          </w:p>
        </w:tc>
        <w:tc>
          <w:tcPr>
            <w:tcW w:w="5860" w:type="dxa"/>
            <w:vAlign w:val="center"/>
          </w:tcPr>
          <w:p>
            <w:pPr>
              <w:pStyle w:val="TableText"/>
            </w:pPr>
            <w:r>
              <w:t xml:space="preserve">Direct in all eight versions</w:t>
            </w:r>
          </w:p>
          <w:p>
            <w:pPr>
              <w:pStyle w:val="TableText"/>
            </w:pPr>
            <w:r>
              <w:t xml:space="preserve">Comparison: ADV0121, ADV0278</w:t>
            </w:r>
          </w:p>
          <w:p>
            <w:pPr>
              <w:pStyle w:val="TableText"/>
            </w:pPr>
            <w:r>
              <w:t xml:space="preserve">Decision: Financial account details are distinct from login secrets and one-time codes. Retain each credential/data type rather than claim that one sentence exhaustively represents all three.</w:t>
            </w:r>
          </w:p>
          <w:p>
            <w:pPr>
              <w:pStyle w:val="TableText"/>
            </w:pPr>
            <w:r>
              <w:t xml:space="preserve">Use guard: Alex has not requested bank or card details; describe a continuing boundary.</w:t>
            </w:r>
          </w:p>
        </w:tc>
        <w:tc>
          <w:tcPr>
            <w:tcW w:w="2700" w:type="dxa"/>
            <w:vAlign w:val="center"/>
          </w:tcPr>
          <w:p>
            <w:pPr>
              <w:pStyle w:val="TableText"/>
            </w:pPr>
            <w:r>
              <w:t xml:space="preserve">S003, S009</w:t>
            </w:r>
          </w:p>
          <w:p>
            <w:pPr>
              <w:pStyle w:val="TableText"/>
            </w:pPr>
            <w:r>
              <w:t xml:space="preserve">S003: L57; S009: L55</w:t>
            </w:r>
          </w:p>
        </w:tc>
      </w:tr>
      <w:tr>
        <w:trPr>
          <w:cantSplit/>
        </w:trPr>
        <w:tc>
          <w:tcPr>
            <w:tcW w:w="1100" w:type="dxa"/>
            <w:vAlign w:val="center"/>
          </w:tcPr>
          <w:p>
            <w:pPr>
              <w:pStyle w:val="TableText"/>
            </w:pPr>
            <w:r>
              <w:t xml:space="preserve">ADV0023</w:t>
            </w:r>
          </w:p>
          <w:p>
            <w:pPr>
              <w:pStyle w:val="TableText"/>
            </w:pPr>
            <w:r>
              <w:t xml:space="preserve">verification</w:t>
            </w:r>
          </w:p>
          <w:p>
            <w:pPr>
              <w:pStyle w:val="TableText"/>
            </w:pPr>
            <w:r>
              <w:t xml:space="preserve">S2</w:t>
            </w:r>
          </w:p>
        </w:tc>
        <w:tc>
          <w:tcPr>
            <w:tcW w:w="3300" w:type="dxa"/>
            <w:vAlign w:val="center"/>
          </w:tcPr>
          <w:p>
            <w:pPr>
              <w:pStyle w:val="TableText"/>
            </w:pPr>
            <w:r>
              <w:t xml:space="preserve">Examine sparse profiles, recent account creation and limited authentic interaction.</w:t>
            </w:r>
          </w:p>
          <w:p>
            <w:pPr>
              <w:pStyle w:val="TableText"/>
            </w:pPr>
            <w:r>
              <w:t xml:space="preserve">Function: Inspect available profile history</w:t>
            </w:r>
          </w:p>
        </w:tc>
        <w:tc>
          <w:tcPr>
            <w:tcW w:w="5860" w:type="dxa"/>
            <w:vAlign w:val="center"/>
          </w:tcPr>
          <w:p>
            <w:pPr>
              <w:pStyle w:val="TableText"/>
            </w:pPr>
            <w:r>
              <w:t xml:space="preserve">Conditional in all eight versions</w:t>
            </w:r>
          </w:p>
          <w:p>
            <w:pPr>
              <w:pStyle w:val="TableText"/>
            </w:pPr>
            <w:r>
              <w:t xml:space="preserve">Comparison: ADV0137, ADV0212</w:t>
            </w:r>
          </w:p>
          <w:p>
            <w:pPr>
              <w:pStyle w:val="TableText"/>
            </w:pPr>
            <w:r>
              <w:t xml:space="preserve">Decision: Examines the existing profile's age and interaction pattern; cross-account comparisons provide a different check. Neither sparse nor rich activity is conclusive.</w:t>
            </w:r>
          </w:p>
          <w:p>
            <w:pPr>
              <w:pStyle w:val="TableText"/>
            </w:pPr>
            <w:r>
              <w:t xml:space="preserve">Use guard: If a profile remains accessible, inspect it; do not invent a sparse or newly created profile.</w:t>
            </w:r>
          </w:p>
        </w:tc>
        <w:tc>
          <w:tcPr>
            <w:tcW w:w="2700" w:type="dxa"/>
            <w:vAlign w:val="center"/>
          </w:tcPr>
          <w:p>
            <w:pPr>
              <w:pStyle w:val="TableText"/>
            </w:pPr>
            <w:r>
              <w:t xml:space="preserve">S003</w:t>
            </w:r>
          </w:p>
          <w:p>
            <w:pPr>
              <w:pStyle w:val="TableText"/>
            </w:pPr>
            <w:r>
              <w:t xml:space="preserve">S003: L70-79</w:t>
            </w:r>
          </w:p>
        </w:tc>
      </w:tr>
      <w:tr>
        <w:trPr>
          <w:cantSplit/>
        </w:trPr>
        <w:tc>
          <w:tcPr>
            <w:tcW w:w="1100" w:type="dxa"/>
            <w:vAlign w:val="center"/>
          </w:tcPr>
          <w:p>
            <w:pPr>
              <w:pStyle w:val="TableText"/>
            </w:pPr>
            <w:r>
              <w:t xml:space="preserve">ADV0025</w:t>
            </w:r>
          </w:p>
          <w:p>
            <w:pPr>
              <w:pStyle w:val="TableText"/>
            </w:pPr>
            <w:r>
              <w:t xml:space="preserve">relationship</w:t>
            </w:r>
          </w:p>
          <w:p>
            <w:pPr>
              <w:pStyle w:val="TableText"/>
            </w:pPr>
            <w:r>
              <w:t xml:space="preserve">S3</w:t>
            </w:r>
          </w:p>
        </w:tc>
        <w:tc>
          <w:tcPr>
            <w:tcW w:w="3300" w:type="dxa"/>
            <w:vAlign w:val="center"/>
          </w:tcPr>
          <w:p>
            <w:pPr>
              <w:pStyle w:val="TableText"/>
            </w:pPr>
            <w:r>
              <w:t xml:space="preserve">Recognize guilt or hurt feelings used to discourage reasonable doubts.</w:t>
            </w:r>
          </w:p>
          <w:p>
            <w:pPr>
              <w:pStyle w:val="TableText"/>
            </w:pPr>
            <w:r>
              <w:t xml:space="preserve">Function: Recognize guilt used against reasonable doubts</w:t>
            </w:r>
          </w:p>
        </w:tc>
        <w:tc>
          <w:tcPr>
            <w:tcW w:w="5860" w:type="dxa"/>
            <w:vAlign w:val="center"/>
          </w:tcPr>
          <w:p>
            <w:pPr>
              <w:pStyle w:val="TableText"/>
            </w:pPr>
            <w:r>
              <w:t xml:space="preserve">Conditional in all eight versions</w:t>
            </w:r>
          </w:p>
          <w:p>
            <w:pPr>
              <w:pStyle w:val="TableText"/>
            </w:pPr>
            <w:r>
              <w:t xml:space="preserve">Comparison: ADV0017, ADV0057</w:t>
            </w:r>
          </w:p>
          <w:p>
            <w:pPr>
              <w:pStyle w:val="TableText"/>
            </w:pPr>
            <w:r>
              <w:t xml:space="preserve">Decision: Addresses a reaction to doubt or refusal rather than merely strong attachment. Retain conditionally to support autonomy during the recommended boundary-setting step.</w:t>
            </w:r>
          </w:p>
          <w:p>
            <w:pPr>
              <w:pStyle w:val="TableText"/>
            </w:pPr>
            <w:r>
              <w:t xml:space="preserve">Use guard: High expressed dependence alone does not establish deliberate guilt induction or manipulation.</w:t>
            </w:r>
          </w:p>
        </w:tc>
        <w:tc>
          <w:tcPr>
            <w:tcW w:w="2700" w:type="dxa"/>
            <w:vAlign w:val="center"/>
          </w:tcPr>
          <w:p>
            <w:pPr>
              <w:pStyle w:val="TableText"/>
            </w:pPr>
            <w:r>
              <w:t xml:space="preserve">S004, S020</w:t>
            </w:r>
          </w:p>
          <w:p>
            <w:pPr>
              <w:pStyle w:val="TableText"/>
            </w:pPr>
            <w:r>
              <w:t xml:space="preserve">S004: L36; S020: P4 L173-178</w:t>
            </w:r>
          </w:p>
        </w:tc>
      </w:tr>
      <w:tr>
        <w:trPr>
          <w:cantSplit/>
        </w:trPr>
        <w:tc>
          <w:tcPr>
            <w:tcW w:w="1100" w:type="dxa"/>
            <w:vAlign w:val="center"/>
          </w:tcPr>
          <w:p>
            <w:pPr>
              <w:pStyle w:val="TableText"/>
            </w:pPr>
            <w:r>
              <w:t xml:space="preserve">ADV0027</w:t>
            </w:r>
          </w:p>
          <w:p>
            <w:pPr>
              <w:pStyle w:val="TableText"/>
            </w:pPr>
            <w:r>
              <w:t xml:space="preserve">money</w:t>
            </w:r>
          </w:p>
          <w:p>
            <w:pPr>
              <w:pStyle w:val="TableText"/>
            </w:pPr>
            <w:r>
              <w:t xml:space="preserve">S2</w:t>
            </w:r>
          </w:p>
        </w:tc>
        <w:tc>
          <w:tcPr>
            <w:tcW w:w="3300" w:type="dxa"/>
            <w:vAlign w:val="center"/>
          </w:tcPr>
          <w:p>
            <w:pPr>
              <w:pStyle w:val="TableText"/>
            </w:pPr>
            <w:r>
              <w:t xml:space="preserve">Refuse to borrow money for an online romantic contact.</w:t>
            </w:r>
          </w:p>
          <w:p>
            <w:pPr>
              <w:pStyle w:val="TableText"/>
            </w:pPr>
            <w:r>
              <w:t xml:space="preserve">Function: Avoid debt incurred for the contact</w:t>
            </w:r>
          </w:p>
        </w:tc>
        <w:tc>
          <w:tcPr>
            <w:tcW w:w="5860" w:type="dxa"/>
            <w:vAlign w:val="center"/>
          </w:tcPr>
          <w:p>
            <w:pPr>
              <w:pStyle w:val="TableText"/>
            </w:pPr>
            <w:r>
              <w:t xml:space="preserve">Direct when money is requested; conditional otherwise</w:t>
            </w:r>
          </w:p>
          <w:p>
            <w:pPr>
              <w:pStyle w:val="TableText"/>
            </w:pPr>
            <w:r>
              <w:t xml:space="preserve">Comparison: ADV0001, ADV0022</w:t>
            </w:r>
          </w:p>
          <w:p>
            <w:pPr>
              <w:pStyle w:val="TableText"/>
            </w:pPr>
            <w:r>
              <w:t xml:space="preserve">Decision: Borrowing exposes the recipient to debt while funding the stated outgoing request; this financing consequence differs from acting as a conduit for another person's money.</w:t>
            </w:r>
          </w:p>
          <w:p>
            <w:pPr>
              <w:pStyle w:val="TableText"/>
            </w:pPr>
            <w:r>
              <w:t xml:space="preserve">Use guard: No borrowing has occurred; avoid assuming the recipient lacks money or owns assets.</w:t>
            </w:r>
          </w:p>
        </w:tc>
        <w:tc>
          <w:tcPr>
            <w:tcW w:w="2700" w:type="dxa"/>
            <w:vAlign w:val="center"/>
          </w:tcPr>
          <w:p>
            <w:pPr>
              <w:pStyle w:val="TableText"/>
            </w:pPr>
            <w:r>
              <w:t xml:space="preserve">S004, S020</w:t>
            </w:r>
          </w:p>
          <w:p>
            <w:pPr>
              <w:pStyle w:val="TableText"/>
            </w:pPr>
            <w:r>
              <w:t xml:space="preserve">S004: L55; S020: P9 L429</w:t>
            </w:r>
          </w:p>
        </w:tc>
      </w:tr>
      <w:tr>
        <w:trPr>
          <w:cantSplit/>
        </w:trPr>
        <w:tc>
          <w:tcPr>
            <w:tcW w:w="1100" w:type="dxa"/>
            <w:vAlign w:val="center"/>
          </w:tcPr>
          <w:p>
            <w:pPr>
              <w:pStyle w:val="TableText"/>
            </w:pPr>
            <w:r>
              <w:t xml:space="preserve">ADV0033</w:t>
            </w:r>
          </w:p>
          <w:p>
            <w:pPr>
              <w:pStyle w:val="TableText"/>
            </w:pPr>
            <w:r>
              <w:t xml:space="preserve">verification</w:t>
            </w:r>
          </w:p>
          <w:p>
            <w:pPr>
              <w:pStyle w:val="TableText"/>
            </w:pPr>
            <w:r>
              <w:t xml:space="preserve">S2</w:t>
            </w:r>
          </w:p>
        </w:tc>
        <w:tc>
          <w:tcPr>
            <w:tcW w:w="3300" w:type="dxa"/>
            <w:vAlign w:val="center"/>
          </w:tcPr>
          <w:p>
            <w:pPr>
              <w:pStyle w:val="TableText"/>
            </w:pPr>
            <w:r>
              <w:t xml:space="preserve">Search distinctive romantic messages for repeated scam scripts.</w:t>
            </w:r>
          </w:p>
          <w:p>
            <w:pPr>
              <w:pStyle w:val="TableText"/>
            </w:pPr>
            <w:r>
              <w:t xml:space="preserve">Function: Check distinctive message reuse</w:t>
            </w:r>
          </w:p>
        </w:tc>
        <w:tc>
          <w:tcPr>
            <w:tcW w:w="5860" w:type="dxa"/>
            <w:vAlign w:val="center"/>
          </w:tcPr>
          <w:p>
            <w:pPr>
              <w:pStyle w:val="TableText"/>
            </w:pPr>
            <w:r>
              <w:t xml:space="preserve">Conditional in all eight versions</w:t>
            </w:r>
          </w:p>
          <w:p>
            <w:pPr>
              <w:pStyle w:val="TableText"/>
            </w:pPr>
            <w:r>
              <w:t xml:space="preserve">Comparison: ADV0004, ADV0239</w:t>
            </w:r>
          </w:p>
          <w:p>
            <w:pPr>
              <w:pStyle w:val="TableText"/>
            </w:pPr>
            <w:r>
              <w:t xml:space="preserve">Decision: Searches message content rather than names or images. Fluency is a separate misleading reassurance cue; retain both without inventing copied messages.</w:t>
            </w:r>
          </w:p>
          <w:p>
            <w:pPr>
              <w:pStyle w:val="TableText"/>
            </w:pPr>
            <w:r>
              <w:t xml:space="preserve">Use guard: No copied script is established; a search result or absence of one is not a verdict.</w:t>
            </w:r>
          </w:p>
        </w:tc>
        <w:tc>
          <w:tcPr>
            <w:tcW w:w="2700" w:type="dxa"/>
            <w:vAlign w:val="center"/>
          </w:tcPr>
          <w:p>
            <w:pPr>
              <w:pStyle w:val="TableText"/>
            </w:pPr>
            <w:r>
              <w:t xml:space="preserve">S005</w:t>
            </w:r>
          </w:p>
          <w:p>
            <w:pPr>
              <w:pStyle w:val="TableText"/>
            </w:pPr>
            <w:r>
              <w:t xml:space="preserve">S005: L31-33</w:t>
            </w:r>
          </w:p>
        </w:tc>
      </w:tr>
      <w:tr>
        <w:trPr>
          <w:cantSplit/>
        </w:trPr>
        <w:tc>
          <w:tcPr>
            <w:tcW w:w="1100" w:type="dxa"/>
            <w:vAlign w:val="center"/>
          </w:tcPr>
          <w:p>
            <w:pPr>
              <w:pStyle w:val="TableText"/>
            </w:pPr>
            <w:r>
              <w:t xml:space="preserve">ADV0036</w:t>
            </w:r>
          </w:p>
          <w:p>
            <w:pPr>
              <w:pStyle w:val="TableText"/>
            </w:pPr>
            <w:r>
              <w:t xml:space="preserve">escalation</w:t>
            </w:r>
          </w:p>
          <w:p>
            <w:pPr>
              <w:pStyle w:val="TableText"/>
            </w:pPr>
            <w:r>
              <w:t xml:space="preserve">S3</w:t>
            </w:r>
          </w:p>
        </w:tc>
        <w:tc>
          <w:tcPr>
            <w:tcW w:w="3300" w:type="dxa"/>
            <w:vAlign w:val="center"/>
          </w:tcPr>
          <w:p>
            <w:pPr>
              <w:pStyle w:val="TableText"/>
            </w:pPr>
            <w:r>
              <w:t xml:space="preserve">Before blocking, save profiles, messages and threats with identifiers, content links, dates and the pattern of events.</w:t>
            </w:r>
          </w:p>
          <w:p>
            <w:pPr>
              <w:pStyle w:val="TableText"/>
            </w:pPr>
            <w:r>
              <w:t xml:space="preserve">Function: Preserve relevant evidence before disengaging</w:t>
            </w:r>
          </w:p>
        </w:tc>
        <w:tc>
          <w:tcPr>
            <w:tcW w:w="5860" w:type="dxa"/>
            <w:vAlign w:val="center"/>
          </w:tcPr>
          <w:p>
            <w:pPr>
              <w:pStyle w:val="TableText"/>
            </w:pPr>
            <w:r>
              <w:t xml:space="preserve">Conditional in all eight versions</w:t>
            </w:r>
          </w:p>
          <w:p>
            <w:pPr>
              <w:pStyle w:val="TableText"/>
            </w:pPr>
            <w:r>
              <w:t xml:space="preserve">Comparison: ADV0002, ADV0008</w:t>
            </w:r>
          </w:p>
          <w:p>
            <w:pPr>
              <w:pStyle w:val="TableText"/>
            </w:pPr>
            <w:r>
              <w:t xml:space="preserve">Decision: Preservation is a prerequisite for later reporting after blocking. Unlike keeping report receipts, it can prevent losing information during an action the pack already proposes.</w:t>
            </w:r>
          </w:p>
          <w:p>
            <w:pPr>
              <w:pStyle w:val="TableText"/>
            </w:pPr>
            <w:r>
              <w:t xml:space="preserve">Use guard: Do not invent threats or images; preserve only existing communications and identifiers.</w:t>
            </w:r>
          </w:p>
        </w:tc>
        <w:tc>
          <w:tcPr>
            <w:tcW w:w="2700" w:type="dxa"/>
            <w:vAlign w:val="center"/>
          </w:tcPr>
          <w:p>
            <w:pPr>
              <w:pStyle w:val="TableText"/>
            </w:pPr>
            <w:r>
              <w:t xml:space="preserve">S005, S006, S011, S019, S025, S030</w:t>
            </w:r>
          </w:p>
          <w:p>
            <w:pPr>
              <w:pStyle w:val="TableText"/>
            </w:pPr>
            <w:r>
              <w:t xml:space="preserve">S005: L49; S006: L344-348; S011: L46; S019: L315; S025: L300-306; S030: L218-229; S030: L235-240; S030: L242-243; S030: L244-248</w:t>
            </w:r>
          </w:p>
        </w:tc>
      </w:tr>
      <w:tr>
        <w:trPr>
          <w:cantSplit/>
        </w:trPr>
        <w:tc>
          <w:tcPr>
            <w:tcW w:w="1100" w:type="dxa"/>
            <w:vAlign w:val="center"/>
          </w:tcPr>
          <w:p>
            <w:pPr>
              <w:pStyle w:val="TableText"/>
            </w:pPr>
            <w:r>
              <w:t xml:space="preserve">ADV0044</w:t>
            </w:r>
          </w:p>
          <w:p>
            <w:pPr>
              <w:pStyle w:val="TableText"/>
            </w:pPr>
            <w:r>
              <w:t xml:space="preserve">money</w:t>
            </w:r>
          </w:p>
          <w:p>
            <w:pPr>
              <w:pStyle w:val="TableText"/>
            </w:pPr>
            <w:r>
              <w:t xml:space="preserve">S1</w:t>
            </w:r>
          </w:p>
        </w:tc>
        <w:tc>
          <w:tcPr>
            <w:tcW w:w="3300" w:type="dxa"/>
            <w:vAlign w:val="center"/>
          </w:tcPr>
          <w:p>
            <w:pPr>
              <w:pStyle w:val="TableText"/>
            </w:pPr>
            <w:r>
              <w:t xml:space="preserve">Investigate the request before making a financial decision under pressure.</w:t>
            </w:r>
          </w:p>
          <w:p>
            <w:pPr>
              <w:pStyle w:val="TableText"/>
            </w:pPr>
            <w:r>
              <w:t xml:space="preserve">Function: Pause and assess financial requests</w:t>
            </w:r>
          </w:p>
        </w:tc>
        <w:tc>
          <w:tcPr>
            <w:tcW w:w="5860" w:type="dxa"/>
            <w:vAlign w:val="center"/>
          </w:tcPr>
          <w:p>
            <w:pPr>
              <w:pStyle w:val="TableText"/>
            </w:pPr>
            <w:r>
              <w:t xml:space="preserve">Direct when money is requested; conditional otherwise</w:t>
            </w:r>
          </w:p>
          <w:p>
            <w:pPr>
              <w:pStyle w:val="TableText"/>
            </w:pPr>
            <w:r>
              <w:t xml:space="preserve">Comparison: ADV0001, ADV0122</w:t>
            </w:r>
          </w:p>
          <w:p>
            <w:pPr>
              <w:pStyle w:val="TableText"/>
            </w:pPr>
            <w:r>
              <w:t xml:space="preserve">Decision: Connects reflection to the stated financial decision. The general pause principle also covers nonfinancial emotional pressure, so their scopes are complementary.</w:t>
            </w:r>
          </w:p>
          <w:p>
            <w:pPr>
              <w:pStyle w:val="TableText"/>
            </w:pPr>
            <w:r>
              <w:t xml:space="preserve">Use guard: Do not equate a request to stay online tonight with a payment deadline.</w:t>
            </w:r>
          </w:p>
        </w:tc>
        <w:tc>
          <w:tcPr>
            <w:tcW w:w="2700" w:type="dxa"/>
            <w:vAlign w:val="center"/>
          </w:tcPr>
          <w:p>
            <w:pPr>
              <w:pStyle w:val="TableText"/>
            </w:pPr>
            <w:r>
              <w:t xml:space="preserve">S005</w:t>
            </w:r>
          </w:p>
          <w:p>
            <w:pPr>
              <w:pStyle w:val="TableText"/>
            </w:pPr>
            <w:r>
              <w:t xml:space="preserve">S005: L103</w:t>
            </w:r>
          </w:p>
        </w:tc>
      </w:tr>
      <w:tr>
        <w:trPr>
          <w:cantSplit/>
        </w:trPr>
        <w:tc>
          <w:tcPr>
            <w:tcW w:w="1100" w:type="dxa"/>
            <w:vAlign w:val="center"/>
          </w:tcPr>
          <w:p>
            <w:pPr>
              <w:pStyle w:val="TableText"/>
            </w:pPr>
            <w:r>
              <w:t xml:space="preserve">ADV0047</w:t>
            </w:r>
          </w:p>
          <w:p>
            <w:pPr>
              <w:pStyle w:val="TableText"/>
            </w:pPr>
            <w:r>
              <w:t xml:space="preserve">privacy</w:t>
            </w:r>
          </w:p>
          <w:p>
            <w:pPr>
              <w:pStyle w:val="TableText"/>
            </w:pPr>
            <w:r>
              <w:t xml:space="preserve">S2</w:t>
            </w:r>
          </w:p>
        </w:tc>
        <w:tc>
          <w:tcPr>
            <w:tcW w:w="3300" w:type="dxa"/>
            <w:vAlign w:val="center"/>
          </w:tcPr>
          <w:p>
            <w:pPr>
              <w:pStyle w:val="TableText"/>
            </w:pPr>
            <w:r>
              <w:t xml:space="preserve">Hide precise location information from other dating-app users.</w:t>
            </w:r>
          </w:p>
          <w:p>
            <w:pPr>
              <w:pStyle w:val="TableText"/>
            </w:pPr>
            <w:r>
              <w:t xml:space="preserve">Function: Limit precise location disclosure</w:t>
            </w:r>
          </w:p>
        </w:tc>
        <w:tc>
          <w:tcPr>
            <w:tcW w:w="5860" w:type="dxa"/>
            <w:vAlign w:val="center"/>
          </w:tcPr>
          <w:p>
            <w:pPr>
              <w:pStyle w:val="TableText"/>
            </w:pPr>
            <w:r>
              <w:t xml:space="preserve">Direct in all eight versions</w:t>
            </w:r>
          </w:p>
          <w:p>
            <w:pPr>
              <w:pStyle w:val="TableText"/>
            </w:pPr>
            <w:r>
              <w:t xml:space="preserve">Comparison: ADV0010, ADV0151</w:t>
            </w:r>
          </w:p>
          <w:p>
            <w:pPr>
              <w:pStyle w:val="TableText"/>
            </w:pPr>
            <w:r>
              <w:t xml:space="preserve">Decision: A direct location-setting boundary is actionable during current app use; protecting recurring routines is a related implementation with a temporal dimension, retained in reserve.</w:t>
            </w:r>
          </w:p>
          <w:p>
            <w:pPr>
              <w:pStyle w:val="TableText"/>
            </w:pPr>
            <w:r>
              <w:t xml:space="preserve">Use guard: Do not claim Alex knows an address or location has already been exposed.</w:t>
            </w:r>
          </w:p>
        </w:tc>
        <w:tc>
          <w:tcPr>
            <w:tcW w:w="2700" w:type="dxa"/>
            <w:vAlign w:val="center"/>
          </w:tcPr>
          <w:p>
            <w:pPr>
              <w:pStyle w:val="TableText"/>
            </w:pPr>
            <w:r>
              <w:t xml:space="preserve">S006</w:t>
            </w:r>
          </w:p>
          <w:p>
            <w:pPr>
              <w:pStyle w:val="TableText"/>
            </w:pPr>
            <w:r>
              <w:t xml:space="preserve">S006: L287</w:t>
            </w:r>
          </w:p>
        </w:tc>
      </w:tr>
      <w:tr>
        <w:trPr>
          <w:cantSplit/>
        </w:trPr>
        <w:tc>
          <w:tcPr>
            <w:tcW w:w="1100" w:type="dxa"/>
            <w:vAlign w:val="center"/>
          </w:tcPr>
          <w:p>
            <w:pPr>
              <w:pStyle w:val="TableText"/>
            </w:pPr>
            <w:r>
              <w:t xml:space="preserve">ADV0048</w:t>
            </w:r>
          </w:p>
          <w:p>
            <w:pPr>
              <w:pStyle w:val="TableText"/>
            </w:pPr>
            <w:r>
              <w:t xml:space="preserve">platform</w:t>
            </w:r>
          </w:p>
          <w:p>
            <w:pPr>
              <w:pStyle w:val="TableText"/>
            </w:pPr>
            <w:r>
              <w:t xml:space="preserve">S3</w:t>
            </w:r>
          </w:p>
        </w:tc>
        <w:tc>
          <w:tcPr>
            <w:tcW w:w="3300" w:type="dxa"/>
            <w:vAlign w:val="center"/>
          </w:tcPr>
          <w:p>
            <w:pPr>
              <w:pStyle w:val="TableText"/>
            </w:pPr>
            <w:r>
              <w:t xml:space="preserve">Check that the dating app offers accessible blocking and reporting tools.</w:t>
            </w:r>
          </w:p>
          <w:p>
            <w:pPr>
              <w:pStyle w:val="TableText"/>
            </w:pPr>
            <w:r>
              <w:t xml:space="preserve">Function: Locate current blocking/reporting controls</w:t>
            </w:r>
          </w:p>
        </w:tc>
        <w:tc>
          <w:tcPr>
            <w:tcW w:w="5860" w:type="dxa"/>
            <w:vAlign w:val="center"/>
          </w:tcPr>
          <w:p>
            <w:pPr>
              <w:pStyle w:val="TableText"/>
            </w:pPr>
            <w:r>
              <w:t xml:space="preserve">Conditional in all eight versions</w:t>
            </w:r>
          </w:p>
          <w:p>
            <w:pPr>
              <w:pStyle w:val="TableText"/>
            </w:pPr>
            <w:r>
              <w:t xml:space="preserve">Comparison: ADV0002, ADV0008</w:t>
            </w:r>
          </w:p>
          <w:p>
            <w:pPr>
              <w:pStyle w:val="TableText"/>
            </w:pPr>
            <w:r>
              <w:t xml:space="preserve">Decision: Enables the selected conditional disengagement and platform-reporting actions. General service-selection or data-policy review does not provide this operational access.</w:t>
            </w:r>
          </w:p>
          <w:p>
            <w:pPr>
              <w:pStyle w:val="TableText"/>
            </w:pPr>
            <w:r>
              <w:t xml:space="preserve">Use guard: Check the actual platform's features; do not imply that a report must be filed now.</w:t>
            </w:r>
          </w:p>
        </w:tc>
        <w:tc>
          <w:tcPr>
            <w:tcW w:w="2700" w:type="dxa"/>
            <w:vAlign w:val="center"/>
          </w:tcPr>
          <w:p>
            <w:pPr>
              <w:pStyle w:val="TableText"/>
            </w:pPr>
            <w:r>
              <w:t xml:space="preserve">S006</w:t>
            </w:r>
          </w:p>
          <w:p>
            <w:pPr>
              <w:pStyle w:val="TableText"/>
            </w:pPr>
            <w:r>
              <w:t xml:space="preserve">S006: L289</w:t>
            </w:r>
          </w:p>
        </w:tc>
      </w:tr>
      <w:tr>
        <w:trPr>
          <w:cantSplit/>
        </w:trPr>
        <w:tc>
          <w:tcPr>
            <w:tcW w:w="1100" w:type="dxa"/>
            <w:vAlign w:val="center"/>
          </w:tcPr>
          <w:p>
            <w:pPr>
              <w:pStyle w:val="TableText"/>
            </w:pPr>
            <w:r>
              <w:t xml:space="preserve">ADV0049</w:t>
            </w:r>
          </w:p>
          <w:p>
            <w:pPr>
              <w:pStyle w:val="TableText"/>
            </w:pPr>
            <w:r>
              <w:t xml:space="preserve">verification</w:t>
            </w:r>
          </w:p>
          <w:p>
            <w:pPr>
              <w:pStyle w:val="TableText"/>
            </w:pPr>
            <w:r>
              <w:t xml:space="preserve">S3</w:t>
            </w:r>
          </w:p>
        </w:tc>
        <w:tc>
          <w:tcPr>
            <w:tcW w:w="3300" w:type="dxa"/>
            <w:vAlign w:val="center"/>
          </w:tcPr>
          <w:p>
            <w:pPr>
              <w:pStyle w:val="TableText"/>
            </w:pPr>
            <w:r>
              <w:t xml:space="preserve">Do not equate a matching-photo badge with full identity verification.</w:t>
            </w:r>
          </w:p>
          <w:p>
            <w:pPr>
              <w:pStyle w:val="TableText"/>
            </w:pPr>
            <w:r>
              <w:t xml:space="preserve">Function: Limit confidence in photo badges</w:t>
            </w:r>
          </w:p>
        </w:tc>
        <w:tc>
          <w:tcPr>
            <w:tcW w:w="5860" w:type="dxa"/>
            <w:vAlign w:val="center"/>
          </w:tcPr>
          <w:p>
            <w:pPr>
              <w:pStyle w:val="TableText"/>
            </w:pPr>
            <w:r>
              <w:t xml:space="preserve">Conditional in all eight versions</w:t>
            </w:r>
          </w:p>
          <w:p>
            <w:pPr>
              <w:pStyle w:val="TableText"/>
            </w:pPr>
            <w:r>
              <w:t xml:space="preserve">Comparison: ADV0023, ADV0240</w:t>
            </w:r>
          </w:p>
          <w:p>
            <w:pPr>
              <w:pStyle w:val="TableText"/>
            </w:pPr>
            <w:r>
              <w:t xml:space="preserve">Decision: A badge can be encountered during the selected profile inspection and may be mistaken for verification. Keep this limitation alongside photo realism, which is a different cue.</w:t>
            </w:r>
          </w:p>
          <w:p>
            <w:pPr>
              <w:pStyle w:val="TableText"/>
            </w:pPr>
            <w:r>
              <w:t xml:space="preserve">Use guard: No badge is described; do not equate a badge or its absence with a fraud verdict.</w:t>
            </w:r>
          </w:p>
        </w:tc>
        <w:tc>
          <w:tcPr>
            <w:tcW w:w="2700" w:type="dxa"/>
            <w:vAlign w:val="center"/>
          </w:tcPr>
          <w:p>
            <w:pPr>
              <w:pStyle w:val="TableText"/>
            </w:pPr>
            <w:r>
              <w:t xml:space="preserve">S006</w:t>
            </w:r>
          </w:p>
          <w:p>
            <w:pPr>
              <w:pStyle w:val="TableText"/>
            </w:pPr>
            <w:r>
              <w:t xml:space="preserve">S006: L290</w:t>
            </w:r>
          </w:p>
        </w:tc>
      </w:tr>
      <w:tr>
        <w:trPr>
          <w:cantSplit/>
        </w:trPr>
        <w:tc>
          <w:tcPr>
            <w:tcW w:w="1100" w:type="dxa"/>
            <w:vAlign w:val="center"/>
          </w:tcPr>
          <w:p>
            <w:pPr>
              <w:pStyle w:val="TableText"/>
            </w:pPr>
            <w:r>
              <w:t xml:space="preserve">ADV0050</w:t>
            </w:r>
          </w:p>
          <w:p>
            <w:pPr>
              <w:pStyle w:val="TableText"/>
            </w:pPr>
            <w:r>
              <w:t xml:space="preserve">platform</w:t>
            </w:r>
          </w:p>
          <w:p>
            <w:pPr>
              <w:pStyle w:val="TableText"/>
            </w:pPr>
            <w:r>
              <w:t xml:space="preserve">S3</w:t>
            </w:r>
          </w:p>
        </w:tc>
        <w:tc>
          <w:tcPr>
            <w:tcW w:w="3300" w:type="dxa"/>
            <w:vAlign w:val="center"/>
          </w:tcPr>
          <w:p>
            <w:pPr>
              <w:pStyle w:val="TableText"/>
            </w:pPr>
            <w:r>
              <w:t xml:space="preserve">Use in-app calls to avoid disclosing your personal number.</w:t>
            </w:r>
          </w:p>
          <w:p>
            <w:pPr>
              <w:pStyle w:val="TableText"/>
            </w:pPr>
            <w:r>
              <w:t xml:space="preserve">Function: Use protected in-app calling</w:t>
            </w:r>
          </w:p>
        </w:tc>
        <w:tc>
          <w:tcPr>
            <w:tcW w:w="5860" w:type="dxa"/>
            <w:vAlign w:val="center"/>
          </w:tcPr>
          <w:p>
            <w:pPr>
              <w:pStyle w:val="TableText"/>
            </w:pPr>
            <w:r>
              <w:t xml:space="preserve">Conditional in all eight versions</w:t>
            </w:r>
          </w:p>
          <w:p>
            <w:pPr>
              <w:pStyle w:val="TableText"/>
            </w:pPr>
            <w:r>
              <w:t xml:space="preserve">Comparison: ADV0153, ADV0058</w:t>
            </w:r>
          </w:p>
          <w:p>
            <w:pPr>
              <w:pStyle w:val="TableText"/>
            </w:pPr>
            <w:r>
              <w:t xml:space="preserve">Decision: Adds a way to undertake the proposed call without disclosing a phone number; platform messaging alone does not specify call privacy.</w:t>
            </w:r>
          </w:p>
          <w:p>
            <w:pPr>
              <w:pStyle w:val="TableText"/>
            </w:pPr>
            <w:r>
              <w:t xml:space="preserve">Use guard: The feature may not exist; do not assume a phone number was shared or that a call has been refused.</w:t>
            </w:r>
          </w:p>
        </w:tc>
        <w:tc>
          <w:tcPr>
            <w:tcW w:w="2700" w:type="dxa"/>
            <w:vAlign w:val="center"/>
          </w:tcPr>
          <w:p>
            <w:pPr>
              <w:pStyle w:val="TableText"/>
            </w:pPr>
            <w:r>
              <w:t xml:space="preserve">S006</w:t>
            </w:r>
          </w:p>
          <w:p>
            <w:pPr>
              <w:pStyle w:val="TableText"/>
            </w:pPr>
            <w:r>
              <w:t xml:space="preserve">S006: L294</w:t>
            </w:r>
          </w:p>
        </w:tc>
      </w:tr>
      <w:tr>
        <w:trPr>
          <w:cantSplit/>
        </w:trPr>
        <w:tc>
          <w:tcPr>
            <w:tcW w:w="1100" w:type="dxa"/>
            <w:vAlign w:val="center"/>
          </w:tcPr>
          <w:p>
            <w:pPr>
              <w:pStyle w:val="TableText"/>
            </w:pPr>
            <w:r>
              <w:t xml:space="preserve">ADV0054</w:t>
            </w:r>
          </w:p>
          <w:p>
            <w:pPr>
              <w:pStyle w:val="TableText"/>
            </w:pPr>
            <w:r>
              <w:t xml:space="preserve">privacy</w:t>
            </w:r>
          </w:p>
          <w:p>
            <w:pPr>
              <w:pStyle w:val="TableText"/>
            </w:pPr>
            <w:r>
              <w:t xml:space="preserve">S2</w:t>
            </w:r>
          </w:p>
        </w:tc>
        <w:tc>
          <w:tcPr>
            <w:tcW w:w="3300" w:type="dxa"/>
            <w:vAlign w:val="center"/>
          </w:tcPr>
          <w:p>
            <w:pPr>
              <w:pStyle w:val="TableText"/>
            </w:pPr>
            <w:r>
              <w:t xml:space="preserve">Keep dating contacts separate from your wider personal social accounts; avoid linking profiles or exposing every account.</w:t>
            </w:r>
          </w:p>
          <w:p>
            <w:pPr>
              <w:pStyle w:val="TableText"/>
            </w:pPr>
            <w:r>
              <w:t xml:space="preserve">Function: Separate dating and wider social accounts</w:t>
            </w:r>
          </w:p>
        </w:tc>
        <w:tc>
          <w:tcPr>
            <w:tcW w:w="5860" w:type="dxa"/>
            <w:vAlign w:val="center"/>
          </w:tcPr>
          <w:p>
            <w:pPr>
              <w:pStyle w:val="TableText"/>
            </w:pPr>
            <w:r>
              <w:t xml:space="preserve">Direct in all eight versions</w:t>
            </w:r>
          </w:p>
          <w:p>
            <w:pPr>
              <w:pStyle w:val="TableText"/>
            </w:pPr>
            <w:r>
              <w:t xml:space="preserve">Comparison: ADV0010, ADV0053</w:t>
            </w:r>
          </w:p>
          <w:p>
            <w:pPr>
              <w:pStyle w:val="TableText"/>
            </w:pPr>
            <w:r>
              <w:t xml:space="preserve">Decision: Adds a cross-account exposure boundary beyond individual public facts; using different photos is one optional implementation of limiting linkage.</w:t>
            </w:r>
          </w:p>
          <w:p>
            <w:pPr>
              <w:pStyle w:val="TableText"/>
            </w:pPr>
            <w:r>
              <w:t xml:space="preserve">Use guard: Do not assume the accounts are linked or instruct deletion of evidence.</w:t>
            </w:r>
          </w:p>
        </w:tc>
        <w:tc>
          <w:tcPr>
            <w:tcW w:w="2700" w:type="dxa"/>
            <w:vAlign w:val="center"/>
          </w:tcPr>
          <w:p>
            <w:pPr>
              <w:pStyle w:val="TableText"/>
            </w:pPr>
            <w:r>
              <w:t xml:space="preserve">S006, S019</w:t>
            </w:r>
          </w:p>
          <w:p>
            <w:pPr>
              <w:pStyle w:val="TableText"/>
            </w:pPr>
            <w:r>
              <w:t xml:space="preserve">S006: L310-312; S019: L275-277</w:t>
            </w:r>
          </w:p>
        </w:tc>
      </w:tr>
      <w:tr>
        <w:trPr>
          <w:cantSplit/>
        </w:trPr>
        <w:tc>
          <w:tcPr>
            <w:tcW w:w="1100" w:type="dxa"/>
            <w:vAlign w:val="center"/>
          </w:tcPr>
          <w:p>
            <w:pPr>
              <w:pStyle w:val="TableText"/>
            </w:pPr>
            <w:r>
              <w:t xml:space="preserve">ADV0057</w:t>
            </w:r>
          </w:p>
          <w:p>
            <w:pPr>
              <w:pStyle w:val="TableText"/>
            </w:pPr>
            <w:r>
              <w:t xml:space="preserve">relationship</w:t>
            </w:r>
          </w:p>
          <w:p>
            <w:pPr>
              <w:pStyle w:val="TableText"/>
            </w:pPr>
            <w:r>
              <w:t xml:space="preserve">S1</w:t>
            </w:r>
          </w:p>
        </w:tc>
        <w:tc>
          <w:tcPr>
            <w:tcW w:w="3300" w:type="dxa"/>
            <w:vAlign w:val="center"/>
          </w:tcPr>
          <w:p>
            <w:pPr>
              <w:pStyle w:val="TableText"/>
            </w:pPr>
            <w:r>
              <w:t xml:space="preserve">Decline uncomfortable requests even after matching or beginning a conversation.</w:t>
            </w:r>
          </w:p>
          <w:p>
            <w:pPr>
              <w:pStyle w:val="TableText"/>
            </w:pPr>
            <w:r>
              <w:t xml:space="preserve">Function: Decline uncomfortable requests</w:t>
            </w:r>
          </w:p>
        </w:tc>
        <w:tc>
          <w:tcPr>
            <w:tcW w:w="5860" w:type="dxa"/>
            <w:vAlign w:val="center"/>
          </w:tcPr>
          <w:p>
            <w:pPr>
              <w:pStyle w:val="TableText"/>
            </w:pPr>
            <w:r>
              <w:t xml:space="preserve">Direct in all eight versions</w:t>
            </w:r>
          </w:p>
          <w:p>
            <w:pPr>
              <w:pStyle w:val="TableText"/>
            </w:pPr>
            <w:r>
              <w:t xml:space="preserve">Comparison: ADV0019, ADV0143</w:t>
            </w:r>
          </w:p>
          <w:p>
            <w:pPr>
              <w:pStyle w:val="TableText"/>
            </w:pPr>
            <w:r>
              <w:t xml:space="preserve">Decision: Establishes an immediate right to refuse, while interpreting reactions and pausing contact are complementary follow-up actions.</w:t>
            </w:r>
          </w:p>
          <w:p>
            <w:pPr>
              <w:pStyle w:val="TableText"/>
            </w:pPr>
            <w:r>
              <w:t xml:space="preserve">Use guard: Do not presume a coercive request exists in low-pressure versions.</w:t>
            </w:r>
          </w:p>
        </w:tc>
        <w:tc>
          <w:tcPr>
            <w:tcW w:w="2700" w:type="dxa"/>
            <w:vAlign w:val="center"/>
          </w:tcPr>
          <w:p>
            <w:pPr>
              <w:pStyle w:val="TableText"/>
            </w:pPr>
            <w:r>
              <w:t xml:space="preserve">S006, S018</w:t>
            </w:r>
          </w:p>
          <w:p>
            <w:pPr>
              <w:pStyle w:val="TableText"/>
            </w:pPr>
            <w:r>
              <w:t xml:space="preserve">S006: L327-329; S018: L60</w:t>
            </w:r>
          </w:p>
        </w:tc>
      </w:tr>
      <w:tr>
        <w:trPr>
          <w:cantSplit/>
        </w:trPr>
        <w:tc>
          <w:tcPr>
            <w:tcW w:w="1100" w:type="dxa"/>
            <w:vAlign w:val="center"/>
          </w:tcPr>
          <w:p>
            <w:pPr>
              <w:pStyle w:val="TableText"/>
            </w:pPr>
            <w:r>
              <w:t xml:space="preserve">ADV0058</w:t>
            </w:r>
          </w:p>
          <w:p>
            <w:pPr>
              <w:pStyle w:val="TableText"/>
            </w:pPr>
            <w:r>
              <w:t xml:space="preserve">platform</w:t>
            </w:r>
          </w:p>
          <w:p>
            <w:pPr>
              <w:pStyle w:val="TableText"/>
            </w:pPr>
            <w:r>
              <w:t xml:space="preserve">S1</w:t>
            </w:r>
          </w:p>
        </w:tc>
        <w:tc>
          <w:tcPr>
            <w:tcW w:w="3300" w:type="dxa"/>
            <w:vAlign w:val="center"/>
          </w:tcPr>
          <w:p>
            <w:pPr>
              <w:pStyle w:val="TableText"/>
            </w:pPr>
            <w:r>
              <w:t xml:space="preserve">Keep early conversations inside the dating platform's protected messaging system.</w:t>
            </w:r>
          </w:p>
          <w:p>
            <w:pPr>
              <w:pStyle w:val="TableText"/>
            </w:pPr>
            <w:r>
              <w:t xml:space="preserve">Function: Use the dating platform's messaging controls</w:t>
            </w:r>
          </w:p>
        </w:tc>
        <w:tc>
          <w:tcPr>
            <w:tcW w:w="5860" w:type="dxa"/>
            <w:vAlign w:val="center"/>
          </w:tcPr>
          <w:p>
            <w:pPr>
              <w:pStyle w:val="TableText"/>
            </w:pPr>
            <w:r>
              <w:t xml:space="preserve">Direct in all eight versions</w:t>
            </w:r>
          </w:p>
          <w:p>
            <w:pPr>
              <w:pStyle w:val="TableText"/>
            </w:pPr>
            <w:r>
              <w:t xml:space="preserve">Comparison: ADV0012, ADV0050</w:t>
            </w:r>
          </w:p>
          <w:p>
            <w:pPr>
              <w:pStyle w:val="TableText"/>
            </w:pPr>
            <w:r>
              <w:t xml:space="preserve">Decision: Offers a channel decision tied to the stated move off-platform; choosing a new service or configuring initial permissions addresses a different task.</w:t>
            </w:r>
          </w:p>
          <w:p>
            <w:pPr>
              <w:pStyle w:val="TableText"/>
            </w:pPr>
            <w:r>
              <w:t xml:space="preserve">Use guard: Acknowledge that the move already occurred; returning to the app does not prove safety.</w:t>
            </w:r>
          </w:p>
        </w:tc>
        <w:tc>
          <w:tcPr>
            <w:tcW w:w="2700" w:type="dxa"/>
            <w:vAlign w:val="center"/>
          </w:tcPr>
          <w:p>
            <w:pPr>
              <w:pStyle w:val="TableText"/>
            </w:pPr>
            <w:r>
              <w:t xml:space="preserve">S006, S008, S021, S022</w:t>
            </w:r>
          </w:p>
          <w:p>
            <w:pPr>
              <w:pStyle w:val="TableText"/>
            </w:pPr>
            <w:r>
              <w:t xml:space="preserve">S006: L333-335; S008: L17; S021: How to protect yourself; S022: L35-36</w:t>
            </w:r>
          </w:p>
        </w:tc>
      </w:tr>
      <w:tr>
        <w:trPr>
          <w:cantSplit/>
        </w:trPr>
        <w:tc>
          <w:tcPr>
            <w:tcW w:w="1100" w:type="dxa"/>
            <w:vAlign w:val="center"/>
          </w:tcPr>
          <w:p>
            <w:pPr>
              <w:pStyle w:val="TableText"/>
            </w:pPr>
            <w:r>
              <w:t xml:space="preserve">ADV0070</w:t>
            </w:r>
          </w:p>
          <w:p>
            <w:pPr>
              <w:pStyle w:val="TableText"/>
            </w:pPr>
            <w:r>
              <w:t xml:space="preserve">digital</w:t>
            </w:r>
          </w:p>
          <w:p>
            <w:pPr>
              <w:pStyle w:val="TableText"/>
            </w:pPr>
            <w:r>
              <w:t xml:space="preserve">S2</w:t>
            </w:r>
          </w:p>
        </w:tc>
        <w:tc>
          <w:tcPr>
            <w:tcW w:w="3300" w:type="dxa"/>
            <w:vAlign w:val="center"/>
          </w:tcPr>
          <w:p>
            <w:pPr>
              <w:pStyle w:val="TableText"/>
            </w:pPr>
            <w:r>
              <w:t xml:space="preserve">Avoid links, downloads and attachments sent by an online-only match.</w:t>
            </w:r>
          </w:p>
          <w:p>
            <w:pPr>
              <w:pStyle w:val="TableText"/>
            </w:pPr>
            <w:r>
              <w:t xml:space="preserve">Function: Decline unsafe link/file interactions</w:t>
            </w:r>
          </w:p>
        </w:tc>
        <w:tc>
          <w:tcPr>
            <w:tcW w:w="5860" w:type="dxa"/>
            <w:vAlign w:val="center"/>
          </w:tcPr>
          <w:p>
            <w:pPr>
              <w:pStyle w:val="TableText"/>
            </w:pPr>
            <w:r>
              <w:t xml:space="preserve">Conditional in all eight versions</w:t>
            </w:r>
          </w:p>
          <w:p>
            <w:pPr>
              <w:pStyle w:val="TableText"/>
            </w:pPr>
            <w:r>
              <w:t xml:space="preserve">Comparison: ADV0269, ADV0277</w:t>
            </w:r>
          </w:p>
          <w:p>
            <w:pPr>
              <w:pStyle w:val="TableText"/>
            </w:pPr>
            <w:r>
              <w:t xml:space="preserve">Decision: Links and files are direct messaging exposures. Remote-control authorization has an additional mechanism and is retained separately; payment links are a narrower subtype.</w:t>
            </w:r>
          </w:p>
          <w:p>
            <w:pPr>
              <w:pStyle w:val="TableText"/>
            </w:pPr>
            <w:r>
              <w:t xml:space="preserve">Use guard: Only if such material is sent; do not claim Alex has sent a malicious file.</w:t>
            </w:r>
          </w:p>
        </w:tc>
        <w:tc>
          <w:tcPr>
            <w:tcW w:w="2700" w:type="dxa"/>
            <w:vAlign w:val="center"/>
          </w:tcPr>
          <w:p>
            <w:pPr>
              <w:pStyle w:val="TableText"/>
            </w:pPr>
            <w:r>
              <w:t xml:space="preserve">S008</w:t>
            </w:r>
          </w:p>
          <w:p>
            <w:pPr>
              <w:pStyle w:val="TableText"/>
            </w:pPr>
            <w:r>
              <w:t xml:space="preserve">S008: L16</w:t>
            </w:r>
          </w:p>
        </w:tc>
      </w:tr>
      <w:tr>
        <w:trPr>
          <w:cantSplit/>
        </w:trPr>
        <w:tc>
          <w:tcPr>
            <w:tcW w:w="1100" w:type="dxa"/>
            <w:vAlign w:val="center"/>
          </w:tcPr>
          <w:p>
            <w:pPr>
              <w:pStyle w:val="TableText"/>
            </w:pPr>
            <w:r>
              <w:t xml:space="preserve">ADV0071</w:t>
            </w:r>
          </w:p>
          <w:p>
            <w:pPr>
              <w:pStyle w:val="TableText"/>
            </w:pPr>
            <w:r>
              <w:t xml:space="preserve">verification</w:t>
            </w:r>
          </w:p>
          <w:p>
            <w:pPr>
              <w:pStyle w:val="TableText"/>
            </w:pPr>
            <w:r>
              <w:t xml:space="preserve">S3</w:t>
            </w:r>
          </w:p>
        </w:tc>
        <w:tc>
          <w:tcPr>
            <w:tcW w:w="3300" w:type="dxa"/>
            <w:vAlign w:val="center"/>
          </w:tcPr>
          <w:p>
            <w:pPr>
              <w:pStyle w:val="TableText"/>
            </w:pPr>
            <w:r>
              <w:t xml:space="preserve">Treat outside dating-verification sites requesting payment details as potential subscription traps.</w:t>
            </w:r>
          </w:p>
          <w:p>
            <w:pPr>
              <w:pStyle w:val="TableText"/>
            </w:pPr>
            <w:r>
              <w:t xml:space="preserve">Function: Avoid unsafe third-party verification services</w:t>
            </w:r>
          </w:p>
        </w:tc>
        <w:tc>
          <w:tcPr>
            <w:tcW w:w="5860" w:type="dxa"/>
            <w:vAlign w:val="center"/>
          </w:tcPr>
          <w:p>
            <w:pPr>
              <w:pStyle w:val="TableText"/>
            </w:pPr>
            <w:r>
              <w:t xml:space="preserve">Conditional in all eight versions</w:t>
            </w:r>
          </w:p>
          <w:p>
            <w:pPr>
              <w:pStyle w:val="TableText"/>
            </w:pPr>
            <w:r>
              <w:t xml:space="preserve">Comparison: ADV0004, ADV0005, ADV0153</w:t>
            </w:r>
          </w:p>
          <w:p>
            <w:pPr>
              <w:pStyle w:val="TableText"/>
            </w:pPr>
            <w:r>
              <w:t xml:space="preserve">Decision: A verification-service trap can arise while pursuing recommended identity checks. Retain this safety limitation; a particular frightening sales pitch is only a subtype.</w:t>
            </w:r>
          </w:p>
          <w:p>
            <w:pPr>
              <w:pStyle w:val="TableText"/>
            </w:pPr>
            <w:r>
              <w:t xml:space="preserve">Use guard: No verification site has been suggested; do not send the recipient to a paid checker.</w:t>
            </w:r>
          </w:p>
        </w:tc>
        <w:tc>
          <w:tcPr>
            <w:tcW w:w="2700" w:type="dxa"/>
            <w:vAlign w:val="center"/>
          </w:tcPr>
          <w:p>
            <w:pPr>
              <w:pStyle w:val="TableText"/>
            </w:pPr>
            <w:r>
              <w:t xml:space="preserve">S008</w:t>
            </w:r>
          </w:p>
          <w:p>
            <w:pPr>
              <w:pStyle w:val="TableText"/>
            </w:pPr>
            <w:r>
              <w:t xml:space="preserve">S008: L11-14</w:t>
            </w:r>
          </w:p>
        </w:tc>
      </w:tr>
      <w:tr>
        <w:trPr>
          <w:cantSplit/>
        </w:trPr>
        <w:tc>
          <w:tcPr>
            <w:tcW w:w="1100" w:type="dxa"/>
            <w:vAlign w:val="center"/>
          </w:tcPr>
          <w:p>
            <w:pPr>
              <w:pStyle w:val="TableText"/>
            </w:pPr>
            <w:r>
              <w:t xml:space="preserve">ADV0079</w:t>
            </w:r>
          </w:p>
          <w:p>
            <w:pPr>
              <w:pStyle w:val="TableText"/>
            </w:pPr>
            <w:r>
              <w:t xml:space="preserve">verification</w:t>
            </w:r>
          </w:p>
          <w:p>
            <w:pPr>
              <w:pStyle w:val="TableText"/>
            </w:pPr>
            <w:r>
              <w:t xml:space="preserve">S3</w:t>
            </w:r>
          </w:p>
        </w:tc>
        <w:tc>
          <w:tcPr>
            <w:tcW w:w="3300" w:type="dxa"/>
            <w:vAlign w:val="center"/>
          </w:tcPr>
          <w:p>
            <w:pPr>
              <w:pStyle w:val="TableText"/>
            </w:pPr>
            <w:r>
              <w:t xml:space="preserve">Do not assume dating-site registration includes a criminal-background check.</w:t>
            </w:r>
          </w:p>
          <w:p>
            <w:pPr>
              <w:pStyle w:val="TableText"/>
            </w:pPr>
            <w:r>
              <w:t xml:space="preserve">Function: Limit confidence in platform membership</w:t>
            </w:r>
          </w:p>
        </w:tc>
        <w:tc>
          <w:tcPr>
            <w:tcW w:w="5860" w:type="dxa"/>
            <w:vAlign w:val="center"/>
          </w:tcPr>
          <w:p>
            <w:pPr>
              <w:pStyle w:val="TableText"/>
            </w:pPr>
            <w:r>
              <w:t xml:space="preserve">Conditional in all eight versions</w:t>
            </w:r>
          </w:p>
          <w:p>
            <w:pPr>
              <w:pStyle w:val="TableText"/>
            </w:pPr>
            <w:r>
              <w:t xml:space="preserve">Comparison: ADV0049, ADV0023</w:t>
            </w:r>
          </w:p>
          <w:p>
            <w:pPr>
              <w:pStyle w:val="TableText"/>
            </w:pPr>
            <w:r>
              <w:t xml:space="preserve">Decision: Membership and a photo badge are different potential reassurances when inspecting an existing dating profile. Retain both limitations rather than assume one caveat covers the other.</w:t>
            </w:r>
          </w:p>
          <w:p>
            <w:pPr>
              <w:pStyle w:val="TableText"/>
            </w:pPr>
            <w:r>
              <w:t xml:space="preserve">Use guard: Do not claim the actual platform performs or omits checks without evidence.</w:t>
            </w:r>
          </w:p>
        </w:tc>
        <w:tc>
          <w:tcPr>
            <w:tcW w:w="2700" w:type="dxa"/>
            <w:vAlign w:val="center"/>
          </w:tcPr>
          <w:p>
            <w:pPr>
              <w:pStyle w:val="TableText"/>
            </w:pPr>
            <w:r>
              <w:t xml:space="preserve">S009</w:t>
            </w:r>
          </w:p>
          <w:p>
            <w:pPr>
              <w:pStyle w:val="TableText"/>
            </w:pPr>
            <w:r>
              <w:t xml:space="preserve">S009: L41</w:t>
            </w:r>
          </w:p>
        </w:tc>
      </w:tr>
      <w:tr>
        <w:trPr>
          <w:cantSplit/>
        </w:trPr>
        <w:tc>
          <w:tcPr>
            <w:tcW w:w="1100" w:type="dxa"/>
            <w:vAlign w:val="center"/>
          </w:tcPr>
          <w:p>
            <w:pPr>
              <w:pStyle w:val="TableText"/>
            </w:pPr>
            <w:r>
              <w:t xml:space="preserve">ADV0080</w:t>
            </w:r>
          </w:p>
          <w:p>
            <w:pPr>
              <w:pStyle w:val="TableText"/>
            </w:pPr>
            <w:r>
              <w:t xml:space="preserve">verification</w:t>
            </w:r>
          </w:p>
          <w:p>
            <w:pPr>
              <w:pStyle w:val="TableText"/>
            </w:pPr>
            <w:r>
              <w:t xml:space="preserve">S2</w:t>
            </w:r>
          </w:p>
        </w:tc>
        <w:tc>
          <w:tcPr>
            <w:tcW w:w="3300" w:type="dxa"/>
            <w:vAlign w:val="center"/>
          </w:tcPr>
          <w:p>
            <w:pPr>
              <w:pStyle w:val="TableText"/>
            </w:pPr>
            <w:r>
              <w:t xml:space="preserve">Investigate contradictory or implausibly grand personal stories.</w:t>
            </w:r>
          </w:p>
          <w:p>
            <w:pPr>
              <w:pStyle w:val="TableText"/>
            </w:pPr>
            <w:r>
              <w:t xml:space="preserve">Function: Check inconsistencies in personal accounts</w:t>
            </w:r>
          </w:p>
        </w:tc>
        <w:tc>
          <w:tcPr>
            <w:tcW w:w="5860" w:type="dxa"/>
            <w:vAlign w:val="center"/>
          </w:tcPr>
          <w:p>
            <w:pPr>
              <w:pStyle w:val="TableText"/>
            </w:pPr>
            <w:r>
              <w:t xml:space="preserve">Conditional in all eight versions</w:t>
            </w:r>
          </w:p>
          <w:p>
            <w:pPr>
              <w:pStyle w:val="TableText"/>
            </w:pPr>
            <w:r>
              <w:t xml:space="preserve">Comparison: ADV0081, ADV0098</w:t>
            </w:r>
          </w:p>
          <w:p>
            <w:pPr>
              <w:pStyle w:val="TableText"/>
            </w:pPr>
            <w:r>
              <w:t xml:space="preserve">Decision: Substantive contradictions differ from evasive replies; a misaddressed message is one narrower inconsistency example and need not be separately prompted.</w:t>
            </w:r>
          </w:p>
          <w:p>
            <w:pPr>
              <w:pStyle w:val="TableText"/>
            </w:pPr>
            <w:r>
              <w:t xml:space="preserve">Use guard: No contradictory or grand story is currently stated; ask questions rather than inventing discrepancies.</w:t>
            </w:r>
          </w:p>
        </w:tc>
        <w:tc>
          <w:tcPr>
            <w:tcW w:w="2700" w:type="dxa"/>
            <w:vAlign w:val="center"/>
          </w:tcPr>
          <w:p>
            <w:pPr>
              <w:pStyle w:val="TableText"/>
            </w:pPr>
            <w:r>
              <w:t xml:space="preserve">S009, S021</w:t>
            </w:r>
          </w:p>
          <w:p>
            <w:pPr>
              <w:pStyle w:val="TableText"/>
            </w:pPr>
            <w:r>
              <w:t xml:space="preserve">S009: L48; S021: How to protect yourself</w:t>
            </w:r>
          </w:p>
        </w:tc>
      </w:tr>
      <w:tr>
        <w:trPr>
          <w:cantSplit/>
        </w:trPr>
        <w:tc>
          <w:tcPr>
            <w:tcW w:w="1100" w:type="dxa"/>
            <w:vAlign w:val="center"/>
          </w:tcPr>
          <w:p>
            <w:pPr>
              <w:pStyle w:val="TableText"/>
            </w:pPr>
            <w:r>
              <w:t xml:space="preserve">ADV0081</w:t>
            </w:r>
          </w:p>
          <w:p>
            <w:pPr>
              <w:pStyle w:val="TableText"/>
            </w:pPr>
            <w:r>
              <w:t xml:space="preserve">verification</w:t>
            </w:r>
          </w:p>
          <w:p>
            <w:pPr>
              <w:pStyle w:val="TableText"/>
            </w:pPr>
            <w:r>
              <w:t xml:space="preserve">S3</w:t>
            </w:r>
          </w:p>
        </w:tc>
        <w:tc>
          <w:tcPr>
            <w:tcW w:w="3300" w:type="dxa"/>
            <w:vAlign w:val="center"/>
          </w:tcPr>
          <w:p>
            <w:pPr>
              <w:pStyle w:val="TableText"/>
            </w:pPr>
            <w:r>
              <w:t xml:space="preserve">Notice evasive responses to specific identity questions.</w:t>
            </w:r>
          </w:p>
          <w:p>
            <w:pPr>
              <w:pStyle w:val="TableText"/>
            </w:pPr>
            <w:r>
              <w:t xml:space="preserve">Function: Assess evasive identity answers</w:t>
            </w:r>
          </w:p>
        </w:tc>
        <w:tc>
          <w:tcPr>
            <w:tcW w:w="5860" w:type="dxa"/>
            <w:vAlign w:val="center"/>
          </w:tcPr>
          <w:p>
            <w:pPr>
              <w:pStyle w:val="TableText"/>
            </w:pPr>
            <w:r>
              <w:t xml:space="preserve">Conditional in all eight versions</w:t>
            </w:r>
          </w:p>
          <w:p>
            <w:pPr>
              <w:pStyle w:val="TableText"/>
            </w:pPr>
            <w:r>
              <w:t xml:space="preserve">Comparison: ADV0011, ADV0015</w:t>
            </w:r>
          </w:p>
          <w:p>
            <w:pPr>
              <w:pStyle w:val="TableText"/>
            </w:pPr>
            <w:r>
              <w:t xml:space="preserve">Decision: Interprets answers to the selected questioning action; avoidance of a meeting or call is a different behavior and remains separately qualified.</w:t>
            </w:r>
          </w:p>
          <w:p>
            <w:pPr>
              <w:pStyle w:val="TableText"/>
            </w:pPr>
            <w:r>
              <w:t xml:space="preserve">Use guard: Do not call Alex evasive before such answers are described.</w:t>
            </w:r>
          </w:p>
        </w:tc>
        <w:tc>
          <w:tcPr>
            <w:tcW w:w="2700" w:type="dxa"/>
            <w:vAlign w:val="center"/>
          </w:tcPr>
          <w:p>
            <w:pPr>
              <w:pStyle w:val="TableText"/>
            </w:pPr>
            <w:r>
              <w:t xml:space="preserve">S009</w:t>
            </w:r>
          </w:p>
          <w:p>
            <w:pPr>
              <w:pStyle w:val="TableText"/>
            </w:pPr>
            <w:r>
              <w:t xml:space="preserve">S009: L49</w:t>
            </w:r>
          </w:p>
        </w:tc>
      </w:tr>
      <w:tr>
        <w:trPr>
          <w:cantSplit/>
        </w:trPr>
        <w:tc>
          <w:tcPr>
            <w:tcW w:w="1100" w:type="dxa"/>
            <w:vAlign w:val="center"/>
          </w:tcPr>
          <w:p>
            <w:pPr>
              <w:pStyle w:val="TableText"/>
            </w:pPr>
            <w:r>
              <w:t xml:space="preserve">ADV0085</w:t>
            </w:r>
          </w:p>
          <w:p>
            <w:pPr>
              <w:pStyle w:val="TableText"/>
            </w:pPr>
            <w:r>
              <w:t xml:space="preserve">privacy</w:t>
            </w:r>
          </w:p>
          <w:p>
            <w:pPr>
              <w:pStyle w:val="TableText"/>
            </w:pPr>
            <w:r>
              <w:t xml:space="preserve">S2</w:t>
            </w:r>
          </w:p>
        </w:tc>
        <w:tc>
          <w:tcPr>
            <w:tcW w:w="3300" w:type="dxa"/>
            <w:vAlign w:val="center"/>
          </w:tcPr>
          <w:p>
            <w:pPr>
              <w:pStyle w:val="TableText"/>
            </w:pPr>
            <w:r>
              <w:t xml:space="preserve">Do not disclose your financial position to an untrusted contact.</w:t>
            </w:r>
          </w:p>
          <w:p>
            <w:pPr>
              <w:pStyle w:val="TableText"/>
            </w:pPr>
            <w:r>
              <w:t xml:space="preserve">Function: Limit disclosure of financial position</w:t>
            </w:r>
          </w:p>
        </w:tc>
        <w:tc>
          <w:tcPr>
            <w:tcW w:w="5860" w:type="dxa"/>
            <w:vAlign w:val="center"/>
          </w:tcPr>
          <w:p>
            <w:pPr>
              <w:pStyle w:val="TableText"/>
            </w:pPr>
            <w:r>
              <w:t xml:space="preserve">Direct in all eight versions</w:t>
            </w:r>
          </w:p>
          <w:p>
            <w:pPr>
              <w:pStyle w:val="TableText"/>
            </w:pPr>
            <w:r>
              <w:t xml:space="preserve">Comparison: ADV0021, ADV0140</w:t>
            </w:r>
          </w:p>
          <w:p>
            <w:pPr>
              <w:pStyle w:val="TableText"/>
            </w:pPr>
            <w:r>
              <w:t xml:space="preserve">Decision: Income or wealth information is neither a payment credential nor necessarily an intimate secret; it can shape requests even without account access.</w:t>
            </w:r>
          </w:p>
          <w:p>
            <w:pPr>
              <w:pStyle w:val="TableText"/>
            </w:pPr>
            <w:r>
              <w:t xml:space="preserve">Use guard: Do not invent a disclosure or imply that Alex already knows the recipient's finances.</w:t>
            </w:r>
          </w:p>
        </w:tc>
        <w:tc>
          <w:tcPr>
            <w:tcW w:w="2700" w:type="dxa"/>
            <w:vAlign w:val="center"/>
          </w:tcPr>
          <w:p>
            <w:pPr>
              <w:pStyle w:val="TableText"/>
            </w:pPr>
            <w:r>
              <w:t xml:space="preserve">S010</w:t>
            </w:r>
          </w:p>
          <w:p>
            <w:pPr>
              <w:pStyle w:val="TableText"/>
            </w:pPr>
            <w:r>
              <w:t xml:space="preserve">S010: L20</w:t>
            </w:r>
          </w:p>
        </w:tc>
      </w:tr>
      <w:tr>
        <w:trPr>
          <w:cantSplit/>
        </w:trPr>
        <w:tc>
          <w:tcPr>
            <w:tcW w:w="1100" w:type="dxa"/>
            <w:vAlign w:val="center"/>
          </w:tcPr>
          <w:p>
            <w:pPr>
              <w:pStyle w:val="TableText"/>
            </w:pPr>
            <w:r>
              <w:t xml:space="preserve">ADV0111</w:t>
            </w:r>
          </w:p>
          <w:p>
            <w:pPr>
              <w:pStyle w:val="TableText"/>
            </w:pPr>
            <w:r>
              <w:t xml:space="preserve">relationship</w:t>
            </w:r>
          </w:p>
          <w:p>
            <w:pPr>
              <w:pStyle w:val="TableText"/>
            </w:pPr>
            <w:r>
              <w:t xml:space="preserve">S3</w:t>
            </w:r>
          </w:p>
        </w:tc>
        <w:tc>
          <w:tcPr>
            <w:tcW w:w="3300" w:type="dxa"/>
            <w:vAlign w:val="center"/>
          </w:tcPr>
          <w:p>
            <w:pPr>
              <w:pStyle w:val="TableText"/>
            </w:pPr>
            <w:r>
              <w:t xml:space="preserve">Be cautious when a stranger mirrors your interests or life experiences; apparent similarity does not establish authenticity.</w:t>
            </w:r>
          </w:p>
          <w:p>
            <w:pPr>
              <w:pStyle w:val="TableText"/>
            </w:pPr>
            <w:r>
              <w:t xml:space="preserve">Function: Limit reassurance from mirrored interests</w:t>
            </w:r>
          </w:p>
        </w:tc>
        <w:tc>
          <w:tcPr>
            <w:tcW w:w="5860" w:type="dxa"/>
            <w:vAlign w:val="center"/>
          </w:tcPr>
          <w:p>
            <w:pPr>
              <w:pStyle w:val="TableText"/>
            </w:pPr>
            <w:r>
              <w:t xml:space="preserve">Conditional in all eight versions</w:t>
            </w:r>
          </w:p>
          <w:p>
            <w:pPr>
              <w:pStyle w:val="TableText"/>
            </w:pPr>
            <w:r>
              <w:t xml:space="preserve">Comparison: ADV0011, ADV0212</w:t>
            </w:r>
          </w:p>
          <w:p>
            <w:pPr>
              <w:pStyle w:val="TableText"/>
            </w:pPr>
            <w:r>
              <w:t xml:space="preserve">Decision: The case includes reciprocal discussion of lives and experiences. Similarity is not authenticity evidence; this caveat adds a relational reassurance limit without asserting deliberate mirroring.</w:t>
            </w:r>
          </w:p>
          <w:p>
            <w:pPr>
              <w:pStyle w:val="TableText"/>
            </w:pPr>
            <w:r>
              <w:t xml:space="preserve">Use guard: Do not claim Alex copied interests or supplied a false life story.</w:t>
            </w:r>
          </w:p>
        </w:tc>
        <w:tc>
          <w:tcPr>
            <w:tcW w:w="2700" w:type="dxa"/>
            <w:vAlign w:val="center"/>
          </w:tcPr>
          <w:p>
            <w:pPr>
              <w:pStyle w:val="TableText"/>
            </w:pPr>
            <w:r>
              <w:t xml:space="preserve">S014, S019</w:t>
            </w:r>
          </w:p>
          <w:p>
            <w:pPr>
              <w:pStyle w:val="TableText"/>
            </w:pPr>
            <w:r>
              <w:t xml:space="preserve">S014: L55; S019: L265</w:t>
            </w:r>
          </w:p>
        </w:tc>
      </w:tr>
      <w:tr>
        <w:trPr>
          <w:cantSplit/>
        </w:trPr>
        <w:tc>
          <w:tcPr>
            <w:tcW w:w="1100" w:type="dxa"/>
            <w:vAlign w:val="center"/>
          </w:tcPr>
          <w:p>
            <w:pPr>
              <w:pStyle w:val="TableText"/>
            </w:pPr>
            <w:r>
              <w:t xml:space="preserve">ADV0121</w:t>
            </w:r>
          </w:p>
          <w:p>
            <w:pPr>
              <w:pStyle w:val="TableText"/>
            </w:pPr>
            <w:r>
              <w:t xml:space="preserve">privacy</w:t>
            </w:r>
          </w:p>
          <w:p>
            <w:pPr>
              <w:pStyle w:val="TableText"/>
            </w:pPr>
            <w:r>
              <w:t xml:space="preserve">S2</w:t>
            </w:r>
          </w:p>
        </w:tc>
        <w:tc>
          <w:tcPr>
            <w:tcW w:w="3300" w:type="dxa"/>
            <w:vAlign w:val="center"/>
          </w:tcPr>
          <w:p>
            <w:pPr>
              <w:pStyle w:val="TableText"/>
            </w:pPr>
            <w:r>
              <w:t xml:space="preserve">Keep your bank login credentials private, including from romantic contacts.</w:t>
            </w:r>
          </w:p>
          <w:p>
            <w:pPr>
              <w:pStyle w:val="TableText"/>
            </w:pPr>
            <w:r>
              <w:t xml:space="preserve">Function: Protect bank login credentials</w:t>
            </w:r>
          </w:p>
        </w:tc>
        <w:tc>
          <w:tcPr>
            <w:tcW w:w="5860" w:type="dxa"/>
            <w:vAlign w:val="center"/>
          </w:tcPr>
          <w:p>
            <w:pPr>
              <w:pStyle w:val="TableText"/>
            </w:pPr>
            <w:r>
              <w:t xml:space="preserve">Direct in all eight versions</w:t>
            </w:r>
          </w:p>
          <w:p>
            <w:pPr>
              <w:pStyle w:val="TableText"/>
            </w:pPr>
            <w:r>
              <w:t xml:space="preserve">Comparison: ADV0021, ADV0278</w:t>
            </w:r>
          </w:p>
          <w:p>
            <w:pPr>
              <w:pStyle w:val="TableText"/>
            </w:pPr>
            <w:r>
              <w:t xml:space="preserve">Decision: Login credentials enable access and should not be assumed fully represented by a warning about banking/card information. Add explicit credential coverage alongside one-time codes.</w:t>
            </w:r>
          </w:p>
          <w:p>
            <w:pPr>
              <w:pStyle w:val="TableText"/>
            </w:pPr>
            <w:r>
              <w:t xml:space="preserve">Use guard: Keep the original entry in the pool; no credential request or compromise is assumed.</w:t>
            </w:r>
          </w:p>
        </w:tc>
        <w:tc>
          <w:tcPr>
            <w:tcW w:w="2700" w:type="dxa"/>
            <w:vAlign w:val="center"/>
          </w:tcPr>
          <w:p>
            <w:pPr>
              <w:pStyle w:val="TableText"/>
            </w:pPr>
            <w:r>
              <w:t xml:space="preserve">S016, S018</w:t>
            </w:r>
          </w:p>
          <w:p>
            <w:pPr>
              <w:pStyle w:val="TableText"/>
            </w:pPr>
            <w:r>
              <w:t xml:space="preserve">S016: Search full-text: precaution 4; S018: L70</w:t>
            </w:r>
          </w:p>
        </w:tc>
      </w:tr>
      <w:tr>
        <w:trPr>
          <w:cantSplit/>
        </w:trPr>
        <w:tc>
          <w:tcPr>
            <w:tcW w:w="1100" w:type="dxa"/>
            <w:vAlign w:val="center"/>
          </w:tcPr>
          <w:p>
            <w:pPr>
              <w:pStyle w:val="TableText"/>
            </w:pPr>
            <w:r>
              <w:t xml:space="preserve">ADV0122</w:t>
            </w:r>
          </w:p>
          <w:p>
            <w:pPr>
              <w:pStyle w:val="TableText"/>
            </w:pPr>
            <w:r>
              <w:t xml:space="preserve">relationship</w:t>
            </w:r>
          </w:p>
          <w:p>
            <w:pPr>
              <w:pStyle w:val="TableText"/>
            </w:pPr>
            <w:r>
              <w:t xml:space="preserve">S1</w:t>
            </w:r>
          </w:p>
        </w:tc>
        <w:tc>
          <w:tcPr>
            <w:tcW w:w="3300" w:type="dxa"/>
            <w:vAlign w:val="center"/>
          </w:tcPr>
          <w:p>
            <w:pPr>
              <w:pStyle w:val="TableText"/>
            </w:pPr>
            <w:r>
              <w:t xml:space="preserve">Pause emotional or pressured decisions before sending money or sharing personal information.</w:t>
            </w:r>
          </w:p>
          <w:p>
            <w:pPr>
              <w:pStyle w:val="TableText"/>
            </w:pPr>
            <w:r>
              <w:t xml:space="preserve">Function: Pause emotionally pressured decisions</w:t>
            </w:r>
          </w:p>
        </w:tc>
        <w:tc>
          <w:tcPr>
            <w:tcW w:w="5860" w:type="dxa"/>
            <w:vAlign w:val="center"/>
          </w:tcPr>
          <w:p>
            <w:pPr>
              <w:pStyle w:val="TableText"/>
            </w:pPr>
            <w:r>
              <w:t xml:space="preserve">Direct in all eight versions</w:t>
            </w:r>
          </w:p>
          <w:p>
            <w:pPr>
              <w:pStyle w:val="TableText"/>
            </w:pPr>
            <w:r>
              <w:t xml:space="preserve">Comparison: ADV0044, ADV0143</w:t>
            </w:r>
          </w:p>
          <w:p>
            <w:pPr>
              <w:pStyle w:val="TableText"/>
            </w:pPr>
            <w:r>
              <w:t xml:space="preserve">Decision: Covers reflection before both financial and personal-information choices; pausing an ongoing conversation is an additional interaction-level option.</w:t>
            </w:r>
          </w:p>
          <w:p>
            <w:pPr>
              <w:pStyle w:val="TableText"/>
            </w:pPr>
            <w:r>
              <w:t xml:space="preserve">Use guard: Refer to a future financial decision when no money request is stated.</w:t>
            </w:r>
          </w:p>
        </w:tc>
        <w:tc>
          <w:tcPr>
            <w:tcW w:w="2700" w:type="dxa"/>
            <w:vAlign w:val="center"/>
          </w:tcPr>
          <w:p>
            <w:pPr>
              <w:pStyle w:val="TableText"/>
            </w:pPr>
            <w:r>
              <w:t xml:space="preserve">S017, S018, S021</w:t>
            </w:r>
          </w:p>
          <w:p>
            <w:pPr>
              <w:pStyle w:val="TableText"/>
            </w:pPr>
            <w:r>
              <w:t xml:space="preserve">S017: L32; S018: L58; S021: STOP</w:t>
            </w:r>
          </w:p>
        </w:tc>
      </w:tr>
      <w:tr>
        <w:trPr>
          <w:cantSplit/>
        </w:trPr>
        <w:tc>
          <w:tcPr>
            <w:tcW w:w="1100" w:type="dxa"/>
            <w:vAlign w:val="center"/>
          </w:tcPr>
          <w:p>
            <w:pPr>
              <w:pStyle w:val="TableText"/>
            </w:pPr>
            <w:r>
              <w:t xml:space="preserve">ADV0134</w:t>
            </w:r>
          </w:p>
          <w:p>
            <w:pPr>
              <w:pStyle w:val="TableText"/>
            </w:pPr>
            <w:r>
              <w:t xml:space="preserve">money</w:t>
            </w:r>
          </w:p>
          <w:p>
            <w:pPr>
              <w:pStyle w:val="TableText"/>
            </w:pPr>
            <w:r>
              <w:t xml:space="preserve">S3</w:t>
            </w:r>
          </w:p>
        </w:tc>
        <w:tc>
          <w:tcPr>
            <w:tcW w:w="3300" w:type="dxa"/>
            <w:vAlign w:val="center"/>
          </w:tcPr>
          <w:p>
            <w:pPr>
              <w:pStyle w:val="TableText"/>
            </w:pPr>
            <w:r>
              <w:t xml:space="preserve">Watch for small financial favors that gradually become larger demands.</w:t>
            </w:r>
          </w:p>
          <w:p>
            <w:pPr>
              <w:pStyle w:val="TableText"/>
            </w:pPr>
            <w:r>
              <w:t xml:space="preserve">Function: Monitor escalation of financial demands</w:t>
            </w:r>
          </w:p>
        </w:tc>
        <w:tc>
          <w:tcPr>
            <w:tcW w:w="5860" w:type="dxa"/>
            <w:vAlign w:val="center"/>
          </w:tcPr>
          <w:p>
            <w:pPr>
              <w:pStyle w:val="TableText"/>
            </w:pPr>
            <w:r>
              <w:t xml:space="preserve">Conditional in all eight versions</w:t>
            </w:r>
          </w:p>
          <w:p>
            <w:pPr>
              <w:pStyle w:val="TableText"/>
            </w:pPr>
            <w:r>
              <w:t xml:space="preserve">Comparison: ADV0001, ADV0044</w:t>
            </w:r>
          </w:p>
          <w:p>
            <w:pPr>
              <w:pStyle w:val="TableText"/>
            </w:pPr>
            <w:r>
              <w:t xml:space="preserve">Decision: A sequence of requests adds temporal information beyond assessing one request. Use prospectively and do not invent prior payments or an existing escalation.</w:t>
            </w:r>
          </w:p>
          <w:p>
            <w:pPr>
              <w:pStyle w:val="TableText"/>
            </w:pPr>
            <w:r>
              <w:t xml:space="preserve">Use guard: The scenario has at most one request; do not claim repeated or increasing demands already occurred.</w:t>
            </w:r>
          </w:p>
        </w:tc>
        <w:tc>
          <w:tcPr>
            <w:tcW w:w="2700" w:type="dxa"/>
            <w:vAlign w:val="center"/>
          </w:tcPr>
          <w:p>
            <w:pPr>
              <w:pStyle w:val="TableText"/>
            </w:pPr>
            <w:r>
              <w:t xml:space="preserve">S018</w:t>
            </w:r>
          </w:p>
          <w:p>
            <w:pPr>
              <w:pStyle w:val="TableText"/>
            </w:pPr>
            <w:r>
              <w:t xml:space="preserve">S018: L29</w:t>
            </w:r>
          </w:p>
        </w:tc>
      </w:tr>
      <w:tr>
        <w:trPr>
          <w:cantSplit/>
        </w:trPr>
        <w:tc>
          <w:tcPr>
            <w:tcW w:w="1100" w:type="dxa"/>
            <w:vAlign w:val="center"/>
          </w:tcPr>
          <w:p>
            <w:pPr>
              <w:pStyle w:val="TableText"/>
            </w:pPr>
            <w:r>
              <w:t xml:space="preserve">ADV0137</w:t>
            </w:r>
          </w:p>
          <w:p>
            <w:pPr>
              <w:pStyle w:val="TableText"/>
            </w:pPr>
            <w:r>
              <w:t xml:space="preserve">verification</w:t>
            </w:r>
          </w:p>
          <w:p>
            <w:pPr>
              <w:pStyle w:val="TableText"/>
            </w:pPr>
            <w:r>
              <w:t xml:space="preserve">S2</w:t>
            </w:r>
          </w:p>
        </w:tc>
        <w:tc>
          <w:tcPr>
            <w:tcW w:w="3300" w:type="dxa"/>
            <w:vAlign w:val="center"/>
          </w:tcPr>
          <w:p>
            <w:pPr>
              <w:pStyle w:val="TableText"/>
            </w:pPr>
            <w:r>
              <w:t xml:space="preserve">Compare activity across the person's claimed social accounts and mutual connections.</w:t>
            </w:r>
          </w:p>
          <w:p>
            <w:pPr>
              <w:pStyle w:val="TableText"/>
            </w:pPr>
            <w:r>
              <w:t xml:space="preserve">Function: Cross-check public accounts and connections</w:t>
            </w:r>
          </w:p>
        </w:tc>
        <w:tc>
          <w:tcPr>
            <w:tcW w:w="5860" w:type="dxa"/>
            <w:vAlign w:val="center"/>
          </w:tcPr>
          <w:p>
            <w:pPr>
              <w:pStyle w:val="TableText"/>
            </w:pPr>
            <w:r>
              <w:t xml:space="preserve">Conditional in all eight versions</w:t>
            </w:r>
          </w:p>
          <w:p>
            <w:pPr>
              <w:pStyle w:val="TableText"/>
            </w:pPr>
            <w:r>
              <w:t xml:space="preserve">Comparison: ADV0182, ADV0257</w:t>
            </w:r>
          </w:p>
          <w:p>
            <w:pPr>
              <w:pStyle w:val="TableText"/>
            </w:pPr>
            <w:r>
              <w:t xml:space="preserve">Decision: Cross-account information adds a checking method beyond one profile. Retain both limitations: mutual connections and coordinated messages are not independent authentication.</w:t>
            </w:r>
          </w:p>
          <w:p>
            <w:pPr>
              <w:pStyle w:val="TableText"/>
            </w:pPr>
            <w:r>
              <w:t xml:space="preserve">Use guard: Do not invent additional accounts or mutual contacts; use only available information.</w:t>
            </w:r>
          </w:p>
        </w:tc>
        <w:tc>
          <w:tcPr>
            <w:tcW w:w="2700" w:type="dxa"/>
            <w:vAlign w:val="center"/>
          </w:tcPr>
          <w:p>
            <w:pPr>
              <w:pStyle w:val="TableText"/>
            </w:pPr>
            <w:r>
              <w:t xml:space="preserve">S019</w:t>
            </w:r>
          </w:p>
          <w:p>
            <w:pPr>
              <w:pStyle w:val="TableText"/>
            </w:pPr>
            <w:r>
              <w:t xml:space="preserve">S019: L259</w:t>
            </w:r>
          </w:p>
        </w:tc>
      </w:tr>
      <w:tr>
        <w:trPr>
          <w:cantSplit/>
        </w:trPr>
        <w:tc>
          <w:tcPr>
            <w:tcW w:w="1100" w:type="dxa"/>
            <w:vAlign w:val="center"/>
          </w:tcPr>
          <w:p>
            <w:pPr>
              <w:pStyle w:val="TableText"/>
            </w:pPr>
            <w:r>
              <w:t xml:space="preserve">ADV0140</w:t>
            </w:r>
          </w:p>
          <w:p>
            <w:pPr>
              <w:pStyle w:val="TableText"/>
            </w:pPr>
            <w:r>
              <w:t xml:space="preserve">privacy</w:t>
            </w:r>
          </w:p>
          <w:p>
            <w:pPr>
              <w:pStyle w:val="TableText"/>
            </w:pPr>
            <w:r>
              <w:t xml:space="preserve">S2</w:t>
            </w:r>
          </w:p>
        </w:tc>
        <w:tc>
          <w:tcPr>
            <w:tcW w:w="3300" w:type="dxa"/>
            <w:vAlign w:val="center"/>
          </w:tcPr>
          <w:p>
            <w:pPr>
              <w:pStyle w:val="TableText"/>
            </w:pPr>
            <w:r>
              <w:t xml:space="preserve">Avoid revealing secrets that could become blackmail material.</w:t>
            </w:r>
          </w:p>
          <w:p>
            <w:pPr>
              <w:pStyle w:val="TableText"/>
            </w:pPr>
            <w:r>
              <w:t xml:space="preserve">Function: Protect private sensitive disclosures</w:t>
            </w:r>
          </w:p>
        </w:tc>
        <w:tc>
          <w:tcPr>
            <w:tcW w:w="5860" w:type="dxa"/>
            <w:vAlign w:val="center"/>
          </w:tcPr>
          <w:p>
            <w:pPr>
              <w:pStyle w:val="TableText"/>
            </w:pPr>
            <w:r>
              <w:t xml:space="preserve">Direct in all eight versions</w:t>
            </w:r>
          </w:p>
          <w:p>
            <w:pPr>
              <w:pStyle w:val="TableText"/>
            </w:pPr>
            <w:r>
              <w:t xml:space="preserve">Comparison: ADV0010, ADV0014</w:t>
            </w:r>
          </w:p>
          <w:p>
            <w:pPr>
              <w:pStyle w:val="TableText"/>
            </w:pPr>
            <w:r>
              <w:t xml:space="preserve">Decision: Private verbal secrets are not fully represented by public-profile limits or intimate-media boundaries. Add this distinct information category without inventing blackmail.</w:t>
            </w:r>
          </w:p>
          <w:p>
            <w:pPr>
              <w:pStyle w:val="TableText"/>
            </w:pPr>
            <w:r>
              <w:t xml:space="preserve">Use guard: Do not imply blackmail, existing secrets shared, or a threat from Alex.</w:t>
            </w:r>
          </w:p>
        </w:tc>
        <w:tc>
          <w:tcPr>
            <w:tcW w:w="2700" w:type="dxa"/>
            <w:vAlign w:val="center"/>
          </w:tcPr>
          <w:p>
            <w:pPr>
              <w:pStyle w:val="TableText"/>
            </w:pPr>
            <w:r>
              <w:t xml:space="preserve">S019</w:t>
            </w:r>
          </w:p>
          <w:p>
            <w:pPr>
              <w:pStyle w:val="TableText"/>
            </w:pPr>
            <w:r>
              <w:t xml:space="preserve">S019: L278-280</w:t>
            </w:r>
          </w:p>
        </w:tc>
      </w:tr>
      <w:tr>
        <w:trPr>
          <w:cantSplit/>
        </w:trPr>
        <w:tc>
          <w:tcPr>
            <w:tcW w:w="1100" w:type="dxa"/>
            <w:vAlign w:val="center"/>
          </w:tcPr>
          <w:p>
            <w:pPr>
              <w:pStyle w:val="TableText"/>
            </w:pPr>
            <w:r>
              <w:t xml:space="preserve">ADV0143</w:t>
            </w:r>
          </w:p>
          <w:p>
            <w:pPr>
              <w:pStyle w:val="TableText"/>
            </w:pPr>
            <w:r>
              <w:t xml:space="preserve">relationship</w:t>
            </w:r>
          </w:p>
          <w:p>
            <w:pPr>
              <w:pStyle w:val="TableText"/>
            </w:pPr>
            <w:r>
              <w:t xml:space="preserve">S1</w:t>
            </w:r>
          </w:p>
        </w:tc>
        <w:tc>
          <w:tcPr>
            <w:tcW w:w="3300" w:type="dxa"/>
            <w:vAlign w:val="center"/>
          </w:tcPr>
          <w:p>
            <w:pPr>
              <w:pStyle w:val="TableText"/>
            </w:pPr>
            <w:r>
              <w:t xml:space="preserve">Pause uncomfortable conversations while checking identity and warning signs.</w:t>
            </w:r>
          </w:p>
          <w:p>
            <w:pPr>
              <w:pStyle w:val="TableText"/>
            </w:pPr>
            <w:r>
              <w:t xml:space="preserve">Function: Pause an uncomfortable conversation</w:t>
            </w:r>
          </w:p>
        </w:tc>
        <w:tc>
          <w:tcPr>
            <w:tcW w:w="5860" w:type="dxa"/>
            <w:vAlign w:val="center"/>
          </w:tcPr>
          <w:p>
            <w:pPr>
              <w:pStyle w:val="TableText"/>
            </w:pPr>
            <w:r>
              <w:t xml:space="preserve">Direct in all eight versions</w:t>
            </w:r>
          </w:p>
          <w:p>
            <w:pPr>
              <w:pStyle w:val="TableText"/>
            </w:pPr>
            <w:r>
              <w:t xml:space="preserve">Comparison: ADV0057, ADV0122</w:t>
            </w:r>
          </w:p>
          <w:p>
            <w:pPr>
              <w:pStyle w:val="TableText"/>
            </w:pPr>
            <w:r>
              <w:t xml:space="preserve">Decision: Provides an immediate communication action, especially for pressure to stay online; decision reflection alone does not explicitly authorize ending the current conversation.</w:t>
            </w:r>
          </w:p>
          <w:p>
            <w:pPr>
              <w:pStyle w:val="TableText"/>
            </w:pPr>
            <w:r>
              <w:t xml:space="preserve">Use guard: Pausing need not mean ending the relationship; high urgency concerns staying online, not a payment deadline.</w:t>
            </w:r>
          </w:p>
        </w:tc>
        <w:tc>
          <w:tcPr>
            <w:tcW w:w="2700" w:type="dxa"/>
            <w:vAlign w:val="center"/>
          </w:tcPr>
          <w:p>
            <w:pPr>
              <w:pStyle w:val="TableText"/>
            </w:pPr>
            <w:r>
              <w:t xml:space="preserve">S019</w:t>
            </w:r>
          </w:p>
          <w:p>
            <w:pPr>
              <w:pStyle w:val="TableText"/>
            </w:pPr>
            <w:r>
              <w:t xml:space="preserve">S019: L309</w:t>
            </w:r>
          </w:p>
        </w:tc>
      </w:tr>
      <w:tr>
        <w:trPr>
          <w:cantSplit/>
        </w:trPr>
        <w:tc>
          <w:tcPr>
            <w:tcW w:w="1100" w:type="dxa"/>
            <w:vAlign w:val="center"/>
          </w:tcPr>
          <w:p>
            <w:pPr>
              <w:pStyle w:val="TableText"/>
            </w:pPr>
            <w:r>
              <w:t xml:space="preserve">ADV0153</w:t>
            </w:r>
          </w:p>
          <w:p>
            <w:pPr>
              <w:pStyle w:val="TableText"/>
            </w:pPr>
            <w:r>
              <w:t xml:space="preserve">verification</w:t>
            </w:r>
          </w:p>
          <w:p>
            <w:pPr>
              <w:pStyle w:val="TableText"/>
            </w:pPr>
            <w:r>
              <w:t xml:space="preserve">S2</w:t>
            </w:r>
          </w:p>
        </w:tc>
        <w:tc>
          <w:tcPr>
            <w:tcW w:w="3300" w:type="dxa"/>
            <w:vAlign w:val="center"/>
          </w:tcPr>
          <w:p>
            <w:pPr>
              <w:pStyle w:val="TableText"/>
            </w:pPr>
            <w:r>
              <w:t xml:space="preserve">Consider a voice or video conversation as one screening step before meeting.</w:t>
            </w:r>
          </w:p>
          <w:p>
            <w:pPr>
              <w:pStyle w:val="TableText"/>
            </w:pPr>
            <w:r>
              <w:t xml:space="preserve">Function: Consider a live conversation</w:t>
            </w:r>
          </w:p>
        </w:tc>
        <w:tc>
          <w:tcPr>
            <w:tcW w:w="5860" w:type="dxa"/>
            <w:vAlign w:val="center"/>
          </w:tcPr>
          <w:p>
            <w:pPr>
              <w:pStyle w:val="TableText"/>
            </w:pPr>
            <w:r>
              <w:t xml:space="preserve">Direct in all eight versions</w:t>
            </w:r>
          </w:p>
          <w:p>
            <w:pPr>
              <w:pStyle w:val="TableText"/>
            </w:pPr>
            <w:r>
              <w:t xml:space="preserve">Comparison: ADV0050, ADV0241</w:t>
            </w:r>
          </w:p>
          <w:p>
            <w:pPr>
              <w:pStyle w:val="TableText"/>
            </w:pPr>
            <w:r>
              <w:t xml:space="preserve">Decision: Provides a contact-check option before the contemplated first meeting; retain privacy-preserving implementation and limits against treating video as proof.</w:t>
            </w:r>
          </w:p>
          <w:p>
            <w:pPr>
              <w:pStyle w:val="TableText"/>
            </w:pPr>
            <w:r>
              <w:t xml:space="preserve">Use guard: Do not require identity documents, assume a refusal, or promise that a call proves identity.</w:t>
            </w:r>
          </w:p>
        </w:tc>
        <w:tc>
          <w:tcPr>
            <w:tcW w:w="2700" w:type="dxa"/>
            <w:vAlign w:val="center"/>
          </w:tcPr>
          <w:p>
            <w:pPr>
              <w:pStyle w:val="TableText"/>
            </w:pPr>
            <w:r>
              <w:t xml:space="preserve">S022</w:t>
            </w:r>
          </w:p>
          <w:p>
            <w:pPr>
              <w:pStyle w:val="TableText"/>
            </w:pPr>
            <w:r>
              <w:t xml:space="preserve">S022: L56-57</w:t>
            </w:r>
          </w:p>
        </w:tc>
      </w:tr>
      <w:tr>
        <w:trPr>
          <w:cantSplit/>
        </w:trPr>
        <w:tc>
          <w:tcPr>
            <w:tcW w:w="1100" w:type="dxa"/>
            <w:vAlign w:val="center"/>
          </w:tcPr>
          <w:p>
            <w:pPr>
              <w:pStyle w:val="TableText"/>
            </w:pPr>
            <w:r>
              <w:t xml:space="preserve">ADV0154</w:t>
            </w:r>
          </w:p>
          <w:p>
            <w:pPr>
              <w:pStyle w:val="TableText"/>
            </w:pPr>
            <w:r>
              <w:t xml:space="preserve">meeting</w:t>
            </w:r>
          </w:p>
          <w:p>
            <w:pPr>
              <w:pStyle w:val="TableText"/>
            </w:pPr>
            <w:r>
              <w:t xml:space="preserve">S2</w:t>
            </w:r>
          </w:p>
        </w:tc>
        <w:tc>
          <w:tcPr>
            <w:tcW w:w="3300" w:type="dxa"/>
            <w:vAlign w:val="center"/>
          </w:tcPr>
          <w:p>
            <w:pPr>
              <w:pStyle w:val="TableText"/>
            </w:pPr>
            <w:r>
              <w:t xml:space="preserve">Arrange an initial meeting in a populated public place.</w:t>
            </w:r>
          </w:p>
          <w:p>
            <w:pPr>
              <w:pStyle w:val="TableText"/>
            </w:pPr>
            <w:r>
              <w:t xml:space="preserve">Function: Choose a public first-meeting venue</w:t>
            </w:r>
          </w:p>
        </w:tc>
        <w:tc>
          <w:tcPr>
            <w:tcW w:w="5860" w:type="dxa"/>
            <w:vAlign w:val="center"/>
          </w:tcPr>
          <w:p>
            <w:pPr>
              <w:pStyle w:val="TableText"/>
            </w:pPr>
            <w:r>
              <w:t xml:space="preserve">Conditional in all eight versions</w:t>
            </w:r>
          </w:p>
          <w:p>
            <w:pPr>
              <w:pStyle w:val="TableText"/>
            </w:pPr>
            <w:r>
              <w:t xml:space="preserve">Comparison: ADV0156, ADV0158</w:t>
            </w:r>
          </w:p>
          <w:p>
            <w:pPr>
              <w:pStyle w:val="TableText"/>
            </w:pPr>
            <w:r>
              <w:t xml:space="preserve">Decision: Venue exposure, trusted-person notification and ability to leave serve distinct functions; retain all three rather than use broad meeting coverage as a substitution claim.</w:t>
            </w:r>
          </w:p>
          <w:p>
            <w:pPr>
              <w:pStyle w:val="TableText"/>
            </w:pPr>
            <w:r>
              <w:t xml:space="preserve">Use guard: Only if a meeting is arranged; no date, location, or travel plan currently exists.</w:t>
            </w:r>
          </w:p>
        </w:tc>
        <w:tc>
          <w:tcPr>
            <w:tcW w:w="2700" w:type="dxa"/>
            <w:vAlign w:val="center"/>
          </w:tcPr>
          <w:p>
            <w:pPr>
              <w:pStyle w:val="TableText"/>
            </w:pPr>
            <w:r>
              <w:t xml:space="preserve">S022</w:t>
            </w:r>
          </w:p>
          <w:p>
            <w:pPr>
              <w:pStyle w:val="TableText"/>
            </w:pPr>
            <w:r>
              <w:t xml:space="preserve">S022: L59-60</w:t>
            </w:r>
          </w:p>
        </w:tc>
      </w:tr>
      <w:tr>
        <w:trPr>
          <w:cantSplit/>
        </w:trPr>
        <w:tc>
          <w:tcPr>
            <w:tcW w:w="1100" w:type="dxa"/>
            <w:vAlign w:val="center"/>
          </w:tcPr>
          <w:p>
            <w:pPr>
              <w:pStyle w:val="TableText"/>
            </w:pPr>
            <w:r>
              <w:t xml:space="preserve">ADV0155</w:t>
            </w:r>
          </w:p>
          <w:p>
            <w:pPr>
              <w:pStyle w:val="TableText"/>
            </w:pPr>
            <w:r>
              <w:t xml:space="preserve">meeting</w:t>
            </w:r>
          </w:p>
          <w:p>
            <w:pPr>
              <w:pStyle w:val="TableText"/>
            </w:pPr>
            <w:r>
              <w:t xml:space="preserve">S3</w:t>
            </w:r>
          </w:p>
        </w:tc>
        <w:tc>
          <w:tcPr>
            <w:tcW w:w="3300" w:type="dxa"/>
            <w:vAlign w:val="center"/>
          </w:tcPr>
          <w:p>
            <w:pPr>
              <w:pStyle w:val="TableText"/>
            </w:pPr>
            <w:r>
              <w:t xml:space="preserve">Leave an uncomfortable date, including pressure to move somewhere private; seek venue staff help if needed.</w:t>
            </w:r>
          </w:p>
          <w:p>
            <w:pPr>
              <w:pStyle w:val="TableText"/>
            </w:pPr>
            <w:r>
              <w:t xml:space="preserve">Function: Leave an uncomfortable in-person encounter</w:t>
            </w:r>
          </w:p>
        </w:tc>
        <w:tc>
          <w:tcPr>
            <w:tcW w:w="5860" w:type="dxa"/>
            <w:vAlign w:val="center"/>
          </w:tcPr>
          <w:p>
            <w:pPr>
              <w:pStyle w:val="TableText"/>
            </w:pPr>
            <w:r>
              <w:t xml:space="preserve">Conditional in all eight versions</w:t>
            </w:r>
          </w:p>
          <w:p>
            <w:pPr>
              <w:pStyle w:val="TableText"/>
            </w:pPr>
            <w:r>
              <w:t xml:space="preserve">Comparison: ADV0154, ADV0158</w:t>
            </w:r>
          </w:p>
          <w:p>
            <w:pPr>
              <w:pStyle w:val="TableText"/>
            </w:pPr>
            <w:r>
              <w:t xml:space="preserve">Decision: Adds a response to pressure during the proposed meeting; public venue and transport are enabling precautions, not substitutes for the right to leave.</w:t>
            </w:r>
          </w:p>
          <w:p>
            <w:pPr>
              <w:pStyle w:val="TableText"/>
            </w:pPr>
            <w:r>
              <w:t xml:space="preserve">Use guard: Do not portray a coercive in-person encounter as already occurring.</w:t>
            </w:r>
          </w:p>
        </w:tc>
        <w:tc>
          <w:tcPr>
            <w:tcW w:w="2700" w:type="dxa"/>
            <w:vAlign w:val="center"/>
          </w:tcPr>
          <w:p>
            <w:pPr>
              <w:pStyle w:val="TableText"/>
            </w:pPr>
            <w:r>
              <w:t xml:space="preserve">S022</w:t>
            </w:r>
          </w:p>
          <w:p>
            <w:pPr>
              <w:pStyle w:val="TableText"/>
            </w:pPr>
            <w:r>
              <w:t xml:space="preserve">S022: L60; S022: L69-70</w:t>
            </w:r>
          </w:p>
        </w:tc>
      </w:tr>
      <w:tr>
        <w:trPr>
          <w:cantSplit/>
        </w:trPr>
        <w:tc>
          <w:tcPr>
            <w:tcW w:w="1100" w:type="dxa"/>
            <w:vAlign w:val="center"/>
          </w:tcPr>
          <w:p>
            <w:pPr>
              <w:pStyle w:val="TableText"/>
            </w:pPr>
            <w:r>
              <w:t xml:space="preserve">ADV0156</w:t>
            </w:r>
          </w:p>
          <w:p>
            <w:pPr>
              <w:pStyle w:val="TableText"/>
            </w:pPr>
            <w:r>
              <w:t xml:space="preserve">meeting</w:t>
            </w:r>
          </w:p>
          <w:p>
            <w:pPr>
              <w:pStyle w:val="TableText"/>
            </w:pPr>
            <w:r>
              <w:t xml:space="preserve">S2</w:t>
            </w:r>
          </w:p>
        </w:tc>
        <w:tc>
          <w:tcPr>
            <w:tcW w:w="3300" w:type="dxa"/>
            <w:vAlign w:val="center"/>
          </w:tcPr>
          <w:p>
            <w:pPr>
              <w:pStyle w:val="TableText"/>
            </w:pPr>
            <w:r>
              <w:t xml:space="preserve">Tell a trusted person when and where the meeting will happen.</w:t>
            </w:r>
          </w:p>
          <w:p>
            <w:pPr>
              <w:pStyle w:val="TableText"/>
            </w:pPr>
            <w:r>
              <w:t xml:space="preserve">Function: Notify a trusted person of meeting plans</w:t>
            </w:r>
          </w:p>
        </w:tc>
        <w:tc>
          <w:tcPr>
            <w:tcW w:w="5860" w:type="dxa"/>
            <w:vAlign w:val="center"/>
          </w:tcPr>
          <w:p>
            <w:pPr>
              <w:pStyle w:val="TableText"/>
            </w:pPr>
            <w:r>
              <w:t xml:space="preserve">Conditional in all eight versions</w:t>
            </w:r>
          </w:p>
          <w:p>
            <w:pPr>
              <w:pStyle w:val="TableText"/>
            </w:pPr>
            <w:r>
              <w:t xml:space="preserve">Comparison: ADV0154, ADV0158</w:t>
            </w:r>
          </w:p>
          <w:p>
            <w:pPr>
              <w:pStyle w:val="TableText"/>
            </w:pPr>
            <w:r>
              <w:t xml:space="preserve">Decision: Creates outside awareness of a meeting; it does not provide a public venue or independent exit. Retain as complementary meeting coverage.</w:t>
            </w:r>
          </w:p>
          <w:p>
            <w:pPr>
              <w:pStyle w:val="TableText"/>
            </w:pPr>
            <w:r>
              <w:t xml:space="preserve">Use guard: Only if a meeting is arranged; no existing itinerary is assumed.</w:t>
            </w:r>
          </w:p>
        </w:tc>
        <w:tc>
          <w:tcPr>
            <w:tcW w:w="2700" w:type="dxa"/>
            <w:vAlign w:val="center"/>
          </w:tcPr>
          <w:p>
            <w:pPr>
              <w:pStyle w:val="TableText"/>
            </w:pPr>
            <w:r>
              <w:t xml:space="preserve">S022</w:t>
            </w:r>
          </w:p>
          <w:p>
            <w:pPr>
              <w:pStyle w:val="TableText"/>
            </w:pPr>
            <w:r>
              <w:t xml:space="preserve">S022: L61-62</w:t>
            </w:r>
          </w:p>
        </w:tc>
      </w:tr>
      <w:tr>
        <w:trPr>
          <w:cantSplit/>
        </w:trPr>
        <w:tc>
          <w:tcPr>
            <w:tcW w:w="1100" w:type="dxa"/>
            <w:vAlign w:val="center"/>
          </w:tcPr>
          <w:p>
            <w:pPr>
              <w:pStyle w:val="TableText"/>
            </w:pPr>
            <w:r>
              <w:t xml:space="preserve">ADV0157</w:t>
            </w:r>
          </w:p>
          <w:p>
            <w:pPr>
              <w:pStyle w:val="TableText"/>
            </w:pPr>
            <w:r>
              <w:t xml:space="preserve">meeting</w:t>
            </w:r>
          </w:p>
          <w:p>
            <w:pPr>
              <w:pStyle w:val="TableText"/>
            </w:pPr>
            <w:r>
              <w:t xml:space="preserve">S3</w:t>
            </w:r>
          </w:p>
        </w:tc>
        <w:tc>
          <w:tcPr>
            <w:tcW w:w="3300" w:type="dxa"/>
            <w:vAlign w:val="center"/>
          </w:tcPr>
          <w:p>
            <w:pPr>
              <w:pStyle w:val="TableText"/>
            </w:pPr>
            <w:r>
              <w:t xml:space="preserve">Carry a charged phone when meeting an online contact.</w:t>
            </w:r>
          </w:p>
          <w:p>
            <w:pPr>
              <w:pStyle w:val="TableText"/>
            </w:pPr>
            <w:r>
              <w:t xml:space="preserve">Function: Carry a charged phone to a meeting</w:t>
            </w:r>
          </w:p>
        </w:tc>
        <w:tc>
          <w:tcPr>
            <w:tcW w:w="5860" w:type="dxa"/>
            <w:vAlign w:val="center"/>
          </w:tcPr>
          <w:p>
            <w:pPr>
              <w:pStyle w:val="TableText"/>
            </w:pPr>
            <w:r>
              <w:t xml:space="preserve">Conditional in all eight versions</w:t>
            </w:r>
          </w:p>
          <w:p>
            <w:pPr>
              <w:pStyle w:val="TableText"/>
            </w:pPr>
            <w:r>
              <w:t xml:space="preserve">Comparison: ADV0156, ADV0155</w:t>
            </w:r>
          </w:p>
          <w:p>
            <w:pPr>
              <w:pStyle w:val="TableText"/>
            </w:pPr>
            <w:r>
              <w:t xml:space="preserve">Decision: Contact capability enables the selected outside-support and exit responses. Do not reserve it merely as detail while retaining other practical meeting precautions.</w:t>
            </w:r>
          </w:p>
          <w:p>
            <w:pPr>
              <w:pStyle w:val="TableText"/>
            </w:pPr>
            <w:r>
              <w:t xml:space="preserve">Use guard: Only if meeting; secondary to the present online decision.</w:t>
            </w:r>
          </w:p>
        </w:tc>
        <w:tc>
          <w:tcPr>
            <w:tcW w:w="2700" w:type="dxa"/>
            <w:vAlign w:val="center"/>
          </w:tcPr>
          <w:p>
            <w:pPr>
              <w:pStyle w:val="TableText"/>
            </w:pPr>
            <w:r>
              <w:t xml:space="preserve">S022</w:t>
            </w:r>
          </w:p>
          <w:p>
            <w:pPr>
              <w:pStyle w:val="TableText"/>
            </w:pPr>
            <w:r>
              <w:t xml:space="preserve">S022: L62</w:t>
            </w:r>
          </w:p>
        </w:tc>
      </w:tr>
      <w:tr>
        <w:trPr>
          <w:cantSplit/>
        </w:trPr>
        <w:tc>
          <w:tcPr>
            <w:tcW w:w="1100" w:type="dxa"/>
            <w:vAlign w:val="center"/>
          </w:tcPr>
          <w:p>
            <w:pPr>
              <w:pStyle w:val="TableText"/>
            </w:pPr>
            <w:r>
              <w:t xml:space="preserve">ADV0158</w:t>
            </w:r>
          </w:p>
          <w:p>
            <w:pPr>
              <w:pStyle w:val="TableText"/>
            </w:pPr>
            <w:r>
              <w:t xml:space="preserve">meeting</w:t>
            </w:r>
          </w:p>
          <w:p>
            <w:pPr>
              <w:pStyle w:val="TableText"/>
            </w:pPr>
            <w:r>
              <w:t xml:space="preserve">S2</w:t>
            </w:r>
          </w:p>
        </w:tc>
        <w:tc>
          <w:tcPr>
            <w:tcW w:w="3300" w:type="dxa"/>
            <w:vAlign w:val="center"/>
          </w:tcPr>
          <w:p>
            <w:pPr>
              <w:pStyle w:val="TableText"/>
            </w:pPr>
            <w:r>
              <w:t xml:space="preserve">Arrange independent transport so you can leave whenever needed.</w:t>
            </w:r>
          </w:p>
          <w:p>
            <w:pPr>
              <w:pStyle w:val="TableText"/>
            </w:pPr>
            <w:r>
              <w:t xml:space="preserve">Function: Keep independent ability to leave</w:t>
            </w:r>
          </w:p>
        </w:tc>
        <w:tc>
          <w:tcPr>
            <w:tcW w:w="5860" w:type="dxa"/>
            <w:vAlign w:val="center"/>
          </w:tcPr>
          <w:p>
            <w:pPr>
              <w:pStyle w:val="TableText"/>
            </w:pPr>
            <w:r>
              <w:t xml:space="preserve">Conditional in all eight versions</w:t>
            </w:r>
          </w:p>
          <w:p>
            <w:pPr>
              <w:pStyle w:val="TableText"/>
            </w:pPr>
            <w:r>
              <w:t xml:space="preserve">Comparison: ADV0154, ADV0156</w:t>
            </w:r>
          </w:p>
          <w:p>
            <w:pPr>
              <w:pStyle w:val="TableText"/>
            </w:pPr>
            <w:r>
              <w:t xml:space="preserve">Decision: Independent transport supplies exit control absent from venue choice and notification. Add as a distinct safety function for the contemplated first meeting.</w:t>
            </w:r>
          </w:p>
          <w:p>
            <w:pPr>
              <w:pStyle w:val="TableText"/>
            </w:pPr>
            <w:r>
              <w:t xml:space="preserve">Use guard: Do not invent travel arrangements or a request for travel funding.</w:t>
            </w:r>
          </w:p>
        </w:tc>
        <w:tc>
          <w:tcPr>
            <w:tcW w:w="2700" w:type="dxa"/>
            <w:vAlign w:val="center"/>
          </w:tcPr>
          <w:p>
            <w:pPr>
              <w:pStyle w:val="TableText"/>
            </w:pPr>
            <w:r>
              <w:t xml:space="preserve">S022</w:t>
            </w:r>
          </w:p>
          <w:p>
            <w:pPr>
              <w:pStyle w:val="TableText"/>
            </w:pPr>
            <w:r>
              <w:t xml:space="preserve">S022: L63-64</w:t>
            </w:r>
          </w:p>
        </w:tc>
      </w:tr>
      <w:tr>
        <w:trPr>
          <w:cantSplit/>
        </w:trPr>
        <w:tc>
          <w:tcPr>
            <w:tcW w:w="1100" w:type="dxa"/>
            <w:vAlign w:val="center"/>
          </w:tcPr>
          <w:p>
            <w:pPr>
              <w:pStyle w:val="TableText"/>
            </w:pPr>
            <w:r>
              <w:t xml:space="preserve">ADV0182</w:t>
            </w:r>
          </w:p>
          <w:p>
            <w:pPr>
              <w:pStyle w:val="TableText"/>
            </w:pPr>
            <w:r>
              <w:t xml:space="preserve">verification</w:t>
            </w:r>
          </w:p>
          <w:p>
            <w:pPr>
              <w:pStyle w:val="TableText"/>
            </w:pPr>
            <w:r>
              <w:t xml:space="preserve">S3</w:t>
            </w:r>
          </w:p>
        </w:tc>
        <w:tc>
          <w:tcPr>
            <w:tcW w:w="3300" w:type="dxa"/>
            <w:vAlign w:val="center"/>
          </w:tcPr>
          <w:p>
            <w:pPr>
              <w:pStyle w:val="TableText"/>
            </w:pPr>
            <w:r>
              <w:t xml:space="preserve">Do not assume mutual followers prove authenticity; offenders may deliberately add your community.</w:t>
            </w:r>
          </w:p>
          <w:p>
            <w:pPr>
              <w:pStyle w:val="TableText"/>
            </w:pPr>
            <w:r>
              <w:t xml:space="preserve">Function: Limit confidence in mutual connections</w:t>
            </w:r>
          </w:p>
        </w:tc>
        <w:tc>
          <w:tcPr>
            <w:tcW w:w="5860" w:type="dxa"/>
            <w:vAlign w:val="center"/>
          </w:tcPr>
          <w:p>
            <w:pPr>
              <w:pStyle w:val="TableText"/>
            </w:pPr>
            <w:r>
              <w:t xml:space="preserve">Conditional in all eight versions</w:t>
            </w:r>
          </w:p>
          <w:p>
            <w:pPr>
              <w:pStyle w:val="TableText"/>
            </w:pPr>
            <w:r>
              <w:t xml:space="preserve">Comparison: ADV0137</w:t>
            </w:r>
          </w:p>
          <w:p>
            <w:pPr>
              <w:pStyle w:val="TableText"/>
            </w:pPr>
            <w:r>
              <w:t xml:space="preserve">Decision: A direct caveat to the selected mutual-connection check. Add it even though mutual contacts are conditional; the same availability condition applies to method and limitation.</w:t>
            </w:r>
          </w:p>
          <w:p>
            <w:pPr>
              <w:pStyle w:val="TableText"/>
            </w:pPr>
            <w:r>
              <w:t xml:space="preserve">Use guard: Do not invent mutual followers, community targeting, or a sexual context.</w:t>
            </w:r>
          </w:p>
        </w:tc>
        <w:tc>
          <w:tcPr>
            <w:tcW w:w="2700" w:type="dxa"/>
            <w:vAlign w:val="center"/>
          </w:tcPr>
          <w:p>
            <w:pPr>
              <w:pStyle w:val="TableText"/>
            </w:pPr>
            <w:r>
              <w:t xml:space="preserve">S025</w:t>
            </w:r>
          </w:p>
          <w:p>
            <w:pPr>
              <w:pStyle w:val="TableText"/>
            </w:pPr>
            <w:r>
              <w:t xml:space="preserve">S025: L257</w:t>
            </w:r>
          </w:p>
        </w:tc>
      </w:tr>
      <w:tr>
        <w:trPr>
          <w:cantSplit/>
        </w:trPr>
        <w:tc>
          <w:tcPr>
            <w:tcW w:w="1100" w:type="dxa"/>
            <w:vAlign w:val="center"/>
          </w:tcPr>
          <w:p>
            <w:pPr>
              <w:pStyle w:val="TableText"/>
            </w:pPr>
            <w:r>
              <w:t xml:space="preserve">ADV0212</w:t>
            </w:r>
          </w:p>
          <w:p>
            <w:pPr>
              <w:pStyle w:val="TableText"/>
            </w:pPr>
            <w:r>
              <w:t xml:space="preserve">verification</w:t>
            </w:r>
          </w:p>
          <w:p>
            <w:pPr>
              <w:pStyle w:val="TableText"/>
            </w:pPr>
            <w:r>
              <w:t xml:space="preserve">S1</w:t>
            </w:r>
          </w:p>
        </w:tc>
        <w:tc>
          <w:tcPr>
            <w:tcW w:w="3300" w:type="dxa"/>
            <w:vAlign w:val="center"/>
          </w:tcPr>
          <w:p>
            <w:pPr>
              <w:pStyle w:val="TableText"/>
            </w:pPr>
            <w:r>
              <w:t xml:space="preserve">Assess several warning signs together rather than treating one ambiguous cue as proof.</w:t>
            </w:r>
          </w:p>
          <w:p>
            <w:pPr>
              <w:pStyle w:val="TableText"/>
            </w:pPr>
            <w:r>
              <w:t xml:space="preserve">Function: Assess cues without a fraud verdict</w:t>
            </w:r>
          </w:p>
        </w:tc>
        <w:tc>
          <w:tcPr>
            <w:tcW w:w="5860" w:type="dxa"/>
            <w:vAlign w:val="center"/>
          </w:tcPr>
          <w:p>
            <w:pPr>
              <w:pStyle w:val="TableText"/>
            </w:pPr>
            <w:r>
              <w:t xml:space="preserve">Direct in all eight versions</w:t>
            </w:r>
          </w:p>
          <w:p>
            <w:pPr>
              <w:pStyle w:val="TableText"/>
            </w:pPr>
            <w:r>
              <w:t xml:space="preserve">Comparison: ADV0004, ADV0017</w:t>
            </w:r>
          </w:p>
          <w:p>
            <w:pPr>
              <w:pStyle w:val="TableText"/>
            </w:pPr>
            <w:r>
              <w:t xml:space="preserve">Decision: Provides the general interpretation limit for all checks and emotional cues. Specific caveats remain selected where this broad principle would not identify a particular false reassurance.</w:t>
            </w:r>
          </w:p>
          <w:p>
            <w:pPr>
              <w:pStyle w:val="TableText"/>
            </w:pPr>
            <w:r>
              <w:t xml:space="preserve">Use guard: Allow benign explanations; neither one cue nor a successful check proves safety or fraud.</w:t>
            </w:r>
          </w:p>
        </w:tc>
        <w:tc>
          <w:tcPr>
            <w:tcW w:w="2700" w:type="dxa"/>
            <w:vAlign w:val="center"/>
          </w:tcPr>
          <w:p>
            <w:pPr>
              <w:pStyle w:val="TableText"/>
            </w:pPr>
            <w:r>
              <w:t xml:space="preserve">S028, S040</w:t>
            </w:r>
          </w:p>
          <w:p>
            <w:pPr>
              <w:pStyle w:val="TableText"/>
            </w:pPr>
            <w:r>
              <w:t xml:space="preserve">S028: L99; S040: L280</w:t>
            </w:r>
          </w:p>
        </w:tc>
      </w:tr>
      <w:tr>
        <w:trPr>
          <w:cantSplit/>
        </w:trPr>
        <w:tc>
          <w:tcPr>
            <w:tcW w:w="1100" w:type="dxa"/>
            <w:vAlign w:val="center"/>
          </w:tcPr>
          <w:p>
            <w:pPr>
              <w:pStyle w:val="TableText"/>
            </w:pPr>
            <w:r>
              <w:t xml:space="preserve">ADV0239</w:t>
            </w:r>
          </w:p>
          <w:p>
            <w:pPr>
              <w:pStyle w:val="TableText"/>
            </w:pPr>
            <w:r>
              <w:t xml:space="preserve">verification</w:t>
            </w:r>
          </w:p>
          <w:p>
            <w:pPr>
              <w:pStyle w:val="TableText"/>
            </w:pPr>
            <w:r>
              <w:t xml:space="preserve">S3</w:t>
            </w:r>
          </w:p>
        </w:tc>
        <w:tc>
          <w:tcPr>
            <w:tcW w:w="3300" w:type="dxa"/>
            <w:vAlign w:val="center"/>
          </w:tcPr>
          <w:p>
            <w:pPr>
              <w:pStyle w:val="TableText"/>
            </w:pPr>
            <w:r>
              <w:t xml:space="preserve">Do not treat fluent, error-free messages as evidence that a romantic contact is genuine.</w:t>
            </w:r>
          </w:p>
          <w:p>
            <w:pPr>
              <w:pStyle w:val="TableText"/>
            </w:pPr>
            <w:r>
              <w:t xml:space="preserve">Function: Limit confidence in fluent messages</w:t>
            </w:r>
          </w:p>
        </w:tc>
        <w:tc>
          <w:tcPr>
            <w:tcW w:w="5860" w:type="dxa"/>
            <w:vAlign w:val="center"/>
          </w:tcPr>
          <w:p>
            <w:pPr>
              <w:pStyle w:val="TableText"/>
            </w:pPr>
            <w:r>
              <w:t xml:space="preserve">Direct in all eight versions</w:t>
            </w:r>
          </w:p>
          <w:p>
            <w:pPr>
              <w:pStyle w:val="TableText"/>
            </w:pPr>
            <w:r>
              <w:t xml:space="preserve">Comparison: ADV0033, ADV0212</w:t>
            </w:r>
          </w:p>
          <w:p>
            <w:pPr>
              <w:pStyle w:val="TableText"/>
            </w:pPr>
            <w:r>
              <w:t xml:space="preserve">Decision: Daily written messages are stated, and fluency may be mistaken for authenticity. This is distinct from checking copied wording or general cue combination.</w:t>
            </w:r>
          </w:p>
          <w:p>
            <w:pPr>
              <w:pStyle w:val="TableText"/>
            </w:pPr>
            <w:r>
              <w:t xml:space="preserve">Use guard: Do not characterize Alex's actual writing quality or imply AI authorship of their messages.</w:t>
            </w:r>
          </w:p>
        </w:tc>
        <w:tc>
          <w:tcPr>
            <w:tcW w:w="2700" w:type="dxa"/>
            <w:vAlign w:val="center"/>
          </w:tcPr>
          <w:p>
            <w:pPr>
              <w:pStyle w:val="TableText"/>
            </w:pPr>
            <w:r>
              <w:t xml:space="preserve">S035</w:t>
            </w:r>
          </w:p>
          <w:p>
            <w:pPr>
              <w:pStyle w:val="TableText"/>
            </w:pPr>
            <w:r>
              <w:t xml:space="preserve">S035: L13-16</w:t>
            </w:r>
          </w:p>
        </w:tc>
      </w:tr>
      <w:tr>
        <w:trPr>
          <w:cantSplit/>
        </w:trPr>
        <w:tc>
          <w:tcPr>
            <w:tcW w:w="1100" w:type="dxa"/>
            <w:vAlign w:val="center"/>
          </w:tcPr>
          <w:p>
            <w:pPr>
              <w:pStyle w:val="TableText"/>
            </w:pPr>
            <w:r>
              <w:t xml:space="preserve">ADV0240</w:t>
            </w:r>
          </w:p>
          <w:p>
            <w:pPr>
              <w:pStyle w:val="TableText"/>
            </w:pPr>
            <w:r>
              <w:t xml:space="preserve">verification</w:t>
            </w:r>
          </w:p>
          <w:p>
            <w:pPr>
              <w:pStyle w:val="TableText"/>
            </w:pPr>
            <w:r>
              <w:t xml:space="preserve">S3</w:t>
            </w:r>
          </w:p>
        </w:tc>
        <w:tc>
          <w:tcPr>
            <w:tcW w:w="3300" w:type="dxa"/>
            <w:vAlign w:val="center"/>
          </w:tcPr>
          <w:p>
            <w:pPr>
              <w:pStyle w:val="TableText"/>
            </w:pPr>
            <w:r>
              <w:t xml:space="preserve">Do not authenticate someone solely from realistic-looking photos; images can be AI-generated.</w:t>
            </w:r>
          </w:p>
          <w:p>
            <w:pPr>
              <w:pStyle w:val="TableText"/>
            </w:pPr>
            <w:r>
              <w:t xml:space="preserve">Function: Limit confidence in realistic images</w:t>
            </w:r>
          </w:p>
        </w:tc>
        <w:tc>
          <w:tcPr>
            <w:tcW w:w="5860" w:type="dxa"/>
            <w:vAlign w:val="center"/>
          </w:tcPr>
          <w:p>
            <w:pPr>
              <w:pStyle w:val="TableText"/>
            </w:pPr>
            <w:r>
              <w:t xml:space="preserve">Conditional in all eight versions</w:t>
            </w:r>
          </w:p>
          <w:p>
            <w:pPr>
              <w:pStyle w:val="TableText"/>
            </w:pPr>
            <w:r>
              <w:t xml:space="preserve">Comparison: ADV0005, ADV0049</w:t>
            </w:r>
          </w:p>
          <w:p>
            <w:pPr>
              <w:pStyle w:val="TableText"/>
            </w:pPr>
            <w:r>
              <w:t xml:space="preserve">Decision: A necessary companion to photo-based checking: realistic or nonmatching images do not establish authenticity. Badge limitations address a different reassurance.</w:t>
            </w:r>
          </w:p>
          <w:p>
            <w:pPr>
              <w:pStyle w:val="TableText"/>
            </w:pPr>
            <w:r>
              <w:t xml:space="preserve">Use guard: Do not say Alex has supplied generated images; apply only to evidence actually encountered.</w:t>
            </w:r>
          </w:p>
        </w:tc>
        <w:tc>
          <w:tcPr>
            <w:tcW w:w="2700" w:type="dxa"/>
            <w:vAlign w:val="center"/>
          </w:tcPr>
          <w:p>
            <w:pPr>
              <w:pStyle w:val="TableText"/>
            </w:pPr>
            <w:r>
              <w:t xml:space="preserve">S035, S038</w:t>
            </w:r>
          </w:p>
          <w:p>
            <w:pPr>
              <w:pStyle w:val="TableText"/>
            </w:pPr>
            <w:r>
              <w:t xml:space="preserve">S035: L21-24; S038: L71</w:t>
            </w:r>
          </w:p>
        </w:tc>
      </w:tr>
      <w:tr>
        <w:trPr>
          <w:cantSplit/>
        </w:trPr>
        <w:tc>
          <w:tcPr>
            <w:tcW w:w="1100" w:type="dxa"/>
            <w:vAlign w:val="center"/>
          </w:tcPr>
          <w:p>
            <w:pPr>
              <w:pStyle w:val="TableText"/>
            </w:pPr>
            <w:r>
              <w:t xml:space="preserve">ADV0241</w:t>
            </w:r>
          </w:p>
          <w:p>
            <w:pPr>
              <w:pStyle w:val="TableText"/>
            </w:pPr>
            <w:r>
              <w:t xml:space="preserve">verification</w:t>
            </w:r>
          </w:p>
          <w:p>
            <w:pPr>
              <w:pStyle w:val="TableText"/>
            </w:pPr>
            <w:r>
              <w:t xml:space="preserve">S3</w:t>
            </w:r>
          </w:p>
        </w:tc>
        <w:tc>
          <w:tcPr>
            <w:tcW w:w="3300" w:type="dxa"/>
            <w:vAlign w:val="center"/>
          </w:tcPr>
          <w:p>
            <w:pPr>
              <w:pStyle w:val="TableText"/>
            </w:pPr>
            <w:r>
              <w:t xml:space="preserve">Treat video chats as only one check: generated video can impersonate a real person.</w:t>
            </w:r>
          </w:p>
          <w:p>
            <w:pPr>
              <w:pStyle w:val="TableText"/>
            </w:pPr>
            <w:r>
              <w:t xml:space="preserve">Function: Limit confidence in video verification</w:t>
            </w:r>
          </w:p>
        </w:tc>
        <w:tc>
          <w:tcPr>
            <w:tcW w:w="5860" w:type="dxa"/>
            <w:vAlign w:val="center"/>
          </w:tcPr>
          <w:p>
            <w:pPr>
              <w:pStyle w:val="TableText"/>
            </w:pPr>
            <w:r>
              <w:t xml:space="preserve">Conditional in all eight versions</w:t>
            </w:r>
          </w:p>
          <w:p>
            <w:pPr>
              <w:pStyle w:val="TableText"/>
            </w:pPr>
            <w:r>
              <w:t xml:space="preserve">Comparison: ADV0153</w:t>
            </w:r>
          </w:p>
          <w:p>
            <w:pPr>
              <w:pStyle w:val="TableText"/>
            </w:pPr>
            <w:r>
              <w:t xml:space="preserve">Decision: Retain with the selected live-call option so the model cannot treat that method as conclusive identity or safety proof.</w:t>
            </w:r>
          </w:p>
          <w:p>
            <w:pPr>
              <w:pStyle w:val="TableText"/>
            </w:pPr>
            <w:r>
              <w:t xml:space="preserve">Use guard: Do not claim Alex uses deepfakes or that a successful call guarantees safety.</w:t>
            </w:r>
          </w:p>
        </w:tc>
        <w:tc>
          <w:tcPr>
            <w:tcW w:w="2700" w:type="dxa"/>
            <w:vAlign w:val="center"/>
          </w:tcPr>
          <w:p>
            <w:pPr>
              <w:pStyle w:val="TableText"/>
            </w:pPr>
            <w:r>
              <w:t xml:space="preserve">S035</w:t>
            </w:r>
          </w:p>
          <w:p>
            <w:pPr>
              <w:pStyle w:val="TableText"/>
            </w:pPr>
            <w:r>
              <w:t xml:space="preserve">S035: L38-39</w:t>
            </w:r>
          </w:p>
        </w:tc>
      </w:tr>
      <w:tr>
        <w:trPr>
          <w:cantSplit/>
        </w:trPr>
        <w:tc>
          <w:tcPr>
            <w:tcW w:w="1100" w:type="dxa"/>
            <w:vAlign w:val="center"/>
          </w:tcPr>
          <w:p>
            <w:pPr>
              <w:pStyle w:val="TableText"/>
            </w:pPr>
            <w:r>
              <w:t xml:space="preserve">ADV0257</w:t>
            </w:r>
          </w:p>
          <w:p>
            <w:pPr>
              <w:pStyle w:val="TableText"/>
            </w:pPr>
            <w:r>
              <w:t xml:space="preserve">verification</w:t>
            </w:r>
          </w:p>
          <w:p>
            <w:pPr>
              <w:pStyle w:val="TableText"/>
            </w:pPr>
            <w:r>
              <w:t xml:space="preserve">S3</w:t>
            </w:r>
          </w:p>
        </w:tc>
        <w:tc>
          <w:tcPr>
            <w:tcW w:w="3300" w:type="dxa"/>
            <w:vAlign w:val="center"/>
          </w:tcPr>
          <w:p>
            <w:pPr>
              <w:pStyle w:val="TableText"/>
            </w:pPr>
            <w:r>
              <w:t xml:space="preserve">Do not treat matching messages across several platforms as independent confirmation of identity.</w:t>
            </w:r>
          </w:p>
          <w:p>
            <w:pPr>
              <w:pStyle w:val="TableText"/>
            </w:pPr>
            <w:r>
              <w:t xml:space="preserve">Function: Limit confidence in coordinated channels</w:t>
            </w:r>
          </w:p>
        </w:tc>
        <w:tc>
          <w:tcPr>
            <w:tcW w:w="5860" w:type="dxa"/>
            <w:vAlign w:val="center"/>
          </w:tcPr>
          <w:p>
            <w:pPr>
              <w:pStyle w:val="TableText"/>
            </w:pPr>
            <w:r>
              <w:t xml:space="preserve">Conditional in all eight versions</w:t>
            </w:r>
          </w:p>
          <w:p>
            <w:pPr>
              <w:pStyle w:val="TableText"/>
            </w:pPr>
            <w:r>
              <w:t xml:space="preserve">Comparison: ADV0137, ADV0258</w:t>
            </w:r>
          </w:p>
          <w:p>
            <w:pPr>
              <w:pStyle w:val="TableText"/>
            </w:pPr>
            <w:r>
              <w:t xml:space="preserve">Decision: Companion to cross-account checks: agreement across controlled channels is not independent corroboration. Mutual connections and submitted documents require separate caveats.</w:t>
            </w:r>
          </w:p>
          <w:p>
            <w:pPr>
              <w:pStyle w:val="TableText"/>
            </w:pPr>
            <w:r>
              <w:t xml:space="preserve">Use guard: Do not invent additional channels or coordinated messages; explain a limitation of evidence.</w:t>
            </w:r>
          </w:p>
        </w:tc>
        <w:tc>
          <w:tcPr>
            <w:tcW w:w="2700" w:type="dxa"/>
            <w:vAlign w:val="center"/>
          </w:tcPr>
          <w:p>
            <w:pPr>
              <w:pStyle w:val="TableText"/>
            </w:pPr>
            <w:r>
              <w:t xml:space="preserve">S038</w:t>
            </w:r>
          </w:p>
          <w:p>
            <w:pPr>
              <w:pStyle w:val="TableText"/>
            </w:pPr>
            <w:r>
              <w:t xml:space="preserve">S038: L29</w:t>
            </w:r>
          </w:p>
        </w:tc>
      </w:tr>
      <w:tr>
        <w:trPr>
          <w:cantSplit/>
        </w:trPr>
        <w:tc>
          <w:tcPr>
            <w:tcW w:w="1100" w:type="dxa"/>
            <w:vAlign w:val="center"/>
          </w:tcPr>
          <w:p>
            <w:pPr>
              <w:pStyle w:val="TableText"/>
            </w:pPr>
            <w:r>
              <w:t xml:space="preserve">ADV0258</w:t>
            </w:r>
          </w:p>
          <w:p>
            <w:pPr>
              <w:pStyle w:val="TableText"/>
            </w:pPr>
            <w:r>
              <w:t xml:space="preserve">verification</w:t>
            </w:r>
          </w:p>
          <w:p>
            <w:pPr>
              <w:pStyle w:val="TableText"/>
            </w:pPr>
            <w:r>
              <w:t xml:space="preserve">S3</w:t>
            </w:r>
          </w:p>
        </w:tc>
        <w:tc>
          <w:tcPr>
            <w:tcW w:w="3300" w:type="dxa"/>
            <w:vAlign w:val="center"/>
          </w:tcPr>
          <w:p>
            <w:pPr>
              <w:pStyle w:val="TableText"/>
            </w:pPr>
            <w:r>
              <w:t xml:space="preserve">Independently check evidence offered to answer your doubts; scammers can tailor fabricated reassurance.</w:t>
            </w:r>
          </w:p>
          <w:p>
            <w:pPr>
              <w:pStyle w:val="TableText"/>
            </w:pPr>
            <w:r>
              <w:t xml:space="preserve">Function: Check reassurance independently</w:t>
            </w:r>
          </w:p>
        </w:tc>
        <w:tc>
          <w:tcPr>
            <w:tcW w:w="5860" w:type="dxa"/>
            <w:vAlign w:val="center"/>
          </w:tcPr>
          <w:p>
            <w:pPr>
              <w:pStyle w:val="TableText"/>
            </w:pPr>
            <w:r>
              <w:t xml:space="preserve">Conditional in all eight versions</w:t>
            </w:r>
          </w:p>
          <w:p>
            <w:pPr>
              <w:pStyle w:val="TableText"/>
            </w:pPr>
            <w:r>
              <w:t xml:space="preserve">Comparison: ADV0004, ADV0081</w:t>
            </w:r>
          </w:p>
          <w:p>
            <w:pPr>
              <w:pStyle w:val="TableText"/>
            </w:pPr>
            <w:r>
              <w:t xml:space="preserve">Decision: Provides a response to evidence offered during the recommended inquiry; independent checking is different from merely finding consistent messages.</w:t>
            </w:r>
          </w:p>
          <w:p>
            <w:pPr>
              <w:pStyle w:val="TableText"/>
            </w:pPr>
            <w:r>
              <w:t xml:space="preserve">Use guard: No reassurance document or fabricated evidence is currently stated.</w:t>
            </w:r>
          </w:p>
        </w:tc>
        <w:tc>
          <w:tcPr>
            <w:tcW w:w="2700" w:type="dxa"/>
            <w:vAlign w:val="center"/>
          </w:tcPr>
          <w:p>
            <w:pPr>
              <w:pStyle w:val="TableText"/>
            </w:pPr>
            <w:r>
              <w:t xml:space="preserve">S038</w:t>
            </w:r>
          </w:p>
          <w:p>
            <w:pPr>
              <w:pStyle w:val="TableText"/>
            </w:pPr>
            <w:r>
              <w:t xml:space="preserve">S038: L30</w:t>
            </w:r>
          </w:p>
        </w:tc>
      </w:tr>
      <w:tr>
        <w:trPr>
          <w:cantSplit/>
        </w:trPr>
        <w:tc>
          <w:tcPr>
            <w:tcW w:w="1100" w:type="dxa"/>
            <w:vAlign w:val="center"/>
          </w:tcPr>
          <w:p>
            <w:pPr>
              <w:pStyle w:val="TableText"/>
            </w:pPr>
            <w:r>
              <w:t xml:space="preserve">ADV0259</w:t>
            </w:r>
          </w:p>
          <w:p>
            <w:pPr>
              <w:pStyle w:val="TableText"/>
            </w:pPr>
            <w:r>
              <w:t xml:space="preserve">verification</w:t>
            </w:r>
          </w:p>
          <w:p>
            <w:pPr>
              <w:pStyle w:val="TableText"/>
            </w:pPr>
            <w:r>
              <w:t xml:space="preserve">S3</w:t>
            </w:r>
          </w:p>
        </w:tc>
        <w:tc>
          <w:tcPr>
            <w:tcW w:w="3300" w:type="dxa"/>
            <w:vAlign w:val="center"/>
          </w:tcPr>
          <w:p>
            <w:pPr>
              <w:pStyle w:val="TableText"/>
            </w:pPr>
            <w:r>
              <w:t xml:space="preserve">Do not accept apparently official identity or work documents as conclusive proof of authenticity.</w:t>
            </w:r>
          </w:p>
          <w:p>
            <w:pPr>
              <w:pStyle w:val="TableText"/>
            </w:pPr>
            <w:r>
              <w:t xml:space="preserve">Function: Limit confidence in official-looking documents</w:t>
            </w:r>
          </w:p>
        </w:tc>
        <w:tc>
          <w:tcPr>
            <w:tcW w:w="5860" w:type="dxa"/>
            <w:vAlign w:val="center"/>
          </w:tcPr>
          <w:p>
            <w:pPr>
              <w:pStyle w:val="TableText"/>
            </w:pPr>
            <w:r>
              <w:t xml:space="preserve">Conditional in all eight versions</w:t>
            </w:r>
          </w:p>
          <w:p>
            <w:pPr>
              <w:pStyle w:val="TableText"/>
            </w:pPr>
            <w:r>
              <w:t xml:space="preserve">Comparison: ADV0258, ADV0020</w:t>
            </w:r>
          </w:p>
          <w:p>
            <w:pPr>
              <w:pStyle w:val="TableText"/>
            </w:pPr>
            <w:r>
              <w:t xml:space="preserve">Decision: A document offered during identity checking can look official without being authentic. This is separate from protecting the recipient's own documents; never request their exchange.</w:t>
            </w:r>
          </w:p>
          <w:p>
            <w:pPr>
              <w:pStyle w:val="TableText"/>
            </w:pPr>
            <w:r>
              <w:t xml:space="preserve">Use guard: Do not request or exchange private identity documents or assert forgery.</w:t>
            </w:r>
          </w:p>
        </w:tc>
        <w:tc>
          <w:tcPr>
            <w:tcW w:w="2700" w:type="dxa"/>
            <w:vAlign w:val="center"/>
          </w:tcPr>
          <w:p>
            <w:pPr>
              <w:pStyle w:val="TableText"/>
            </w:pPr>
            <w:r>
              <w:t xml:space="preserve">S038</w:t>
            </w:r>
          </w:p>
          <w:p>
            <w:pPr>
              <w:pStyle w:val="TableText"/>
            </w:pPr>
            <w:r>
              <w:t xml:space="preserve">S038: L59-62</w:t>
            </w:r>
          </w:p>
        </w:tc>
      </w:tr>
      <w:tr>
        <w:trPr>
          <w:cantSplit/>
        </w:trPr>
        <w:tc>
          <w:tcPr>
            <w:tcW w:w="1100" w:type="dxa"/>
            <w:vAlign w:val="center"/>
          </w:tcPr>
          <w:p>
            <w:pPr>
              <w:pStyle w:val="TableText"/>
            </w:pPr>
            <w:r>
              <w:t xml:space="preserve">ADV0269</w:t>
            </w:r>
          </w:p>
          <w:p>
            <w:pPr>
              <w:pStyle w:val="TableText"/>
            </w:pPr>
            <w:r>
              <w:t xml:space="preserve">digital</w:t>
            </w:r>
          </w:p>
          <w:p>
            <w:pPr>
              <w:pStyle w:val="TableText"/>
            </w:pPr>
            <w:r>
              <w:t xml:space="preserve">S2</w:t>
            </w:r>
          </w:p>
        </w:tc>
        <w:tc>
          <w:tcPr>
            <w:tcW w:w="3300" w:type="dxa"/>
            <w:vAlign w:val="center"/>
          </w:tcPr>
          <w:p>
            <w:pPr>
              <w:pStyle w:val="TableText"/>
            </w:pPr>
            <w:r>
              <w:t xml:space="preserve">Do not grant remote device access or install software following unsolicited requests.</w:t>
            </w:r>
          </w:p>
          <w:p>
            <w:pPr>
              <w:pStyle w:val="TableText"/>
            </w:pPr>
            <w:r>
              <w:t xml:space="preserve">Function: Decline remote-control/install requests</w:t>
            </w:r>
          </w:p>
        </w:tc>
        <w:tc>
          <w:tcPr>
            <w:tcW w:w="5860" w:type="dxa"/>
            <w:vAlign w:val="center"/>
          </w:tcPr>
          <w:p>
            <w:pPr>
              <w:pStyle w:val="TableText"/>
            </w:pPr>
            <w:r>
              <w:t xml:space="preserve">Conditional in all eight versions</w:t>
            </w:r>
          </w:p>
          <w:p>
            <w:pPr>
              <w:pStyle w:val="TableText"/>
            </w:pPr>
            <w:r>
              <w:t xml:space="preserve">Comparison: ADV0070</w:t>
            </w:r>
          </w:p>
          <w:p>
            <w:pPr>
              <w:pStyle w:val="TableText"/>
            </w:pPr>
            <w:r>
              <w:t xml:space="preserve">Decision: Authorization to control a device or install software adds a mechanism beyond opening a link/file. Retain both prospective digital boundaries under the same channel-risk rule.</w:t>
            </w:r>
          </w:p>
          <w:p>
            <w:pPr>
              <w:pStyle w:val="TableText"/>
            </w:pPr>
            <w:r>
              <w:t xml:space="preserve">Use guard: No remote-access request or installed software is stated.</w:t>
            </w:r>
          </w:p>
        </w:tc>
        <w:tc>
          <w:tcPr>
            <w:tcW w:w="2700" w:type="dxa"/>
            <w:vAlign w:val="center"/>
          </w:tcPr>
          <w:p>
            <w:pPr>
              <w:pStyle w:val="TableText"/>
            </w:pPr>
            <w:r>
              <w:t xml:space="preserve">S041</w:t>
            </w:r>
          </w:p>
          <w:p>
            <w:pPr>
              <w:pStyle w:val="TableText"/>
            </w:pPr>
            <w:r>
              <w:t xml:space="preserve">S041: L407</w:t>
            </w:r>
          </w:p>
        </w:tc>
      </w:tr>
      <w:tr>
        <w:trPr>
          <w:cantSplit/>
        </w:trPr>
        <w:tc>
          <w:tcPr>
            <w:tcW w:w="1100" w:type="dxa"/>
            <w:vAlign w:val="center"/>
          </w:tcPr>
          <w:p>
            <w:pPr>
              <w:pStyle w:val="TableText"/>
            </w:pPr>
            <w:r>
              <w:t xml:space="preserve">ADV0278</w:t>
            </w:r>
          </w:p>
          <w:p>
            <w:pPr>
              <w:pStyle w:val="TableText"/>
            </w:pPr>
            <w:r>
              <w:t xml:space="preserve">privacy</w:t>
            </w:r>
          </w:p>
          <w:p>
            <w:pPr>
              <w:pStyle w:val="TableText"/>
            </w:pPr>
            <w:r>
              <w:t xml:space="preserve">S2</w:t>
            </w:r>
          </w:p>
        </w:tc>
        <w:tc>
          <w:tcPr>
            <w:tcW w:w="3300" w:type="dxa"/>
            <w:vAlign w:val="center"/>
          </w:tcPr>
          <w:p>
            <w:pPr>
              <w:pStyle w:val="TableText"/>
            </w:pPr>
            <w:r>
              <w:t xml:space="preserve">Keep one-time passcodes private; do not share them with a romantic contact.</w:t>
            </w:r>
          </w:p>
          <w:p>
            <w:pPr>
              <w:pStyle w:val="TableText"/>
            </w:pPr>
            <w:r>
              <w:t xml:space="preserve">Function: Protect one-time codes</w:t>
            </w:r>
          </w:p>
        </w:tc>
        <w:tc>
          <w:tcPr>
            <w:tcW w:w="5860" w:type="dxa"/>
            <w:vAlign w:val="center"/>
          </w:tcPr>
          <w:p>
            <w:pPr>
              <w:pStyle w:val="TableText"/>
            </w:pPr>
            <w:r>
              <w:t xml:space="preserve">Direct in all eight versions</w:t>
            </w:r>
          </w:p>
          <w:p>
            <w:pPr>
              <w:pStyle w:val="TableText"/>
            </w:pPr>
            <w:r>
              <w:t xml:space="preserve">Comparison: ADV0121, ADV0021</w:t>
            </w:r>
          </w:p>
          <w:p>
            <w:pPr>
              <w:pStyle w:val="TableText"/>
            </w:pPr>
            <w:r>
              <w:t xml:space="preserve">Decision: One-time codes are distinct from persistent login credentials and account details. Explicitly retain all three without claiming equivalent meanings.</w:t>
            </w:r>
          </w:p>
          <w:p>
            <w:pPr>
              <w:pStyle w:val="TableText"/>
            </w:pPr>
            <w:r>
              <w:t xml:space="preserve">Use guard: No code request has occurred; do not conflate this with a required identity check.</w:t>
            </w:r>
          </w:p>
        </w:tc>
        <w:tc>
          <w:tcPr>
            <w:tcW w:w="2700" w:type="dxa"/>
            <w:vAlign w:val="center"/>
          </w:tcPr>
          <w:p>
            <w:pPr>
              <w:pStyle w:val="TableText"/>
            </w:pPr>
            <w:r>
              <w:t xml:space="preserve">S043</w:t>
            </w:r>
          </w:p>
          <w:p>
            <w:pPr>
              <w:pStyle w:val="TableText"/>
            </w:pPr>
            <w:r>
              <w:t xml:space="preserve">S043: L88</w:t>
            </w:r>
          </w:p>
        </w:tc>
      </w:tr>
    </w:tbl>
    <w:p>
      <w:pPr>
        <w:pStyle w:val="Spacer"/>
      </w:pPr>
      <w:r>
        <w:t xml:space="preserve"/>
      </w:r>
    </w:p>
    <w:p>
      <w:pPr>
        <w:pStyle w:val="Spacer"/>
        <w:sectPr>
          <w:footerReference w:type="default" r:id="footer"/>
          <w:type w:val="nextPage"/>
          <w:pgSz w:w="15840" w:h="12240" w:orient="landscape"/>
          <w:pgMar w:top="1440" w:right="1440" w:bottom="1440" w:left="1440" w:header="708" w:footer="708"/>
        </w:sectPr>
      </w:pPr>
    </w:p>
    <w:p>
      <w:pPr>
        <w:pStyle w:val="Heading1"/>
      </w:pPr>
      <w:r>
        <w:t xml:space="preserve">Source directory</w:t>
      </w:r>
    </w:p>
    <w:p>
      <w:pPr>
        <w:pStyle w:val="Normal"/>
      </w:pPr>
      <w:r>
        <w:t xml:space="preserve">Source metadata and locators are retained from the original collection. Entries are AI-normalized, source-grounded English paraphrases, not verbatim quotations. This selection revision did not re-fetch the source pages.</w:t>
      </w:r>
    </w:p>
    <w:p>
      <w:pPr>
        <w:pStyle w:val="SourceHeading"/>
        <w:keepNext/>
      </w:pPr>
      <w:r>
        <w:t xml:space="preserve">S001 | FTC | What To Know About Romance Scams</w:t>
      </w:r>
    </w:p>
    <w:p>
      <w:pPr>
        <w:pStyle w:val="Small"/>
      </w:pPr>
      <w:hyperlink r:id="link1">
        <w:r>
          <w:rPr>
            <w:color w:val="245580"/>
            <w:u w:val="single"/>
          </w:rPr>
          <w:t xml:space="preserve">https://consumer.ftc.gov/articles/what-know-about-romance-scams</w:t>
        </w:r>
      </w:hyperlink>
    </w:p>
    <w:p>
      <w:pPr>
        <w:pStyle w:val="Small"/>
      </w:pPr>
      <w:r>
        <w:t xml:space="preserve">Jurisdiction: US | Originally accessed: 2026-09-18</w:t>
      </w:r>
    </w:p>
    <w:p>
      <w:pPr>
        <w:pStyle w:val="SourceHeading"/>
        <w:keepNext/>
      </w:pPr>
      <w:r>
        <w:t xml:space="preserve">S002 | FBI | Romance Scams</w:t>
      </w:r>
    </w:p>
    <w:p>
      <w:pPr>
        <w:pStyle w:val="Small"/>
      </w:pPr>
      <w:hyperlink r:id="link2">
        <w:r>
          <w:rPr>
            <w:color w:val="245580"/>
            <w:u w:val="single"/>
          </w:rPr>
          <w:t xml:space="preserve">https://www.fbi.gov/how-we-can-help-you/common-frauds-and-scams/romance-scams</w:t>
        </w:r>
      </w:hyperlink>
    </w:p>
    <w:p>
      <w:pPr>
        <w:pStyle w:val="Small"/>
      </w:pPr>
      <w:r>
        <w:t xml:space="preserve">Jurisdiction: US | Originally accessed: 2026-09-18</w:t>
      </w:r>
    </w:p>
    <w:p>
      <w:pPr>
        <w:pStyle w:val="SourceHeading"/>
        <w:keepNext/>
      </w:pPr>
      <w:r>
        <w:t xml:space="preserve">S003 | Scamwatch / National Anti-Scam Centre | Relationship scams</w:t>
      </w:r>
    </w:p>
    <w:p>
      <w:pPr>
        <w:pStyle w:val="Small"/>
      </w:pPr>
      <w:hyperlink r:id="link3">
        <w:r>
          <w:rPr>
            <w:color w:val="245580"/>
            <w:u w:val="single"/>
          </w:rPr>
          <w:t xml:space="preserve">https://www.scamwatch.gov.au/types-of-scams/relationship-scams</w:t>
        </w:r>
      </w:hyperlink>
    </w:p>
    <w:p>
      <w:pPr>
        <w:pStyle w:val="Small"/>
      </w:pPr>
      <w:r>
        <w:t xml:space="preserve">Jurisdiction: Australia | Originally accessed: 2026-09-18</w:t>
      </w:r>
    </w:p>
    <w:p>
      <w:pPr>
        <w:pStyle w:val="SourceHeading"/>
        <w:keepNext/>
      </w:pPr>
      <w:r>
        <w:t xml:space="preserve">S004 | Police.uk | Romance fraud</w:t>
      </w:r>
    </w:p>
    <w:p>
      <w:pPr>
        <w:pStyle w:val="Small"/>
      </w:pPr>
      <w:hyperlink r:id="link4">
        <w:r>
          <w:rPr>
            <w:color w:val="245580"/>
            <w:u w:val="single"/>
          </w:rPr>
          <w:t xml:space="preserve">https://www.police.uk/advice/advice-and-information/fa/fraud/personal-fraud/romance-fraud/</w:t>
        </w:r>
      </w:hyperlink>
    </w:p>
    <w:p>
      <w:pPr>
        <w:pStyle w:val="Small"/>
      </w:pPr>
      <w:r>
        <w:t xml:space="preserve">Jurisdiction: UK | Originally accessed: 2026-09-18</w:t>
      </w:r>
    </w:p>
    <w:p>
      <w:pPr>
        <w:pStyle w:val="SourceHeading"/>
        <w:keepNext/>
      </w:pPr>
      <w:r>
        <w:t xml:space="preserve">S005 | United States Postal Inspection Service | Romance Scam</w:t>
      </w:r>
    </w:p>
    <w:p>
      <w:pPr>
        <w:pStyle w:val="Small"/>
      </w:pPr>
      <w:hyperlink r:id="link5">
        <w:r>
          <w:rPr>
            <w:color w:val="245580"/>
            <w:u w:val="single"/>
          </w:rPr>
          <w:t xml:space="preserve">https://www.uspis.gov/news/scam-article/romance-scam</w:t>
        </w:r>
      </w:hyperlink>
    </w:p>
    <w:p>
      <w:pPr>
        <w:pStyle w:val="Small"/>
      </w:pPr>
      <w:r>
        <w:t xml:space="preserve">Jurisdiction: US | Originally accessed: 2026-09-18</w:t>
      </w:r>
    </w:p>
    <w:p>
      <w:pPr>
        <w:pStyle w:val="SourceHeading"/>
        <w:keepNext/>
      </w:pPr>
      <w:r>
        <w:t xml:space="preserve">S006 | eSafety Commissioner | Online dating: how to stay safe</w:t>
      </w:r>
    </w:p>
    <w:p>
      <w:pPr>
        <w:pStyle w:val="Small"/>
      </w:pPr>
      <w:hyperlink r:id="link6">
        <w:r>
          <w:rPr>
            <w:color w:val="245580"/>
            <w:u w:val="single"/>
          </w:rPr>
          <w:t xml:space="preserve">https://www.esafety.gov.au/key-topics/staying-safe/online-dating</w:t>
        </w:r>
      </w:hyperlink>
    </w:p>
    <w:p>
      <w:pPr>
        <w:pStyle w:val="Small"/>
      </w:pPr>
      <w:r>
        <w:t xml:space="preserve">Jurisdiction: Australia | Originally accessed: 2026-09-18</w:t>
      </w:r>
    </w:p>
    <w:p>
      <w:pPr>
        <w:pStyle w:val="SourceHeading"/>
        <w:keepNext/>
      </w:pPr>
      <w:r>
        <w:t xml:space="preserve">S008 | FBI / IC3 | New Verification Schemes Target Users of Online Dating Platforms</w:t>
      </w:r>
    </w:p>
    <w:p>
      <w:pPr>
        <w:pStyle w:val="Small"/>
      </w:pPr>
      <w:hyperlink r:id="link7">
        <w:r>
          <w:rPr>
            <w:color w:val="245580"/>
            <w:u w:val="single"/>
          </w:rPr>
          <w:t xml:space="preserve">https://www.ic3.gov/PSA/2024/PSA240426</w:t>
        </w:r>
      </w:hyperlink>
    </w:p>
    <w:p>
      <w:pPr>
        <w:pStyle w:val="Small"/>
      </w:pPr>
      <w:r>
        <w:t xml:space="preserve">Jurisdiction: US | Originally accessed: 2026-09-18</w:t>
      </w:r>
    </w:p>
    <w:p>
      <w:pPr>
        <w:pStyle w:val="SourceHeading"/>
        <w:keepNext/>
      </w:pPr>
      <w:r>
        <w:t xml:space="preserve">S009 | FBI / IC3 | Dating-site confidence fraud and money-mule recruitment</w:t>
      </w:r>
    </w:p>
    <w:p>
      <w:pPr>
        <w:pStyle w:val="Small"/>
      </w:pPr>
      <w:hyperlink r:id="link8">
        <w:r>
          <w:rPr>
            <w:color w:val="245580"/>
            <w:u w:val="single"/>
          </w:rPr>
          <w:t xml:space="preserve">https://www.ic3.gov/PSA/2019/PSA190805</w:t>
        </w:r>
      </w:hyperlink>
    </w:p>
    <w:p>
      <w:pPr>
        <w:pStyle w:val="Small"/>
      </w:pPr>
      <w:r>
        <w:t xml:space="preserve">Jurisdiction: US | Originally accessed: 2026-09-18</w:t>
      </w:r>
    </w:p>
    <w:p>
      <w:pPr>
        <w:pStyle w:val="SourceHeading"/>
        <w:keepNext/>
      </w:pPr>
      <w:r>
        <w:t xml:space="preserve">S010 | FBI / IC3 | New trend in romance scams involving cryptocurrency</w:t>
      </w:r>
    </w:p>
    <w:p>
      <w:pPr>
        <w:pStyle w:val="Small"/>
      </w:pPr>
      <w:hyperlink r:id="link9">
        <w:r>
          <w:rPr>
            <w:color w:val="245580"/>
            <w:u w:val="single"/>
          </w:rPr>
          <w:t xml:space="preserve">https://www.ic3.gov/PSA/2021/PSA210916</w:t>
        </w:r>
      </w:hyperlink>
    </w:p>
    <w:p>
      <w:pPr>
        <w:pStyle w:val="Small"/>
      </w:pPr>
      <w:r>
        <w:t xml:space="preserve">Jurisdiction: US | Originally accessed: 2026-09-18</w:t>
      </w:r>
    </w:p>
    <w:p>
      <w:pPr>
        <w:pStyle w:val="SourceHeading"/>
        <w:keepNext/>
      </w:pPr>
      <w:r>
        <w:t xml:space="preserve">S011 | FBI / IC3 | Liquidity mining scam advisory</w:t>
      </w:r>
    </w:p>
    <w:p>
      <w:pPr>
        <w:pStyle w:val="Small"/>
      </w:pPr>
      <w:hyperlink r:id="link10">
        <w:r>
          <w:rPr>
            <w:color w:val="245580"/>
            <w:u w:val="single"/>
          </w:rPr>
          <w:t xml:space="preserve">https://www.ic3.gov/PSA/2022/PSA220721</w:t>
        </w:r>
      </w:hyperlink>
    </w:p>
    <w:p>
      <w:pPr>
        <w:pStyle w:val="Small"/>
      </w:pPr>
      <w:r>
        <w:t xml:space="preserve">Jurisdiction: US | Originally accessed: 2026-09-18</w:t>
      </w:r>
    </w:p>
    <w:p>
      <w:pPr>
        <w:pStyle w:val="SourceHeading"/>
        <w:keepNext/>
      </w:pPr>
      <w:r>
        <w:t xml:space="preserve">S012 | Canadian Anti-Fraud Centre | Relationship and romance</w:t>
      </w:r>
    </w:p>
    <w:p>
      <w:pPr>
        <w:pStyle w:val="Small"/>
      </w:pPr>
      <w:hyperlink r:id="link11">
        <w:r>
          <w:rPr>
            <w:color w:val="245580"/>
            <w:u w:val="single"/>
          </w:rPr>
          <w:t xml:space="preserve">https://centreantifraude-antifraudcentre.ca/scams-fraudes/romance-rencontre-eng.htm?wbdisable=true</w:t>
        </w:r>
      </w:hyperlink>
    </w:p>
    <w:p>
      <w:pPr>
        <w:pStyle w:val="Small"/>
      </w:pPr>
      <w:r>
        <w:t xml:space="preserve">Jurisdiction: Canada | Originally accessed: 2026-09-18</w:t>
      </w:r>
    </w:p>
    <w:p>
      <w:pPr>
        <w:pStyle w:val="SourceHeading"/>
        <w:keepNext/>
      </w:pPr>
      <w:r>
        <w:t xml:space="preserve">S014 | FBI / IC3 | Investment Fraud</w:t>
      </w:r>
    </w:p>
    <w:p>
      <w:pPr>
        <w:pStyle w:val="Small"/>
      </w:pPr>
      <w:hyperlink r:id="link12">
        <w:r>
          <w:rPr>
            <w:color w:val="245580"/>
            <w:u w:val="single"/>
          </w:rPr>
          <w:t xml:space="preserve">https://www.ic3.gov/CrimeInfo/Investment</w:t>
        </w:r>
      </w:hyperlink>
    </w:p>
    <w:p>
      <w:pPr>
        <w:pStyle w:val="Small"/>
      </w:pPr>
      <w:r>
        <w:t xml:space="preserve">Jurisdiction: US | Originally accessed: 2026-09-18</w:t>
      </w:r>
    </w:p>
    <w:p>
      <w:pPr>
        <w:pStyle w:val="SourceHeading"/>
        <w:keepNext/>
      </w:pPr>
      <w:r>
        <w:t xml:space="preserve">S015 | US Army Criminal Investigation Command | Military Romance Frauds: CPF 0003-20-CID361-9H</w:t>
      </w:r>
    </w:p>
    <w:p>
      <w:pPr>
        <w:pStyle w:val="Small"/>
      </w:pPr>
      <w:hyperlink r:id="link13">
        <w:r>
          <w:rPr>
            <w:color w:val="245580"/>
            <w:u w:val="single"/>
          </w:rPr>
          <w:t xml:space="preserve">https://www.cid.army.mil/Portals/118/Documents/Cyber-Flyers/Cyberflyer_RomanceScams_03-11-2020.pdf</w:t>
        </w:r>
      </w:hyperlink>
    </w:p>
    <w:p>
      <w:pPr>
        <w:pStyle w:val="Small"/>
      </w:pPr>
      <w:r>
        <w:t xml:space="preserve">Jurisdiction: US | Originally accessed: 2026-09-18</w:t>
      </w:r>
    </w:p>
    <w:p>
      <w:pPr>
        <w:pStyle w:val="SourceHeading"/>
        <w:keepNext/>
      </w:pPr>
      <w:r>
        <w:t xml:space="preserve">S016 | Singapore Police Force | Police Advisory on Internet Love Scam, 21 March 2021</w:t>
      </w:r>
    </w:p>
    <w:p>
      <w:pPr>
        <w:pStyle w:val="Small"/>
      </w:pPr>
      <w:hyperlink r:id="link14">
        <w:r>
          <w:rPr>
            <w:color w:val="245580"/>
            <w:u w:val="single"/>
          </w:rPr>
          <w:t xml:space="preserve">https://www.police.gov.sg/media-hub/news/2021/20210321_police_advisory_on_internet_love_scam</w:t>
        </w:r>
      </w:hyperlink>
    </w:p>
    <w:p>
      <w:pPr>
        <w:pStyle w:val="Small"/>
      </w:pPr>
      <w:r>
        <w:t xml:space="preserve">Jurisdiction: Singapore | Originally accessed: 2026-09-18</w:t>
      </w:r>
    </w:p>
    <w:p>
      <w:pPr>
        <w:pStyle w:val="SourceHeading"/>
        <w:keepNext/>
      </w:pPr>
      <w:r>
        <w:t xml:space="preserve">S017 | IDCARE | Relationship Scams</w:t>
      </w:r>
    </w:p>
    <w:p>
      <w:pPr>
        <w:pStyle w:val="Small"/>
      </w:pPr>
      <w:hyperlink r:id="link15">
        <w:r>
          <w:rPr>
            <w:color w:val="245580"/>
            <w:u w:val="single"/>
          </w:rPr>
          <w:t xml:space="preserve">https://www.idcare.org/learning-centre/fact-sheets/relationship-scams</w:t>
        </w:r>
      </w:hyperlink>
    </w:p>
    <w:p>
      <w:pPr>
        <w:pStyle w:val="Small"/>
      </w:pPr>
      <w:r>
        <w:t xml:space="preserve">Jurisdiction: Australia/New Zealand | Originally accessed: 2026-09-18</w:t>
      </w:r>
    </w:p>
    <w:p>
      <w:pPr>
        <w:pStyle w:val="SourceHeading"/>
        <w:keepNext/>
      </w:pPr>
      <w:r>
        <w:t xml:space="preserve">S018 | Netsafe | Romance scams</w:t>
      </w:r>
    </w:p>
    <w:p>
      <w:pPr>
        <w:pStyle w:val="Small"/>
      </w:pPr>
      <w:hyperlink r:id="link16">
        <w:r>
          <w:rPr>
            <w:color w:val="245580"/>
            <w:u w:val="single"/>
          </w:rPr>
          <w:t xml:space="preserve">https://netsafe.org.nz/scams/romance-scams</w:t>
        </w:r>
      </w:hyperlink>
    </w:p>
    <w:p>
      <w:pPr>
        <w:pStyle w:val="Small"/>
      </w:pPr>
      <w:r>
        <w:t xml:space="preserve">Jurisdiction: New Zealand | Originally accessed: 2026-09-18</w:t>
      </w:r>
    </w:p>
    <w:p>
      <w:pPr>
        <w:pStyle w:val="SourceHeading"/>
        <w:keepNext/>
      </w:pPr>
      <w:r>
        <w:t xml:space="preserve">S019 | eSafety Commissioner | Catfishing</w:t>
      </w:r>
    </w:p>
    <w:p>
      <w:pPr>
        <w:pStyle w:val="Small"/>
      </w:pPr>
      <w:hyperlink r:id="link17">
        <w:r>
          <w:rPr>
            <w:color w:val="245580"/>
            <w:u w:val="single"/>
          </w:rPr>
          <w:t xml:space="preserve">https://www.esafety.gov.au/key-topics/staying-safe/catfishing</w:t>
        </w:r>
      </w:hyperlink>
    </w:p>
    <w:p>
      <w:pPr>
        <w:pStyle w:val="Small"/>
      </w:pPr>
      <w:r>
        <w:t xml:space="preserve">Jurisdiction: Australia | Originally accessed: 2026-09-18</w:t>
      </w:r>
    </w:p>
    <w:p>
      <w:pPr>
        <w:pStyle w:val="SourceHeading"/>
        <w:keepNext/>
      </w:pPr>
      <w:r>
        <w:t xml:space="preserve">S020 | Netsafe | Understanding Romance Scams: practical guide</w:t>
      </w:r>
    </w:p>
    <w:p>
      <w:pPr>
        <w:pStyle w:val="Small"/>
      </w:pPr>
      <w:hyperlink r:id="link18">
        <w:r>
          <w:rPr>
            <w:color w:val="245580"/>
            <w:u w:val="single"/>
          </w:rPr>
          <w:t xml:space="preserve">https://resource.netsafe.org.nz/Netsafe_RomanceFraudGuide_0225_WEB.pdf</w:t>
        </w:r>
      </w:hyperlink>
    </w:p>
    <w:p>
      <w:pPr>
        <w:pStyle w:val="Small"/>
      </w:pPr>
      <w:r>
        <w:t xml:space="preserve">Jurisdiction: New Zealand | Originally accessed: 2026-09-18</w:t>
      </w:r>
    </w:p>
    <w:p>
      <w:pPr>
        <w:pStyle w:val="SourceHeading"/>
        <w:keepNext/>
      </w:pPr>
      <w:r>
        <w:t xml:space="preserve">S021 | UK Finance / Take Five | Romance scams</w:t>
      </w:r>
    </w:p>
    <w:p>
      <w:pPr>
        <w:pStyle w:val="Small"/>
      </w:pPr>
      <w:hyperlink r:id="link19">
        <w:r>
          <w:rPr>
            <w:color w:val="245580"/>
            <w:u w:val="single"/>
          </w:rPr>
          <w:t xml:space="preserve">https://www.takefive-stopfraud.org.uk/protect-yourself/romance-fraud/</w:t>
        </w:r>
      </w:hyperlink>
    </w:p>
    <w:p>
      <w:pPr>
        <w:pStyle w:val="Small"/>
      </w:pPr>
      <w:r>
        <w:t xml:space="preserve">Jurisdiction: UK | Originally accessed: 2026-09-18</w:t>
      </w:r>
    </w:p>
    <w:p>
      <w:pPr>
        <w:pStyle w:val="SourceHeading"/>
        <w:keepNext/>
      </w:pPr>
      <w:r>
        <w:t xml:space="preserve">S022 | Tinder | Safety tips</w:t>
      </w:r>
    </w:p>
    <w:p>
      <w:pPr>
        <w:pStyle w:val="Small"/>
      </w:pPr>
      <w:hyperlink r:id="link20">
        <w:r>
          <w:rPr>
            <w:color w:val="245580"/>
            <w:u w:val="single"/>
          </w:rPr>
          <w:t xml:space="preserve">https://policies.tinder.com/community-resources/safety-tips/intl/en/</w:t>
        </w:r>
      </w:hyperlink>
    </w:p>
    <w:p>
      <w:pPr>
        <w:pStyle w:val="Small"/>
      </w:pPr>
      <w:r>
        <w:t xml:space="preserve">Jurisdiction: International | Originally accessed: 2026-09-18</w:t>
      </w:r>
    </w:p>
    <w:p>
      <w:pPr>
        <w:pStyle w:val="SourceHeading"/>
        <w:keepNext/>
      </w:pPr>
      <w:r>
        <w:t xml:space="preserve">S025 | eSafety Commissioner | Dealing with sexual extortion</w:t>
      </w:r>
    </w:p>
    <w:p>
      <w:pPr>
        <w:pStyle w:val="Small"/>
      </w:pPr>
      <w:hyperlink r:id="link21">
        <w:r>
          <w:rPr>
            <w:color w:val="245580"/>
            <w:u w:val="single"/>
          </w:rPr>
          <w:t xml:space="preserve">https://www.esafety.gov.au/key-topics/image-based-abuse/deal-with-sextortion</w:t>
        </w:r>
      </w:hyperlink>
    </w:p>
    <w:p>
      <w:pPr>
        <w:pStyle w:val="Small"/>
      </w:pPr>
      <w:r>
        <w:t xml:space="preserve">Jurisdiction: Australia | Originally accessed: 2026-09-18</w:t>
      </w:r>
    </w:p>
    <w:p>
      <w:pPr>
        <w:pStyle w:val="SourceHeading"/>
        <w:keepNext/>
      </w:pPr>
      <w:r>
        <w:t xml:space="preserve">S028 | Scamwatch / National Anti-Scam Centre | Red flags checklist for family and friends</w:t>
      </w:r>
    </w:p>
    <w:p>
      <w:pPr>
        <w:pStyle w:val="Small"/>
      </w:pPr>
      <w:hyperlink r:id="link22">
        <w:r>
          <w:rPr>
            <w:color w:val="245580"/>
            <w:u w:val="single"/>
          </w:rPr>
          <w:t xml:space="preserve">https://www.scamwatch.gov.au/stop-check-protect/help-someone-whos-being-scammed/red-flags-checklist-for-family-and-friends</w:t>
        </w:r>
      </w:hyperlink>
    </w:p>
    <w:p>
      <w:pPr>
        <w:pStyle w:val="Small"/>
      </w:pPr>
      <w:r>
        <w:t xml:space="preserve">Jurisdiction: Australia | Originally accessed: 2026-09-18</w:t>
      </w:r>
    </w:p>
    <w:p>
      <w:pPr>
        <w:pStyle w:val="SourceHeading"/>
        <w:keepNext/>
      </w:pPr>
      <w:r>
        <w:t xml:space="preserve">S030 | eSafety Commissioner | How to collect evidence</w:t>
      </w:r>
    </w:p>
    <w:p>
      <w:pPr>
        <w:pStyle w:val="Small"/>
      </w:pPr>
      <w:hyperlink r:id="link23">
        <w:r>
          <w:rPr>
            <w:color w:val="245580"/>
            <w:u w:val="single"/>
          </w:rPr>
          <w:t xml:space="preserve">https://www.esafety.gov.au/report/how-to-collect-evidence</w:t>
        </w:r>
      </w:hyperlink>
    </w:p>
    <w:p>
      <w:pPr>
        <w:pStyle w:val="Small"/>
      </w:pPr>
      <w:r>
        <w:t xml:space="preserve">Jurisdiction: Australia | Originally accessed: 2026-09-18</w:t>
      </w:r>
    </w:p>
    <w:p>
      <w:pPr>
        <w:pStyle w:val="SourceHeading"/>
        <w:keepNext/>
      </w:pPr>
      <w:r>
        <w:t xml:space="preserve">S035 | FBI / IC3 | Criminals Use Generative Artificial Intelligence to Facilitate Financial Fraud</w:t>
      </w:r>
    </w:p>
    <w:p>
      <w:pPr>
        <w:pStyle w:val="Small"/>
      </w:pPr>
      <w:hyperlink r:id="link24">
        <w:r>
          <w:rPr>
            <w:color w:val="245580"/>
            <w:u w:val="single"/>
          </w:rPr>
          <w:t xml:space="preserve">https://www.ic3.gov/PSA/2024/PSA241203</w:t>
        </w:r>
      </w:hyperlink>
    </w:p>
    <w:p>
      <w:pPr>
        <w:pStyle w:val="Small"/>
      </w:pPr>
      <w:r>
        <w:t xml:space="preserve">Jurisdiction: US | Originally accessed: 2026-09-18</w:t>
      </w:r>
    </w:p>
    <w:p>
      <w:pPr>
        <w:pStyle w:val="SourceHeading"/>
        <w:keepNext/>
      </w:pPr>
      <w:r>
        <w:t xml:space="preserve">S038 | Scamwatch / National Anti-Scam Centre | How scammers use technology and AI</w:t>
      </w:r>
    </w:p>
    <w:p>
      <w:pPr>
        <w:pStyle w:val="Small"/>
      </w:pPr>
      <w:hyperlink r:id="link25">
        <w:r>
          <w:rPr>
            <w:color w:val="245580"/>
            <w:u w:val="single"/>
          </w:rPr>
          <w:t xml:space="preserve">https://www.scamwatch.gov.au/stop-check-protect/help-to-spot-and-avoid-scams/how-scammers-use-technology-and-ai</w:t>
        </w:r>
      </w:hyperlink>
    </w:p>
    <w:p>
      <w:pPr>
        <w:pStyle w:val="Small"/>
      </w:pPr>
      <w:r>
        <w:t xml:space="preserve">Jurisdiction: Australia | Originally accessed: 2026-09-18</w:t>
      </w:r>
    </w:p>
    <w:p>
      <w:pPr>
        <w:pStyle w:val="SourceHeading"/>
        <w:keepNext/>
      </w:pPr>
      <w:r>
        <w:t xml:space="preserve">S040 | HSBC UK | How to avoid romance scams</w:t>
      </w:r>
    </w:p>
    <w:p>
      <w:pPr>
        <w:pStyle w:val="Small"/>
      </w:pPr>
      <w:hyperlink r:id="link26">
        <w:r>
          <w:rPr>
            <w:color w:val="245580"/>
            <w:u w:val="single"/>
          </w:rPr>
          <w:t xml:space="preserve">https://www.hsbc.co.uk/help/security-centre/how-to-avoid-romance-scams/</w:t>
        </w:r>
      </w:hyperlink>
    </w:p>
    <w:p>
      <w:pPr>
        <w:pStyle w:val="Small"/>
      </w:pPr>
      <w:r>
        <w:t xml:space="preserve">Jurisdiction: UK | Originally accessed: 2026-09-18</w:t>
      </w:r>
    </w:p>
    <w:p>
      <w:pPr>
        <w:pStyle w:val="SourceHeading"/>
        <w:keepNext/>
      </w:pPr>
      <w:r>
        <w:t xml:space="preserve">S041 | HSBC UK | Common scams</w:t>
      </w:r>
    </w:p>
    <w:p>
      <w:pPr>
        <w:pStyle w:val="Small"/>
      </w:pPr>
      <w:hyperlink r:id="link27">
        <w:r>
          <w:rPr>
            <w:color w:val="245580"/>
            <w:u w:val="single"/>
          </w:rPr>
          <w:t xml:space="preserve">https://www.hsbc.co.uk/help/security-centre/fraud-guide/common-scams/</w:t>
        </w:r>
      </w:hyperlink>
    </w:p>
    <w:p>
      <w:pPr>
        <w:pStyle w:val="Small"/>
      </w:pPr>
      <w:r>
        <w:t xml:space="preserve">Jurisdiction: UK | Originally accessed: 2026-09-18</w:t>
      </w:r>
    </w:p>
    <w:p>
      <w:pPr>
        <w:pStyle w:val="SourceHeading"/>
        <w:keepNext/>
      </w:pPr>
      <w:r>
        <w:t xml:space="preserve">S043 | ScamShield / Singapore Police Force | Internet Love Scams</w:t>
      </w:r>
    </w:p>
    <w:p>
      <w:pPr>
        <w:pStyle w:val="Small"/>
      </w:pPr>
      <w:hyperlink r:id="link28">
        <w:r>
          <w:rPr>
            <w:color w:val="245580"/>
            <w:u w:val="single"/>
          </w:rPr>
          <w:t xml:space="preserve">https://www.scamshield.gov.sg/i-want-protection-from-scams/learn-to-recognise-scams/internet-love-scams/</w:t>
        </w:r>
      </w:hyperlink>
    </w:p>
    <w:p>
      <w:pPr>
        <w:pStyle w:val="Small"/>
      </w:pPr>
      <w:r>
        <w:t xml:space="preserve">Jurisdiction: Singapore | Originally accessed: 2026-09-18</w:t>
      </w:r>
    </w:p>
    <w:sectPr>
      <w:footerReference w:type="default" r:id="footer"/>
      <w:pgSz w:w="12240" w:h="15840"/>
      <w:pgMar w:top="1440" w:right="1440" w:bottom="1440" w:left="1440" w:header="708" w:footer="708"/>
    </w:sectPr>
  </w:body>
</w:document>
</file>

<file path=word/footer1.xml><?xml version="1.0" encoding="utf-8"?>
<w:ftr xmlns:w="http://schemas.openxmlformats.org/wordprocessingml/2006/main">
  <w:p>
    <w:pPr>
      <w:pStyle w:val="Footer"/>
      <w:jc w:val="right"/>
    </w:pPr>
    <w:fldSimple w:instr="PAGE">
      <w:r>
        <w:t>1</w:t>
      </w:r>
    </w:fldSimple>
  </w:p>
</w:ftr>
</file>

<file path=word/styles.xml><?xml version="1.0" encoding="utf-8"?>
<w:styles xmlns:w="http://schemas.openxmlformats.org/wordprocessingml/2006/main">
  <w:docDefaults>
    <w:rPrDefault>
      <w:rPr>
        <w:rFonts w:ascii="Times New Roman" w:hAnsi="Times New Roman" w:eastAsia="Times New Roman" w:cs="Times New Roman"/>
        <w:sz w:val="22"/>
        <w:lang w:val="en-US"/>
      </w:rPr>
    </w:rPrDefault>
  </w:docDefaults>
  <w:style w:type="paragraph" w:default="1" w:styleId="Normal">
    <w:name w:val="Normal"/>
    <w:pPr>
      <w:spacing w:before="0" w:after="120" w:line="300" w:lineRule="auto"/>
      <w:widowControl/>
    </w:pPr>
    <w:rPr>
      <w:rFonts w:ascii="Times New Roman" w:hAnsi="Times New Roman" w:eastAsia="Times New Roman" w:cs="Times New Roman"/>
      <w:sz w:val="22"/>
      <w:color w:val="000000"/>
    </w:rPr>
  </w:style>
  <w:style w:type="paragraph" w:styleId="Title">
    <w:name w:val="Title"/>
    <w:pPr>
      <w:keepNext/>
      <w:keepLines/>
      <w:spacing w:before="0" w:after="100" w:line="264" w:lineRule="auto"/>
      <w:widowControl/>
    </w:pPr>
    <w:rPr>
      <w:rFonts w:ascii="Times New Roman" w:hAnsi="Times New Roman" w:eastAsia="Times New Roman" w:cs="Times New Roman"/>
      <w:b/>
      <w:sz w:val="36"/>
      <w:color w:val="000000"/>
    </w:rPr>
  </w:style>
  <w:style w:type="paragraph" w:styleId="Subtitle">
    <w:name w:val="Subtitle"/>
    <w:pPr>
      <w:keepNext/>
      <w:keepLines/>
      <w:spacing w:before="0" w:after="160" w:line="280" w:lineRule="auto"/>
      <w:widowControl/>
    </w:pPr>
    <w:rPr>
      <w:rFonts w:ascii="Times New Roman" w:hAnsi="Times New Roman" w:eastAsia="Times New Roman" w:cs="Times New Roman"/>
      <w:sz w:val="22"/>
      <w:color w:val="000000"/>
    </w:rPr>
  </w:style>
  <w:style w:type="paragraph" w:styleId="Heading1">
    <w:name w:val="Heading1"/>
    <w:pPr>
      <w:keepNext/>
      <w:keepLines/>
      <w:spacing w:before="360" w:after="200" w:line="300" w:lineRule="auto"/>
      <w:widowControl/>
    </w:pPr>
    <w:rPr>
      <w:rFonts w:ascii="Times New Roman" w:hAnsi="Times New Roman" w:eastAsia="Times New Roman" w:cs="Times New Roman"/>
      <w:b/>
      <w:sz w:val="32"/>
      <w:color w:val="000000"/>
    </w:rPr>
  </w:style>
  <w:style w:type="paragraph" w:styleId="Heading2">
    <w:name w:val="Heading2"/>
    <w:pPr>
      <w:keepNext/>
      <w:keepLines/>
      <w:spacing w:before="280" w:after="140" w:line="300" w:lineRule="auto"/>
      <w:widowControl/>
    </w:pPr>
    <w:rPr>
      <w:rFonts w:ascii="Times New Roman" w:hAnsi="Times New Roman" w:eastAsia="Times New Roman" w:cs="Times New Roman"/>
      <w:b/>
      <w:sz w:val="26"/>
      <w:color w:val="000000"/>
    </w:rPr>
  </w:style>
  <w:style w:type="paragraph" w:styleId="Heading3">
    <w:name w:val="Heading3"/>
    <w:pPr>
      <w:keepNext/>
      <w:keepLines/>
      <w:spacing w:before="200" w:after="100" w:line="300" w:lineRule="auto"/>
      <w:widowControl/>
    </w:pPr>
    <w:rPr>
      <w:rFonts w:ascii="Times New Roman" w:hAnsi="Times New Roman" w:eastAsia="Times New Roman" w:cs="Times New Roman"/>
      <w:b/>
      <w:sz w:val="24"/>
      <w:color w:val="000000"/>
    </w:rPr>
  </w:style>
  <w:style w:type="paragraph" w:styleId="TableText">
    <w:name w:val="TableText"/>
    <w:pPr>
      <w:spacing w:before="0" w:after="60" w:line="264" w:lineRule="auto"/>
      <w:widowControl/>
    </w:pPr>
    <w:rPr>
      <w:rFonts w:ascii="Times New Roman" w:hAnsi="Times New Roman" w:eastAsia="Times New Roman" w:cs="Times New Roman"/>
      <w:sz w:val="20"/>
      <w:color w:val="000000"/>
    </w:rPr>
  </w:style>
  <w:style w:type="paragraph" w:styleId="TableHeader">
    <w:name w:val="TableHeader"/>
    <w:pPr>
      <w:spacing w:before="0" w:after="60" w:line="264" w:lineRule="auto"/>
      <w:widowControl/>
    </w:pPr>
    <w:rPr>
      <w:rFonts w:ascii="Times New Roman" w:hAnsi="Times New Roman" w:eastAsia="Times New Roman" w:cs="Times New Roman"/>
      <w:b/>
      <w:sz w:val="20"/>
      <w:color w:val="000000"/>
    </w:rPr>
  </w:style>
  <w:style w:type="paragraph" w:styleId="Small">
    <w:name w:val="Small"/>
    <w:pPr>
      <w:spacing w:before="0" w:after="80" w:line="264" w:lineRule="auto"/>
      <w:widowControl/>
    </w:pPr>
    <w:rPr>
      <w:rFonts w:ascii="Times New Roman" w:hAnsi="Times New Roman" w:eastAsia="Times New Roman" w:cs="Times New Roman"/>
      <w:sz w:val="19"/>
      <w:color w:val="000000"/>
    </w:rPr>
  </w:style>
  <w:style w:type="paragraph" w:styleId="SourceHeading">
    <w:name w:val="SourceHeading"/>
    <w:pPr>
      <w:keepNext/>
      <w:keepLines/>
      <w:spacing w:before="120" w:after="60" w:line="264" w:lineRule="auto"/>
      <w:widowControl/>
    </w:pPr>
    <w:rPr>
      <w:rFonts w:ascii="Times New Roman" w:hAnsi="Times New Roman" w:eastAsia="Times New Roman" w:cs="Times New Roman"/>
      <w:b/>
      <w:sz w:val="22"/>
      <w:color w:val="000000"/>
    </w:rPr>
  </w:style>
  <w:style w:type="paragraph" w:styleId="Advice">
    <w:name w:val="Advice"/>
    <w:pPr>
      <w:spacing w:before="0" w:after="120" w:line="280" w:lineRule="auto"/>
      <w:widowControl/>
    </w:pPr>
    <w:rPr>
      <w:rFonts w:ascii="Times New Roman" w:hAnsi="Times New Roman" w:eastAsia="Times New Roman" w:cs="Times New Roman"/>
      <w:sz w:val="22"/>
      <w:color w:val="000000"/>
    </w:rPr>
  </w:style>
  <w:style w:type="paragraph" w:styleId="Scenario">
    <w:name w:val="Scenario"/>
    <w:pPr>
      <w:spacing w:before="0" w:after="120" w:line="280" w:lineRule="auto"/>
      <w:widowControl/>
    </w:pPr>
    <w:rPr>
      <w:rFonts w:ascii="Times New Roman" w:hAnsi="Times New Roman" w:eastAsia="Times New Roman" w:cs="Times New Roman"/>
      <w:sz w:val="22"/>
      <w:color w:val="000000"/>
    </w:rPr>
  </w:style>
  <w:style w:type="paragraph" w:styleId="Footer">
    <w:name w:val="Footer"/>
    <w:pPr>
      <w:spacing w:before="0" w:after="0" w:line="240" w:lineRule="auto"/>
      <w:widowControl/>
    </w:pPr>
    <w:rPr>
      <w:rFonts w:ascii="Times New Roman" w:hAnsi="Times New Roman" w:eastAsia="Times New Roman" w:cs="Times New Roman"/>
      <w:sz w:val="18"/>
      <w:color w:val="000000"/>
    </w:rPr>
  </w:style>
  <w:style w:type="paragraph" w:styleId="Spacer">
    <w:name w:val="Spacer"/>
    <w:pPr>
      <w:spacing w:before="0" w:after="0" w:line="240" w:lineRule="auto"/>
      <w:widowControl/>
    </w:pPr>
    <w:rPr>
      <w:rFonts w:ascii="Times New Roman" w:hAnsi="Times New Roman" w:eastAsia="Times New Roman" w:cs="Times New Roman"/>
      <w:sz w:val="4"/>
      <w:color w:val="000000"/>
    </w:rPr>
  </w:style>
</w:styles>
</file>

<file path=word/_rels/document.xml.rels><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 Id="link1" Type="http://schemas.openxmlformats.org/officeDocument/2006/relationships/hyperlink" Target="https://consumer.ftc.gov/articles/what-know-about-romance-scams" TargetMode="External"/><Relationship Id="link2" Type="http://schemas.openxmlformats.org/officeDocument/2006/relationships/hyperlink" Target="https://www.fbi.gov/how-we-can-help-you/common-frauds-and-scams/romance-scams" TargetMode="External"/><Relationship Id="link3" Type="http://schemas.openxmlformats.org/officeDocument/2006/relationships/hyperlink" Target="https://www.scamwatch.gov.au/types-of-scams/relationship-scams" TargetMode="External"/><Relationship Id="link4" Type="http://schemas.openxmlformats.org/officeDocument/2006/relationships/hyperlink" Target="https://www.police.uk/advice/advice-and-information/fa/fraud/personal-fraud/romance-fraud/" TargetMode="External"/><Relationship Id="link5" Type="http://schemas.openxmlformats.org/officeDocument/2006/relationships/hyperlink" Target="https://www.uspis.gov/news/scam-article/romance-scam" TargetMode="External"/><Relationship Id="link6" Type="http://schemas.openxmlformats.org/officeDocument/2006/relationships/hyperlink" Target="https://www.esafety.gov.au/key-topics/staying-safe/online-dating" TargetMode="External"/><Relationship Id="link7" Type="http://schemas.openxmlformats.org/officeDocument/2006/relationships/hyperlink" Target="https://www.ic3.gov/PSA/2024/PSA240426" TargetMode="External"/><Relationship Id="link8" Type="http://schemas.openxmlformats.org/officeDocument/2006/relationships/hyperlink" Target="https://www.ic3.gov/PSA/2019/PSA190805" TargetMode="External"/><Relationship Id="link9" Type="http://schemas.openxmlformats.org/officeDocument/2006/relationships/hyperlink" Target="https://www.ic3.gov/PSA/2021/PSA210916" TargetMode="External"/><Relationship Id="link10" Type="http://schemas.openxmlformats.org/officeDocument/2006/relationships/hyperlink" Target="https://www.ic3.gov/PSA/2022/PSA220721" TargetMode="External"/><Relationship Id="link11" Type="http://schemas.openxmlformats.org/officeDocument/2006/relationships/hyperlink" Target="https://centreantifraude-antifraudcentre.ca/scams-fraudes/romance-rencontre-eng.htm?wbdisable=true" TargetMode="External"/><Relationship Id="link12" Type="http://schemas.openxmlformats.org/officeDocument/2006/relationships/hyperlink" Target="https://www.ic3.gov/CrimeInfo/Investment" TargetMode="External"/><Relationship Id="link13" Type="http://schemas.openxmlformats.org/officeDocument/2006/relationships/hyperlink" Target="https://www.cid.army.mil/Portals/118/Documents/Cyber-Flyers/Cyberflyer_RomanceScams_03-11-2020.pdf" TargetMode="External"/><Relationship Id="link14" Type="http://schemas.openxmlformats.org/officeDocument/2006/relationships/hyperlink" Target="https://www.police.gov.sg/media-hub/news/2021/20210321_police_advisory_on_internet_love_scam" TargetMode="External"/><Relationship Id="link15" Type="http://schemas.openxmlformats.org/officeDocument/2006/relationships/hyperlink" Target="https://www.idcare.org/learning-centre/fact-sheets/relationship-scams" TargetMode="External"/><Relationship Id="link16" Type="http://schemas.openxmlformats.org/officeDocument/2006/relationships/hyperlink" Target="https://netsafe.org.nz/scams/romance-scams" TargetMode="External"/><Relationship Id="link17" Type="http://schemas.openxmlformats.org/officeDocument/2006/relationships/hyperlink" Target="https://www.esafety.gov.au/key-topics/staying-safe/catfishing" TargetMode="External"/><Relationship Id="link18" Type="http://schemas.openxmlformats.org/officeDocument/2006/relationships/hyperlink" Target="https://resource.netsafe.org.nz/Netsafe_RomanceFraudGuide_0225_WEB.pdf" TargetMode="External"/><Relationship Id="link19" Type="http://schemas.openxmlformats.org/officeDocument/2006/relationships/hyperlink" Target="https://www.takefive-stopfraud.org.uk/protect-yourself/romance-fraud/" TargetMode="External"/><Relationship Id="link20" Type="http://schemas.openxmlformats.org/officeDocument/2006/relationships/hyperlink" Target="https://policies.tinder.com/community-resources/safety-tips/intl/en/" TargetMode="External"/><Relationship Id="link21" Type="http://schemas.openxmlformats.org/officeDocument/2006/relationships/hyperlink" Target="https://www.esafety.gov.au/key-topics/image-based-abuse/deal-with-sextortion" TargetMode="External"/><Relationship Id="link22" Type="http://schemas.openxmlformats.org/officeDocument/2006/relationships/hyperlink" Target="https://www.scamwatch.gov.au/stop-check-protect/help-someone-whos-being-scammed/red-flags-checklist-for-family-and-friends" TargetMode="External"/><Relationship Id="link23" Type="http://schemas.openxmlformats.org/officeDocument/2006/relationships/hyperlink" Target="https://www.esafety.gov.au/report/how-to-collect-evidence" TargetMode="External"/><Relationship Id="link24" Type="http://schemas.openxmlformats.org/officeDocument/2006/relationships/hyperlink" Target="https://www.ic3.gov/PSA/2024/PSA241203" TargetMode="External"/><Relationship Id="link25" Type="http://schemas.openxmlformats.org/officeDocument/2006/relationships/hyperlink" Target="https://www.scamwatch.gov.au/stop-check-protect/help-to-spot-and-avoid-scams/how-scammers-use-technology-and-ai" TargetMode="External"/><Relationship Id="link26" Type="http://schemas.openxmlformats.org/officeDocument/2006/relationships/hyperlink" Target="https://www.hsbc.co.uk/help/security-centre/how-to-avoid-romance-scams/" TargetMode="External"/><Relationship Id="link27" Type="http://schemas.openxmlformats.org/officeDocument/2006/relationships/hyperlink" Target="https://www.hsbc.co.uk/help/security-centre/fraud-guide/common-scams/" TargetMode="External"/><Relationship Id="link28" Type="http://schemas.openxmlformats.org/officeDocument/2006/relationships/hyperlink" Target="https://www.scamshield.gov.sg/i-want-protection-from-scams/learn-to-recognise-scams/internet-love-scams/" TargetMode="External"/></Relationships>
</file>