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616496" w14:textId="40B7B4EA" w:rsidR="00A42BFB" w:rsidRDefault="00176804">
      <w:pPr>
        <w:rPr>
          <w:b/>
          <w:bCs/>
          <w:sz w:val="32"/>
          <w:szCs w:val="28"/>
        </w:rPr>
      </w:pPr>
      <w:r w:rsidRPr="00176804">
        <w:rPr>
          <w:b/>
          <w:bCs/>
          <w:sz w:val="32"/>
          <w:szCs w:val="28"/>
        </w:rPr>
        <w:t>Li</w:t>
      </w:r>
      <w:r w:rsidRPr="00176804">
        <w:rPr>
          <w:b/>
          <w:bCs/>
          <w:sz w:val="32"/>
          <w:szCs w:val="28"/>
          <w:vertAlign w:val="subscript"/>
        </w:rPr>
        <w:t>x</w:t>
      </w:r>
      <w:r w:rsidRPr="00176804">
        <w:rPr>
          <w:b/>
          <w:bCs/>
          <w:sz w:val="32"/>
          <w:szCs w:val="28"/>
        </w:rPr>
        <w:t>PON and Li</w:t>
      </w:r>
      <w:r w:rsidRPr="00176804">
        <w:rPr>
          <w:b/>
          <w:bCs/>
          <w:sz w:val="32"/>
          <w:szCs w:val="28"/>
          <w:vertAlign w:val="subscript"/>
        </w:rPr>
        <w:t>x</w:t>
      </w:r>
      <w:r w:rsidRPr="00176804">
        <w:rPr>
          <w:b/>
          <w:bCs/>
          <w:sz w:val="32"/>
          <w:szCs w:val="28"/>
        </w:rPr>
        <w:t>SiPON</w:t>
      </w:r>
    </w:p>
    <w:p w14:paraId="7D87E847" w14:textId="319A7C61" w:rsidR="00747E53" w:rsidRPr="001237CA" w:rsidRDefault="00747E53" w:rsidP="00747E53">
      <w:r>
        <w:t>M</w:t>
      </w:r>
      <w:r w:rsidRPr="001237CA">
        <w:t>ost solid</w:t>
      </w:r>
      <w:r w:rsidR="00A1704F">
        <w:t>-state</w:t>
      </w:r>
      <w:r w:rsidRPr="001237CA">
        <w:t xml:space="preserve"> electrolytes </w:t>
      </w:r>
      <w:r w:rsidR="00A1704F">
        <w:t xml:space="preserve">(SSEs) </w:t>
      </w:r>
      <w:r w:rsidRPr="001237CA">
        <w:t>suffer from low ionic conductivities, a limited stability window, or f</w:t>
      </w:r>
      <w:r w:rsidR="00C01088">
        <w:t>or</w:t>
      </w:r>
      <w:r w:rsidRPr="001237CA">
        <w:t xml:space="preserve">m irreversible reduction </w:t>
      </w:r>
      <w:r w:rsidR="00081B9D">
        <w:t>(</w:t>
      </w:r>
      <w:r w:rsidRPr="001237CA">
        <w:t xml:space="preserve">e.g. </w:t>
      </w:r>
      <w:r w:rsidR="00591B87">
        <w:t>NASICON-type SSEs</w:t>
      </w:r>
      <w:r w:rsidR="00081B9D">
        <w:t>)</w:t>
      </w:r>
      <w:r w:rsidRPr="001237CA">
        <w:t xml:space="preserve"> on cycling or lithium dendrite growth along grain boundaries (e.g. </w:t>
      </w:r>
      <w:r w:rsidR="00A17FFC">
        <w:t>garnet-type SSEs</w:t>
      </w:r>
      <w:r w:rsidRPr="001237CA">
        <w:t>) leading to short circuiting. Fortunately, amorphous lithium phosphorus oxynitride (LiPON)</w:t>
      </w:r>
      <w:r>
        <w:t xml:space="preserve"> glasses</w:t>
      </w:r>
      <w:r w:rsidRPr="001237CA">
        <w:t xml:space="preserve"> ha</w:t>
      </w:r>
      <w:r>
        <w:t>ve</w:t>
      </w:r>
      <w:r w:rsidRPr="001237CA">
        <w:t xml:space="preserve"> been found to offer protection against both processes. </w:t>
      </w:r>
    </w:p>
    <w:p w14:paraId="61E6E45A" w14:textId="22B6F681" w:rsidR="00747E53" w:rsidRPr="001237CA" w:rsidRDefault="00747E53" w:rsidP="00747E53">
      <w:r w:rsidRPr="001237CA">
        <w:t xml:space="preserve"> LiPON is one of the most commonly employed solid-state electrolytes owing to its broad electrochemical stability window (0-5 V </w:t>
      </w:r>
      <w:r w:rsidRPr="00946ED1">
        <w:rPr>
          <w:i/>
          <w:iCs/>
          <w:shd w:val="clear" w:color="auto" w:fill="FFFFFF"/>
        </w:rPr>
        <w:t>vs</w:t>
      </w:r>
      <w:r w:rsidRPr="00946ED1">
        <w:rPr>
          <w:shd w:val="clear" w:color="auto" w:fill="FFFFFF"/>
        </w:rPr>
        <w:t>.</w:t>
      </w:r>
      <w:r w:rsidRPr="001237CA">
        <w:t xml:space="preserve"> Li</w:t>
      </w:r>
      <w:r w:rsidRPr="001237CA">
        <w:rPr>
          <w:vertAlign w:val="superscript"/>
        </w:rPr>
        <w:t>+</w:t>
      </w:r>
      <w:r w:rsidRPr="001237CA">
        <w:t>/Li), high critical current density (&gt;10 mA/cm</w:t>
      </w:r>
      <w:r w:rsidRPr="001237CA">
        <w:rPr>
          <w:vertAlign w:val="superscript"/>
        </w:rPr>
        <w:t>2</w:t>
      </w:r>
      <w:r w:rsidRPr="001237CA">
        <w:t>), and negligible electronic conductivity (10</w:t>
      </w:r>
      <w:r w:rsidRPr="001237CA">
        <w:rPr>
          <w:vertAlign w:val="superscript"/>
        </w:rPr>
        <w:t>-</w:t>
      </w:r>
      <w:r>
        <w:rPr>
          <w:vertAlign w:val="superscript"/>
        </w:rPr>
        <w:t>13</w:t>
      </w:r>
      <w:r w:rsidRPr="001237CA">
        <w:t xml:space="preserve"> S</w:t>
      </w:r>
      <w:r>
        <w:t>/</w:t>
      </w:r>
      <w:r w:rsidRPr="001237CA">
        <w:t xml:space="preserve">cm). </w:t>
      </w:r>
      <w:r w:rsidR="000A1975">
        <w:t>It is also</w:t>
      </w:r>
      <w:r w:rsidR="000A1975" w:rsidRPr="00D73013">
        <w:t xml:space="preserve"> resist</w:t>
      </w:r>
      <w:r w:rsidR="000A1975">
        <w:t>ant against</w:t>
      </w:r>
      <w:r w:rsidR="000A1975" w:rsidRPr="00D73013">
        <w:t xml:space="preserve"> dendrite penetration</w:t>
      </w:r>
      <w:r w:rsidR="000A1975">
        <w:t xml:space="preserve"> and </w:t>
      </w:r>
      <w:r w:rsidR="000A1975" w:rsidRPr="00D73013">
        <w:t>wet</w:t>
      </w:r>
      <w:r w:rsidR="000A1975">
        <w:t>s well w</w:t>
      </w:r>
      <w:r w:rsidR="000A1975" w:rsidRPr="00D73013">
        <w:t>ith Li metal</w:t>
      </w:r>
      <w:r w:rsidR="000A1975">
        <w:t xml:space="preserve">. </w:t>
      </w:r>
      <w:r w:rsidRPr="001237CA">
        <w:t>However, due to its limited ionic conductivity (</w:t>
      </w:r>
      <w:r w:rsidR="00086EF8">
        <w:t>typically up to ~</w:t>
      </w:r>
      <w:r w:rsidRPr="001237CA">
        <w:t>10</w:t>
      </w:r>
      <w:r w:rsidRPr="001237CA">
        <w:rPr>
          <w:vertAlign w:val="superscript"/>
        </w:rPr>
        <w:t>-6</w:t>
      </w:r>
      <w:r w:rsidRPr="001237CA">
        <w:t xml:space="preserve"> S/cm), its application is restricted to thin-film batteries with limited energy densities and capacities.</w:t>
      </w:r>
      <w:r w:rsidR="00086EF8" w:rsidRPr="001237CA">
        <w:t xml:space="preserve"> </w:t>
      </w:r>
    </w:p>
    <w:p w14:paraId="077C439B" w14:textId="4604EC0D" w:rsidR="009C4420" w:rsidRDefault="009C4420" w:rsidP="009C4420">
      <w:r>
        <w:t>S</w:t>
      </w:r>
      <w:r w:rsidRPr="001237CA">
        <w:t xml:space="preserve">ilicon-containing LiPON (or LiSiPON) has </w:t>
      </w:r>
      <w:r>
        <w:t xml:space="preserve">also </w:t>
      </w:r>
      <w:r w:rsidRPr="001237CA">
        <w:t xml:space="preserve">attracted attention due to its increased ionic conductivity induced by </w:t>
      </w:r>
      <w:r w:rsidR="00801EF5">
        <w:t>Si</w:t>
      </w:r>
      <w:r w:rsidRPr="001237CA">
        <w:t xml:space="preserve"> doping</w:t>
      </w:r>
      <w:r>
        <w:t>, as suggested by the figure below.</w:t>
      </w:r>
      <w:r w:rsidR="00B91D7C">
        <w:fldChar w:fldCharType="begin"/>
      </w:r>
      <w:r w:rsidR="00B91D7C">
        <w:instrText xml:space="preserve"> ADDIN ZOTERO_ITEM CSL_CITATION {"citationID":"uKbcTpHn","properties":{"formattedCitation":"\\super 1\\nosupersub{}","plainCitation":"1","noteIndex":0},"citationItems":[{"id":1325,"uris":["http://zotero.org/users/6746883/items/5NXWD625"],"uri":["http://zotero.org/users/6746883/items/5NXWD625"],"itemData":{"id":1325,"type":"article-journal","abstract":"The current commercial standard thin film electrolyte LiPON is the limiting factor for the further development of microbatteries due to its low Li+ ionic conductivity (2 × 10–6 S/cm). In order to produce more conductive electrolytes and elucidate the synthesis–properties interrelation for this system, we sputtered thin films from single-phase ceramic targets of composition Li3+xSixP1–xO4 under Ar and N2 atmospheres. The amorphous thin films produced under Ar (LiSiPO) are more conducting than the crystalline target materials (amorphization effect). Furthermore, the fact that the resulting amorphous films contain both phosphate and silicate building units (mixed-former effect) increases the conductivity to approximately the values of LiPON (10–6 S/cm). Reactive sputtering under N2 leads to oxynitride (LiSiPON) thin films with a maximum Li+ ionic conductivity of 2.06 × 10–5 S/cm (Ea = 0.45 eV), about 1 order of magnitude higher than LiPON, in accordance with previous works. These results are discussed in the context of available literature in order to elucidate the effect of Si:P and Li:(Si + P) compositional ratios on ionic conductivity. Finally, we expose a target-dependent effect of nonstoichiometric, Li-deficient depositions that is a current impediment to sputtering of highly Li+-conductive targets.","container-title":"ACS Applied Energy Materials","DOI":"10.1021/acsaem.9b00415","issue":"7","journalAbbreviation":"ACS Appl. Energy Mater.","note":"publisher: American Chemical Society","page":"4782-4791","source":"ACS Publications","title":"Composition Dependence of Ionic Conductivity in LiSiPO(N) Thin-Film Electrolytes for Solid-State Batteries","volume":"2","author":[{"family":"Famprikis","given":"Theodosios"},{"family":"Galipaud","given":"Jules"},{"family":"Clemens","given":"Oliver"},{"family":"Pecquenard","given":"Brigitte"},{"family":"Le Cras","given":"Frédéric"}],"issued":{"date-parts":[["2019",7,22]]}}}],"schema":"https://github.com/citation-style-language/schema/raw/master/csl-citation.json"} </w:instrText>
      </w:r>
      <w:r w:rsidR="00B91D7C">
        <w:fldChar w:fldCharType="separate"/>
      </w:r>
      <w:r w:rsidR="00B91D7C" w:rsidRPr="00B91D7C">
        <w:rPr>
          <w:rFonts w:cs="Times New Roman"/>
          <w:szCs w:val="24"/>
          <w:vertAlign w:val="superscript"/>
        </w:rPr>
        <w:t>1</w:t>
      </w:r>
      <w:r w:rsidR="00B91D7C">
        <w:fldChar w:fldCharType="end"/>
      </w:r>
      <w:r>
        <w:t xml:space="preserve"> </w:t>
      </w:r>
      <w:r w:rsidR="001035BF">
        <w:t>Generally, with Si</w:t>
      </w:r>
      <w:r w:rsidR="002D2B48">
        <w:t xml:space="preserve"> </w:t>
      </w:r>
      <w:r w:rsidR="001035BF">
        <w:t xml:space="preserve">doping, ionic conductivities of LiSiPON are </w:t>
      </w:r>
      <w:r w:rsidR="001035BF" w:rsidRPr="001035BF">
        <w:t xml:space="preserve">up to </w:t>
      </w:r>
      <w:r w:rsidR="00B91D7C">
        <w:t>~</w:t>
      </w:r>
      <w:r w:rsidR="001035BF" w:rsidRPr="001035BF">
        <w:t>10</w:t>
      </w:r>
      <w:r w:rsidR="001035BF" w:rsidRPr="001035BF">
        <w:rPr>
          <w:vertAlign w:val="superscript"/>
        </w:rPr>
        <w:t>−5</w:t>
      </w:r>
      <w:r w:rsidR="001035BF" w:rsidRPr="001035BF">
        <w:t xml:space="preserve"> S/cm vs. 10</w:t>
      </w:r>
      <w:r w:rsidR="001035BF" w:rsidRPr="001035BF">
        <w:rPr>
          <w:vertAlign w:val="superscript"/>
        </w:rPr>
        <w:t>-6</w:t>
      </w:r>
      <w:r w:rsidR="001035BF" w:rsidRPr="001035BF">
        <w:t xml:space="preserve"> S/cm for LiPON</w:t>
      </w:r>
      <w:r w:rsidR="001035BF">
        <w:t xml:space="preserve">. </w:t>
      </w:r>
      <w:r>
        <w:t xml:space="preserve">Note that </w:t>
      </w:r>
      <w:r w:rsidR="000A1975">
        <w:t xml:space="preserve">the </w:t>
      </w:r>
      <w:r>
        <w:t xml:space="preserve">effect of nitridation is discussed in the </w:t>
      </w:r>
      <w:r w:rsidRPr="009C4420">
        <w:rPr>
          <w:b/>
          <w:bCs/>
        </w:rPr>
        <w:t>Intro</w:t>
      </w:r>
      <w:r>
        <w:t xml:space="preserve"> page. </w:t>
      </w:r>
    </w:p>
    <w:p w14:paraId="784D9A7E" w14:textId="6BF1CBDB" w:rsidR="009C4420" w:rsidRDefault="009C4420" w:rsidP="009C4420">
      <w:pPr>
        <w:pStyle w:val="Figure"/>
      </w:pPr>
      <w:r w:rsidRPr="009C4420">
        <w:rPr>
          <w:noProof/>
        </w:rPr>
        <w:drawing>
          <wp:inline distT="0" distB="0" distL="0" distR="0" wp14:anchorId="36268C57" wp14:editId="7FE2C223">
            <wp:extent cx="5026658" cy="3659531"/>
            <wp:effectExtent l="0" t="0" r="3175" b="0"/>
            <wp:docPr id="14" name="Picture 13" descr="Chart, diagram&#10;&#10;Description automatically generated">
              <a:extLst xmlns:a="http://schemas.openxmlformats.org/drawingml/2006/main">
                <a:ext uri="{FF2B5EF4-FFF2-40B4-BE49-F238E27FC236}">
                  <a16:creationId xmlns:a16="http://schemas.microsoft.com/office/drawing/2014/main" id="{C8028B24-B3EC-46A3-9610-5EC6A1EBD13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descr="Chart, diagram&#10;&#10;Description automatically generated">
                      <a:extLst>
                        <a:ext uri="{FF2B5EF4-FFF2-40B4-BE49-F238E27FC236}">
                          <a16:creationId xmlns:a16="http://schemas.microsoft.com/office/drawing/2014/main" id="{C8028B24-B3EC-46A3-9610-5EC6A1EBD139}"/>
                        </a:ext>
                      </a:extLst>
                    </pic:cNvPr>
                    <pic:cNvPicPr>
                      <a:picLocks noChangeAspect="1"/>
                    </pic:cNvPicPr>
                  </pic:nvPicPr>
                  <pic:blipFill>
                    <a:blip r:embed="rId5"/>
                    <a:stretch>
                      <a:fillRect/>
                    </a:stretch>
                  </pic:blipFill>
                  <pic:spPr>
                    <a:xfrm>
                      <a:off x="0" y="0"/>
                      <a:ext cx="5026658" cy="3659531"/>
                    </a:xfrm>
                    <a:prstGeom prst="rect">
                      <a:avLst/>
                    </a:prstGeom>
                  </pic:spPr>
                </pic:pic>
              </a:graphicData>
            </a:graphic>
          </wp:inline>
        </w:drawing>
      </w:r>
    </w:p>
    <w:p w14:paraId="406F3A98" w14:textId="77777777" w:rsidR="00B91D7C" w:rsidRPr="00B91D7C" w:rsidRDefault="00B91D7C" w:rsidP="00B91D7C">
      <w:pPr>
        <w:pStyle w:val="Bibliography"/>
        <w:rPr>
          <w:rFonts w:cs="Times New Roman"/>
        </w:rPr>
      </w:pPr>
      <w:r>
        <w:fldChar w:fldCharType="begin"/>
      </w:r>
      <w:r>
        <w:instrText xml:space="preserve"> ADDIN ZOTERO_BIBL {"uncited":[],"omitted":[],"custom":[]} CSL_BIBLIOGRAPHY </w:instrText>
      </w:r>
      <w:r>
        <w:fldChar w:fldCharType="separate"/>
      </w:r>
      <w:r w:rsidRPr="00B91D7C">
        <w:rPr>
          <w:rFonts w:cs="Times New Roman"/>
        </w:rPr>
        <w:t xml:space="preserve">(1) </w:t>
      </w:r>
      <w:r w:rsidRPr="00B91D7C">
        <w:rPr>
          <w:rFonts w:cs="Times New Roman"/>
        </w:rPr>
        <w:tab/>
        <w:t xml:space="preserve">Famprikis, T.; Galipaud, J.; Clemens, O.; Pecquenard, B.; Le Cras, F. Composition Dependence of Ionic Conductivity in LiSiPO(N) Thin-Film Electrolytes for Solid-State </w:t>
      </w:r>
      <w:r w:rsidRPr="00B91D7C">
        <w:rPr>
          <w:rFonts w:cs="Times New Roman"/>
        </w:rPr>
        <w:lastRenderedPageBreak/>
        <w:t xml:space="preserve">Batteries. </w:t>
      </w:r>
      <w:r w:rsidRPr="00B91D7C">
        <w:rPr>
          <w:rFonts w:cs="Times New Roman"/>
          <w:i/>
          <w:iCs/>
        </w:rPr>
        <w:t>ACS Appl. Energy Mater.</w:t>
      </w:r>
      <w:r w:rsidRPr="00B91D7C">
        <w:rPr>
          <w:rFonts w:cs="Times New Roman"/>
        </w:rPr>
        <w:t xml:space="preserve"> </w:t>
      </w:r>
      <w:r w:rsidRPr="00B91D7C">
        <w:rPr>
          <w:rFonts w:cs="Times New Roman"/>
          <w:b/>
          <w:bCs/>
        </w:rPr>
        <w:t>2019</w:t>
      </w:r>
      <w:r w:rsidRPr="00B91D7C">
        <w:rPr>
          <w:rFonts w:cs="Times New Roman"/>
        </w:rPr>
        <w:t xml:space="preserve">, </w:t>
      </w:r>
      <w:r w:rsidRPr="00B91D7C">
        <w:rPr>
          <w:rFonts w:cs="Times New Roman"/>
          <w:i/>
          <w:iCs/>
        </w:rPr>
        <w:t>2</w:t>
      </w:r>
      <w:r w:rsidRPr="00B91D7C">
        <w:rPr>
          <w:rFonts w:cs="Times New Roman"/>
        </w:rPr>
        <w:t xml:space="preserve"> (7), 4782–4791. https://doi.org/10.1021/acsaem.9b00415.</w:t>
      </w:r>
    </w:p>
    <w:p w14:paraId="1ED4BBE6" w14:textId="77777777" w:rsidR="00241AA7" w:rsidRDefault="00B91D7C" w:rsidP="00D11C72">
      <w:r>
        <w:fldChar w:fldCharType="end"/>
      </w:r>
    </w:p>
    <w:p w14:paraId="19EE3952" w14:textId="0593743A" w:rsidR="00E92F64" w:rsidRPr="001237CA" w:rsidRDefault="00AF62BE" w:rsidP="00D11C72">
      <w:r>
        <w:t>Unfortunately, to date LiPON glasses are fabricated through gas phase deposition</w:t>
      </w:r>
      <w:r w:rsidR="00E92F64">
        <w:t xml:space="preserve"> methods</w:t>
      </w:r>
      <w:r>
        <w:t>,</w:t>
      </w:r>
      <w:r w:rsidR="00E92F64">
        <w:t xml:space="preserve"> which generally have</w:t>
      </w:r>
      <w:r w:rsidR="00E92F64" w:rsidRPr="001237CA">
        <w:t xml:space="preserve"> low deposition rates (typically &lt;100 nm/min</w:t>
      </w:r>
      <w:r w:rsidR="00D11C72" w:rsidRPr="001237CA">
        <w:t>) and</w:t>
      </w:r>
      <w:r w:rsidR="00E92F64" w:rsidRPr="001237CA">
        <w:t xml:space="preserve"> </w:t>
      </w:r>
      <w:r w:rsidR="00E92F64">
        <w:t>require</w:t>
      </w:r>
      <w:r w:rsidR="00E92F64" w:rsidRPr="001237CA">
        <w:t xml:space="preserve"> specialized apparatus</w:t>
      </w:r>
      <w:r w:rsidR="00E92F64">
        <w:t>. As a result,</w:t>
      </w:r>
      <w:r w:rsidR="00E92F64" w:rsidRPr="001237CA">
        <w:t xml:space="preserve"> fabrication of large</w:t>
      </w:r>
      <w:r w:rsidR="00D11C72">
        <w:t xml:space="preserve"> and</w:t>
      </w:r>
      <w:r w:rsidR="00E92F64" w:rsidRPr="001237CA">
        <w:t xml:space="preserve"> homogeneous composition targets </w:t>
      </w:r>
      <w:r w:rsidR="00D11C72">
        <w:t>is</w:t>
      </w:r>
      <w:r w:rsidR="00E92F64" w:rsidRPr="001237CA">
        <w:t xml:space="preserve"> costly at commodity scales. Thu</w:t>
      </w:r>
      <w:r w:rsidR="006638D1">
        <w:t>s</w:t>
      </w:r>
      <w:r w:rsidR="00E92F64" w:rsidRPr="001237CA">
        <w:t xml:space="preserve">, there are considerable economic and performance mandates driving the search for easier processing routes to the same materials especially for the practical processing of </w:t>
      </w:r>
      <w:r w:rsidR="00E92F64">
        <w:t>ASSBs</w:t>
      </w:r>
      <w:r w:rsidR="00E92F64" w:rsidRPr="001237CA">
        <w:t xml:space="preserve">. The use of chemical precursor routes to the same materials seems to offer considerable potential to solve these issues. </w:t>
      </w:r>
    </w:p>
    <w:p w14:paraId="5BA2561C" w14:textId="20269682" w:rsidR="00D11C72" w:rsidRDefault="00AF62BE" w:rsidP="00D11C72">
      <w:r>
        <w:t xml:space="preserve"> </w:t>
      </w:r>
      <w:r w:rsidR="00D11C72" w:rsidRPr="001237CA">
        <w:t>Our designed approach uses easily available starting materials</w:t>
      </w:r>
      <w:r w:rsidR="00D11C72">
        <w:t>,</w:t>
      </w:r>
      <w:r w:rsidR="00D11C72" w:rsidRPr="001237CA">
        <w:t xml:space="preserve"> either OPCl</w:t>
      </w:r>
      <w:r w:rsidR="00D11C72" w:rsidRPr="001237CA">
        <w:rPr>
          <w:vertAlign w:val="subscript"/>
        </w:rPr>
        <w:t>3</w:t>
      </w:r>
      <w:r w:rsidR="00D11C72" w:rsidRPr="001237CA">
        <w:t xml:space="preserve"> or [Cl</w:t>
      </w:r>
      <w:r w:rsidR="00D11C72" w:rsidRPr="001237CA">
        <w:rPr>
          <w:vertAlign w:val="subscript"/>
        </w:rPr>
        <w:t>2</w:t>
      </w:r>
      <w:r w:rsidR="00D11C72" w:rsidRPr="001237CA">
        <w:t>P=N]</w:t>
      </w:r>
      <w:r w:rsidR="00D11C72" w:rsidRPr="001237CA">
        <w:rPr>
          <w:vertAlign w:val="subscript"/>
        </w:rPr>
        <w:t>3</w:t>
      </w:r>
      <w:r w:rsidR="00D11C72" w:rsidRPr="001237CA">
        <w:t xml:space="preserve">. The resulting precursors are typically oligomers or low </w:t>
      </w:r>
      <w:r w:rsidR="00D11C72">
        <w:t>molecular</w:t>
      </w:r>
      <w:r w:rsidR="00967D6F">
        <w:t xml:space="preserve"> weight</w:t>
      </w:r>
      <w:r w:rsidR="00D11C72">
        <w:t xml:space="preserve"> (</w:t>
      </w:r>
      <w:r w:rsidR="00D11C72" w:rsidRPr="001237CA">
        <w:t>MW</w:t>
      </w:r>
      <w:r w:rsidR="00D11C72">
        <w:t>)</w:t>
      </w:r>
      <w:r w:rsidR="00D11C72" w:rsidRPr="001237CA">
        <w:t xml:space="preserve"> polymers derived from lithiation of OP(NH</w:t>
      </w:r>
      <w:r w:rsidR="00D11C72" w:rsidRPr="001237CA">
        <w:rPr>
          <w:vertAlign w:val="subscript"/>
        </w:rPr>
        <w:t>2</w:t>
      </w:r>
      <w:r w:rsidR="00D11C72" w:rsidRPr="001237CA">
        <w:t>)</w:t>
      </w:r>
      <w:r w:rsidR="00D11C72" w:rsidRPr="001237CA">
        <w:rPr>
          <w:vertAlign w:val="subscript"/>
        </w:rPr>
        <w:t>3-x</w:t>
      </w:r>
      <w:r w:rsidR="00D11C72" w:rsidRPr="001237CA">
        <w:t>(NH)</w:t>
      </w:r>
      <w:r w:rsidR="00D11C72" w:rsidRPr="001237CA">
        <w:rPr>
          <w:vertAlign w:val="subscript"/>
        </w:rPr>
        <w:t>x</w:t>
      </w:r>
      <w:r w:rsidR="00D11C72" w:rsidRPr="001237CA">
        <w:t xml:space="preserve"> [from OP(NH)</w:t>
      </w:r>
      <w:r w:rsidR="00D11C72" w:rsidRPr="001237CA">
        <w:rPr>
          <w:vertAlign w:val="subscript"/>
        </w:rPr>
        <w:t>3</w:t>
      </w:r>
      <w:r w:rsidR="00D11C72" w:rsidRPr="001237CA">
        <w:t>],</w:t>
      </w:r>
      <w:r w:rsidR="00D11C72" w:rsidRPr="001237CA">
        <w:rPr>
          <w:vertAlign w:val="subscript"/>
        </w:rPr>
        <w:t xml:space="preserve"> </w:t>
      </w:r>
      <w:r w:rsidR="00D11C72" w:rsidRPr="001237CA">
        <w:t>OP(NH</w:t>
      </w:r>
      <w:r w:rsidR="00D11C72" w:rsidRPr="001237CA">
        <w:rPr>
          <w:vertAlign w:val="subscript"/>
        </w:rPr>
        <w:t>2</w:t>
      </w:r>
      <w:r w:rsidR="00D11C72" w:rsidRPr="001237CA">
        <w:t>)</w:t>
      </w:r>
      <w:r w:rsidR="00D11C72" w:rsidRPr="001237CA">
        <w:rPr>
          <w:vertAlign w:val="subscript"/>
        </w:rPr>
        <w:t>3-x</w:t>
      </w:r>
      <w:r w:rsidR="00D11C72" w:rsidRPr="001237CA">
        <w:t>(NHSiMe</w:t>
      </w:r>
      <w:r w:rsidR="00D11C72" w:rsidRPr="001237CA">
        <w:rPr>
          <w:vertAlign w:val="subscript"/>
        </w:rPr>
        <w:t>3</w:t>
      </w:r>
      <w:r w:rsidR="00D11C72" w:rsidRPr="001237CA">
        <w:t>)</w:t>
      </w:r>
      <w:r w:rsidR="00D11C72" w:rsidRPr="001237CA">
        <w:rPr>
          <w:vertAlign w:val="subscript"/>
        </w:rPr>
        <w:t>x</w:t>
      </w:r>
      <w:r w:rsidR="00D11C72" w:rsidRPr="001237CA">
        <w:t xml:space="preserve"> and [P=N]</w:t>
      </w:r>
      <w:r w:rsidR="00D11C72" w:rsidRPr="001237CA">
        <w:rPr>
          <w:vertAlign w:val="subscript"/>
        </w:rPr>
        <w:t>3</w:t>
      </w:r>
      <w:r w:rsidR="00D11C72" w:rsidRPr="001237CA">
        <w:t>(NHSiMe</w:t>
      </w:r>
      <w:r w:rsidR="00D11C72" w:rsidRPr="001237CA">
        <w:rPr>
          <w:vertAlign w:val="subscript"/>
        </w:rPr>
        <w:t>3</w:t>
      </w:r>
      <w:r w:rsidR="00D11C72" w:rsidRPr="001237CA">
        <w:t>)</w:t>
      </w:r>
      <w:r w:rsidR="00D11C72" w:rsidRPr="001237CA">
        <w:rPr>
          <w:vertAlign w:val="subscript"/>
        </w:rPr>
        <w:t>6-x</w:t>
      </w:r>
      <w:r w:rsidR="00D11C72" w:rsidRPr="001237CA">
        <w:t>(NH)</w:t>
      </w:r>
      <w:r w:rsidR="00D11C72" w:rsidRPr="001237CA">
        <w:rPr>
          <w:vertAlign w:val="subscript"/>
        </w:rPr>
        <w:t>x</w:t>
      </w:r>
      <w:r w:rsidR="00D11C72" w:rsidRPr="001237CA">
        <w:t>, respectively</w:t>
      </w:r>
      <w:r w:rsidR="00C12A48">
        <w:t xml:space="preserve"> (see the schematic b</w:t>
      </w:r>
      <w:r w:rsidR="00875227">
        <w:t>e</w:t>
      </w:r>
      <w:r w:rsidR="00C12A48">
        <w:t>low)</w:t>
      </w:r>
      <w:r w:rsidR="00D11C72" w:rsidRPr="001237CA">
        <w:t>. Selected amounts of LiNH</w:t>
      </w:r>
      <w:r w:rsidR="00D11C72" w:rsidRPr="001237CA">
        <w:rPr>
          <w:vertAlign w:val="subscript"/>
        </w:rPr>
        <w:t>2</w:t>
      </w:r>
      <w:r w:rsidR="00D11C72" w:rsidRPr="001237CA">
        <w:t xml:space="preserve"> provide varying degrees of lithiation and Li</w:t>
      </w:r>
      <w:r w:rsidR="00D11C72" w:rsidRPr="001237CA">
        <w:rPr>
          <w:vertAlign w:val="superscript"/>
        </w:rPr>
        <w:t>+</w:t>
      </w:r>
      <w:r w:rsidR="00D11C72" w:rsidRPr="001237CA">
        <w:t xml:space="preserve"> conducting properties commensurate with Li</w:t>
      </w:r>
      <w:r w:rsidR="00D11C72" w:rsidRPr="001237CA">
        <w:rPr>
          <w:vertAlign w:val="superscript"/>
        </w:rPr>
        <w:t>+</w:t>
      </w:r>
      <w:r w:rsidR="00D11C72" w:rsidRPr="001237CA">
        <w:t xml:space="preserve"> content.</w:t>
      </w:r>
      <w:r w:rsidR="00D11C72">
        <w:t xml:space="preserve"> </w:t>
      </w:r>
      <w:r w:rsidR="006D783D">
        <w:t xml:space="preserve">Overall, </w:t>
      </w:r>
      <w:r w:rsidR="00154ADD">
        <w:t xml:space="preserve">the </w:t>
      </w:r>
      <w:r w:rsidR="00AA41A4">
        <w:t>Li</w:t>
      </w:r>
      <w:r w:rsidR="00AA41A4" w:rsidRPr="00AA41A4">
        <w:rPr>
          <w:vertAlign w:val="subscript"/>
        </w:rPr>
        <w:t>x</w:t>
      </w:r>
      <w:r w:rsidR="00AA41A4">
        <w:t>PON and Li</w:t>
      </w:r>
      <w:r w:rsidR="00AA41A4" w:rsidRPr="00AA41A4">
        <w:rPr>
          <w:vertAlign w:val="subscript"/>
        </w:rPr>
        <w:t>x</w:t>
      </w:r>
      <w:r w:rsidR="00AA41A4">
        <w:t>SiPON precursors mimic LiPON and LiSiPON glasses respectively, while Li</w:t>
      </w:r>
      <w:r w:rsidR="00AA41A4" w:rsidRPr="00AA41A4">
        <w:rPr>
          <w:vertAlign w:val="subscript"/>
        </w:rPr>
        <w:t>x</w:t>
      </w:r>
      <w:r w:rsidR="00AA41A4">
        <w:t xml:space="preserve">SiPHN precursors explore new possibilities of fully replacing O with N. </w:t>
      </w:r>
    </w:p>
    <w:p w14:paraId="3CC40FB4" w14:textId="721A1307" w:rsidR="00C12A48" w:rsidRDefault="00C12A48" w:rsidP="00C12A48">
      <w:pPr>
        <w:pStyle w:val="Figure"/>
      </w:pPr>
      <w:r w:rsidRPr="00C12A48">
        <w:rPr>
          <w:noProof/>
        </w:rPr>
        <w:drawing>
          <wp:inline distT="0" distB="0" distL="0" distR="0" wp14:anchorId="6D58EC1A" wp14:editId="3F772173">
            <wp:extent cx="5943600" cy="2879090"/>
            <wp:effectExtent l="0" t="0" r="0" b="0"/>
            <wp:docPr id="3" name="Picture 2" descr="A picture containing text&#10;&#10;Description automatically generated">
              <a:extLst xmlns:a="http://schemas.openxmlformats.org/drawingml/2006/main">
                <a:ext uri="{FF2B5EF4-FFF2-40B4-BE49-F238E27FC236}">
                  <a16:creationId xmlns:a16="http://schemas.microsoft.com/office/drawing/2014/main" id="{9061E0E1-9A0D-48CE-8333-4B15ED56E15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picture containing text&#10;&#10;Description automatically generated">
                      <a:extLst>
                        <a:ext uri="{FF2B5EF4-FFF2-40B4-BE49-F238E27FC236}">
                          <a16:creationId xmlns:a16="http://schemas.microsoft.com/office/drawing/2014/main" id="{9061E0E1-9A0D-48CE-8333-4B15ED56E153}"/>
                        </a:ext>
                      </a:extLst>
                    </pic:cNvPr>
                    <pic:cNvPicPr>
                      <a:picLocks noChangeAspect="1"/>
                    </pic:cNvPicPr>
                  </pic:nvPicPr>
                  <pic:blipFill>
                    <a:blip r:embed="rId6"/>
                    <a:stretch>
                      <a:fillRect/>
                    </a:stretch>
                  </pic:blipFill>
                  <pic:spPr>
                    <a:xfrm>
                      <a:off x="0" y="0"/>
                      <a:ext cx="5943600" cy="2879090"/>
                    </a:xfrm>
                    <a:prstGeom prst="rect">
                      <a:avLst/>
                    </a:prstGeom>
                  </pic:spPr>
                </pic:pic>
              </a:graphicData>
            </a:graphic>
          </wp:inline>
        </w:drawing>
      </w:r>
    </w:p>
    <w:p w14:paraId="14F5B4BD" w14:textId="6B257B36" w:rsidR="007943C1" w:rsidRDefault="00875227" w:rsidP="00D11C72">
      <w:r>
        <w:t>I</w:t>
      </w:r>
      <w:r w:rsidR="00D11C72" w:rsidRPr="00ED634F">
        <w:t>n-depth characterization of the</w:t>
      </w:r>
      <w:r>
        <w:t xml:space="preserve">se </w:t>
      </w:r>
      <w:r w:rsidR="00D11C72" w:rsidRPr="00ED634F">
        <w:t xml:space="preserve">precursors </w:t>
      </w:r>
      <w:r w:rsidR="001E7DF5">
        <w:t>provides</w:t>
      </w:r>
      <w:r w:rsidR="00D11C72" w:rsidRPr="00ED634F">
        <w:t xml:space="preserve"> detailed analyses of various structural components, and Li</w:t>
      </w:r>
      <w:r w:rsidR="00D11C72" w:rsidRPr="00ED634F">
        <w:rPr>
          <w:vertAlign w:val="superscript"/>
        </w:rPr>
        <w:t>+</w:t>
      </w:r>
      <w:r w:rsidR="00D11C72" w:rsidRPr="00ED634F">
        <w:t xml:space="preserve"> environments. A diverse set of analytical methods were used including GPC, TGA, MALDI, NMR and XPS. Furthermore, FTIR, XRD</w:t>
      </w:r>
      <w:r w:rsidR="007D1F0A">
        <w:t>, SEM-EDX</w:t>
      </w:r>
      <w:r w:rsidR="00D11C72" w:rsidRPr="00ED634F">
        <w:t xml:space="preserve"> and EIS characterization </w:t>
      </w:r>
      <w:r w:rsidR="00D11C72" w:rsidRPr="00ED634F">
        <w:lastRenderedPageBreak/>
        <w:t>was conducted on all precursors following heating to 100-600 °C</w:t>
      </w:r>
      <w:r w:rsidR="001E7DF5">
        <w:t>,</w:t>
      </w:r>
      <w:r w:rsidR="00D11C72" w:rsidRPr="00ED634F">
        <w:t xml:space="preserve"> as phase and compositional changes are anticipated to influence materials’ processing methods and conductivities</w:t>
      </w:r>
      <w:r w:rsidR="00E12C7D">
        <w:t>.</w:t>
      </w:r>
    </w:p>
    <w:p w14:paraId="17F4C89F" w14:textId="7A7DA90E" w:rsidR="00E6676A" w:rsidRPr="009F04AA" w:rsidRDefault="00E6676A" w:rsidP="00D11C72">
      <w:r w:rsidRPr="009F04AA">
        <w:t xml:space="preserve">By using MALDI-ToF combined with the program </w:t>
      </w:r>
      <w:r w:rsidRPr="009F04AA">
        <w:rPr>
          <w:i/>
          <w:iCs/>
        </w:rPr>
        <w:t>MALDI-Calculation</w:t>
      </w:r>
      <w:r w:rsidRPr="009F04AA">
        <w:t xml:space="preserve">, </w:t>
      </w:r>
      <w:r w:rsidR="002A096A" w:rsidRPr="009F04AA">
        <w:t xml:space="preserve">we conclude that </w:t>
      </w:r>
      <w:r w:rsidR="002A096A" w:rsidRPr="009F04AA">
        <w:t>all precursors show MWs of 1-2 kDa</w:t>
      </w:r>
      <w:r w:rsidR="002A096A" w:rsidRPr="009F04AA">
        <w:t xml:space="preserve">. Their representative predicted structures and MW summaries are given below. </w:t>
      </w:r>
    </w:p>
    <w:p w14:paraId="40C99F34" w14:textId="3B339772" w:rsidR="00E6676A" w:rsidRDefault="00FD27D2" w:rsidP="00FD27D2">
      <w:pPr>
        <w:pStyle w:val="Figure"/>
      </w:pPr>
      <w:r w:rsidRPr="00FD27D2">
        <w:drawing>
          <wp:inline distT="0" distB="0" distL="0" distR="0" wp14:anchorId="4545C5C2" wp14:editId="37C187F9">
            <wp:extent cx="5943600" cy="3337560"/>
            <wp:effectExtent l="0" t="0" r="0" b="0"/>
            <wp:docPr id="1" name="Picture 2" descr="Graphical user interface, application&#10;&#10;Description automatically generated">
              <a:extLst xmlns:a="http://schemas.openxmlformats.org/drawingml/2006/main">
                <a:ext uri="{FF2B5EF4-FFF2-40B4-BE49-F238E27FC236}">
                  <a16:creationId xmlns:a16="http://schemas.microsoft.com/office/drawing/2014/main" id="{5B829A2F-9A32-4B16-87E7-19279BC89DA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Graphical user interface, application&#10;&#10;Description automatically generated">
                      <a:extLst>
                        <a:ext uri="{FF2B5EF4-FFF2-40B4-BE49-F238E27FC236}">
                          <a16:creationId xmlns:a16="http://schemas.microsoft.com/office/drawing/2014/main" id="{5B829A2F-9A32-4B16-87E7-19279BC89DAA}"/>
                        </a:ext>
                      </a:extLst>
                    </pic:cNvPr>
                    <pic:cNvPicPr>
                      <a:picLocks noChangeAspect="1"/>
                    </pic:cNvPicPr>
                  </pic:nvPicPr>
                  <pic:blipFill>
                    <a:blip r:embed="rId7"/>
                    <a:stretch>
                      <a:fillRect/>
                    </a:stretch>
                  </pic:blipFill>
                  <pic:spPr>
                    <a:xfrm>
                      <a:off x="0" y="0"/>
                      <a:ext cx="5943600" cy="3337560"/>
                    </a:xfrm>
                    <a:prstGeom prst="rect">
                      <a:avLst/>
                    </a:prstGeom>
                  </pic:spPr>
                </pic:pic>
              </a:graphicData>
            </a:graphic>
          </wp:inline>
        </w:drawing>
      </w:r>
    </w:p>
    <w:p w14:paraId="59B7595E" w14:textId="77777777" w:rsidR="00E6676A" w:rsidRDefault="00E6676A" w:rsidP="00D11C72"/>
    <w:p w14:paraId="273DA215" w14:textId="02ACC102" w:rsidR="007943C1" w:rsidRDefault="008208A3" w:rsidP="007943C1">
      <w:r w:rsidRPr="009F04AA">
        <w:t>TGA-DTA studies show the precursors are</w:t>
      </w:r>
      <w:r w:rsidR="007943C1" w:rsidRPr="009F04AA">
        <w:t xml:space="preserve"> thermally stable to 150-200 °C. </w:t>
      </w:r>
      <w:r w:rsidR="007943C1" w:rsidRPr="001237CA">
        <w:t xml:space="preserve">FTIR spectra fit well with </w:t>
      </w:r>
      <w:r w:rsidR="007D610C">
        <w:t>traditional</w:t>
      </w:r>
      <w:r w:rsidR="007943C1" w:rsidRPr="001237CA">
        <w:t xml:space="preserve"> LiPON glasses synthesized by gas phase methods. </w:t>
      </w:r>
      <w:r w:rsidR="007943C1" w:rsidRPr="001237CA">
        <w:rPr>
          <w:vertAlign w:val="superscript"/>
        </w:rPr>
        <w:t>7</w:t>
      </w:r>
      <w:r w:rsidR="007943C1" w:rsidRPr="001237CA">
        <w:t>Li NMR suggests that Li</w:t>
      </w:r>
      <w:r w:rsidR="007943C1" w:rsidRPr="001237CA">
        <w:rPr>
          <w:vertAlign w:val="superscript"/>
        </w:rPr>
        <w:t>+</w:t>
      </w:r>
      <w:r w:rsidR="007943C1" w:rsidRPr="001237CA">
        <w:t xml:space="preserve"> ions in these precursors are well solvated and dissociated, which is beneficial for their electrochemical performances. The structures of Si (C) containing precursors were further investigated by</w:t>
      </w:r>
      <w:r w:rsidR="007943C1">
        <w:t xml:space="preserve"> </w:t>
      </w:r>
      <w:r w:rsidR="007943C1" w:rsidRPr="007B21B2">
        <w:rPr>
          <w:vertAlign w:val="superscript"/>
        </w:rPr>
        <w:t>1</w:t>
      </w:r>
      <w:r w:rsidR="007943C1">
        <w:t>H,</w:t>
      </w:r>
      <w:r w:rsidR="007943C1" w:rsidRPr="001237CA">
        <w:t xml:space="preserve"> </w:t>
      </w:r>
      <w:r w:rsidR="007943C1" w:rsidRPr="001237CA">
        <w:rPr>
          <w:vertAlign w:val="superscript"/>
        </w:rPr>
        <w:t>13</w:t>
      </w:r>
      <w:r w:rsidR="007943C1" w:rsidRPr="001237CA">
        <w:t xml:space="preserve">C and </w:t>
      </w:r>
      <w:r w:rsidR="007943C1" w:rsidRPr="001237CA">
        <w:rPr>
          <w:vertAlign w:val="superscript"/>
        </w:rPr>
        <w:t>29</w:t>
      </w:r>
      <w:r w:rsidR="007943C1" w:rsidRPr="001237CA">
        <w:t xml:space="preserve">Si NMR studies, </w:t>
      </w:r>
      <w:r w:rsidR="00DB53EC">
        <w:t xml:space="preserve">which suggest </w:t>
      </w:r>
      <w:r w:rsidR="007943C1" w:rsidRPr="001237CA">
        <w:t>that Si doping was achieved by bonding NH-SiMe</w:t>
      </w:r>
      <w:r w:rsidR="007943C1" w:rsidRPr="001237CA">
        <w:rPr>
          <w:vertAlign w:val="subscript"/>
        </w:rPr>
        <w:t>3</w:t>
      </w:r>
      <w:r w:rsidR="007943C1" w:rsidRPr="001237CA">
        <w:t xml:space="preserve"> with P=O or P-N=P onto the polymer backbone. </w:t>
      </w:r>
    </w:p>
    <w:p w14:paraId="4F8EECD2" w14:textId="04208130" w:rsidR="00A42163" w:rsidRDefault="007C3F22" w:rsidP="0048796A">
      <w:r>
        <w:t xml:space="preserve">XRD, XPS and EDX studies </w:t>
      </w:r>
      <w:r w:rsidR="00A33F8C">
        <w:t>show</w:t>
      </w:r>
      <w:r w:rsidR="001971D2" w:rsidRPr="001237CA">
        <w:t xml:space="preserve"> </w:t>
      </w:r>
      <w:r>
        <w:t xml:space="preserve">all </w:t>
      </w:r>
      <w:r w:rsidR="001971D2" w:rsidRPr="001237CA">
        <w:t xml:space="preserve">precursors </w:t>
      </w:r>
      <w:r w:rsidR="00A33F8C">
        <w:t>exhibit</w:t>
      </w:r>
      <w:r w:rsidR="001971D2" w:rsidRPr="001237CA">
        <w:t xml:space="preserve"> higher N/P ratios (1-3) compared to traditional gas phase methods (&lt;1), and there seems to be a correlation between the N/P ratio and </w:t>
      </w:r>
      <w:r w:rsidR="001971D2" w:rsidRPr="001237CA">
        <w:rPr>
          <w:vertAlign w:val="superscript"/>
        </w:rPr>
        <w:t>7</w:t>
      </w:r>
      <w:r w:rsidR="001971D2" w:rsidRPr="001237CA">
        <w:t>Li NMR chemical shift</w:t>
      </w:r>
      <w:r w:rsidR="00443FC3">
        <w:t xml:space="preserve"> (</w:t>
      </w:r>
      <w:r w:rsidR="00443FC3">
        <w:rPr>
          <w:lang w:val="el-GR"/>
        </w:rPr>
        <w:t>δ</w:t>
      </w:r>
      <w:r w:rsidR="00443FC3" w:rsidRPr="00443FC3">
        <w:rPr>
          <w:vertAlign w:val="subscript"/>
        </w:rPr>
        <w:t>Li</w:t>
      </w:r>
      <w:r w:rsidR="00443FC3">
        <w:t>)</w:t>
      </w:r>
      <w:r w:rsidR="001971D2" w:rsidRPr="001237CA">
        <w:t xml:space="preserve">. </w:t>
      </w:r>
      <w:r w:rsidR="0024282D">
        <w:t xml:space="preserve">N/P ratio is an indicator of the degree of nitridation. As discussed in the </w:t>
      </w:r>
      <w:r w:rsidR="0024282D" w:rsidRPr="009C4420">
        <w:rPr>
          <w:b/>
          <w:bCs/>
        </w:rPr>
        <w:t>Intro</w:t>
      </w:r>
      <w:r w:rsidR="0024282D">
        <w:t xml:space="preserve"> page, ionic conductivity</w:t>
      </w:r>
      <w:r w:rsidR="001C1D57">
        <w:t xml:space="preserve"> </w:t>
      </w:r>
      <w:r w:rsidR="0024282D">
        <w:t xml:space="preserve">generally increases with the degree of nitridation (or N/P ratio). </w:t>
      </w:r>
    </w:p>
    <w:p w14:paraId="3818155D" w14:textId="7F9C885B" w:rsidR="001971D2" w:rsidRPr="001237CA" w:rsidRDefault="001971D2" w:rsidP="0048796A">
      <w:r w:rsidRPr="001237CA">
        <w:lastRenderedPageBreak/>
        <w:t xml:space="preserve">In general, the </w:t>
      </w:r>
      <w:r w:rsidR="00AE6FFA">
        <w:t>room temperature (RT)</w:t>
      </w:r>
      <w:r w:rsidR="00B30F02">
        <w:t xml:space="preserve"> ionic </w:t>
      </w:r>
      <w:r w:rsidRPr="001237CA">
        <w:t xml:space="preserve">conductivities </w:t>
      </w:r>
      <w:r w:rsidR="00B30F02">
        <w:t>(</w:t>
      </w:r>
      <w:r w:rsidR="00B30F02">
        <w:rPr>
          <w:lang w:val="el-GR"/>
        </w:rPr>
        <w:t>σ</w:t>
      </w:r>
      <w:r w:rsidR="00B30F02" w:rsidRPr="00B30F02">
        <w:rPr>
          <w:vertAlign w:val="subscript"/>
        </w:rPr>
        <w:t>RT</w:t>
      </w:r>
      <w:r w:rsidR="00B30F02">
        <w:t xml:space="preserve">) </w:t>
      </w:r>
      <w:r w:rsidRPr="001237CA">
        <w:t xml:space="preserve">of polymer precursor pellets seem </w:t>
      </w:r>
      <w:r w:rsidR="00A42163">
        <w:t>to follow the trend of</w:t>
      </w:r>
      <w:r w:rsidRPr="001237CA">
        <w:t xml:space="preserve"> Li</w:t>
      </w:r>
      <w:r w:rsidRPr="001237CA">
        <w:rPr>
          <w:vertAlign w:val="subscript"/>
        </w:rPr>
        <w:t>2</w:t>
      </w:r>
      <w:r w:rsidRPr="001237CA">
        <w:t>SiPHN</w:t>
      </w:r>
      <w:r>
        <w:t xml:space="preserve"> &gt; </w:t>
      </w:r>
      <w:r w:rsidRPr="001237CA">
        <w:t>Li</w:t>
      </w:r>
      <w:r w:rsidRPr="001237CA">
        <w:rPr>
          <w:vertAlign w:val="subscript"/>
        </w:rPr>
        <w:t>6</w:t>
      </w:r>
      <w:r w:rsidRPr="001237CA">
        <w:t>SiPON</w:t>
      </w:r>
      <w:r>
        <w:t xml:space="preserve"> </w:t>
      </w:r>
      <w:r w:rsidRPr="001237CA">
        <w:t>&gt;</w:t>
      </w:r>
      <w:r>
        <w:t xml:space="preserve"> </w:t>
      </w:r>
      <w:r w:rsidRPr="001237CA">
        <w:t>Li</w:t>
      </w:r>
      <w:r w:rsidRPr="001237CA">
        <w:rPr>
          <w:vertAlign w:val="subscript"/>
        </w:rPr>
        <w:t>3</w:t>
      </w:r>
      <w:r w:rsidRPr="001237CA">
        <w:t>PON</w:t>
      </w:r>
      <w:r>
        <w:t xml:space="preserve"> </w:t>
      </w:r>
      <w:r w:rsidRPr="001237CA">
        <w:t>&gt;</w:t>
      </w:r>
      <w:r>
        <w:t xml:space="preserve"> </w:t>
      </w:r>
      <w:r w:rsidRPr="001237CA">
        <w:t>Li</w:t>
      </w:r>
      <w:r w:rsidRPr="001237CA">
        <w:rPr>
          <w:vertAlign w:val="subscript"/>
        </w:rPr>
        <w:t>6</w:t>
      </w:r>
      <w:r w:rsidRPr="001237CA">
        <w:t>PON</w:t>
      </w:r>
      <w:r>
        <w:t xml:space="preserve"> </w:t>
      </w:r>
      <w:r w:rsidRPr="001237CA">
        <w:t>&gt;</w:t>
      </w:r>
      <w:r>
        <w:t xml:space="preserve"> </w:t>
      </w:r>
      <w:r w:rsidRPr="001237CA">
        <w:t>Li</w:t>
      </w:r>
      <w:r w:rsidRPr="001237CA">
        <w:rPr>
          <w:vertAlign w:val="subscript"/>
        </w:rPr>
        <w:t>3</w:t>
      </w:r>
      <w:r w:rsidRPr="001237CA">
        <w:t>SiPON</w:t>
      </w:r>
      <w:r>
        <w:t>,</w:t>
      </w:r>
      <w:r w:rsidR="00B30F02">
        <w:t xml:space="preserve"> which relates largely to the N/P ratio.</w:t>
      </w:r>
      <w:r>
        <w:t xml:space="preserve"> </w:t>
      </w:r>
      <w:r w:rsidR="00B30F02">
        <w:t>A</w:t>
      </w:r>
      <w:r>
        <w:t xml:space="preserve"> maximum conductivity of </w:t>
      </w:r>
      <w:r w:rsidRPr="00ED321B">
        <w:t>2.7 × 10</w:t>
      </w:r>
      <w:r w:rsidRPr="00ED321B">
        <w:rPr>
          <w:vertAlign w:val="superscript"/>
        </w:rPr>
        <w:t>-4</w:t>
      </w:r>
      <w:r w:rsidRPr="00ED321B">
        <w:t xml:space="preserve"> S/cm </w:t>
      </w:r>
      <w:r>
        <w:t>at RT is achieved for Li</w:t>
      </w:r>
      <w:r w:rsidRPr="00174232">
        <w:rPr>
          <w:vertAlign w:val="subscript"/>
        </w:rPr>
        <w:t>2</w:t>
      </w:r>
      <w:r>
        <w:t xml:space="preserve">SiPHN after heating at </w:t>
      </w:r>
      <w:r w:rsidRPr="001237CA">
        <w:t>400 °C/2 h</w:t>
      </w:r>
      <w:r>
        <w:t>/N</w:t>
      </w:r>
      <w:r w:rsidRPr="00BF5887">
        <w:rPr>
          <w:vertAlign w:val="subscript"/>
        </w:rPr>
        <w:t>2</w:t>
      </w:r>
      <w:r w:rsidRPr="001237CA">
        <w:t>.</w:t>
      </w:r>
      <w:r w:rsidR="0048796A">
        <w:t xml:space="preserve"> Representative data are given below. </w:t>
      </w:r>
    </w:p>
    <w:p w14:paraId="7DCE64D5" w14:textId="471B22F0" w:rsidR="00D11C72" w:rsidRDefault="00EF41C9" w:rsidP="00EF41C9">
      <w:pPr>
        <w:pStyle w:val="Figure"/>
        <w:rPr>
          <w:color w:val="auto"/>
        </w:rPr>
      </w:pPr>
      <w:r w:rsidRPr="00EF41C9">
        <w:rPr>
          <w:noProof/>
        </w:rPr>
        <w:drawing>
          <wp:inline distT="0" distB="0" distL="0" distR="0" wp14:anchorId="4822EB43" wp14:editId="3FB545E7">
            <wp:extent cx="5943600" cy="1810385"/>
            <wp:effectExtent l="0" t="0" r="0" b="0"/>
            <wp:docPr id="12" name="Picture 11" descr="A screenshot of a video game&#10;&#10;Description automatically generated with medium confidence">
              <a:extLst xmlns:a="http://schemas.openxmlformats.org/drawingml/2006/main">
                <a:ext uri="{FF2B5EF4-FFF2-40B4-BE49-F238E27FC236}">
                  <a16:creationId xmlns:a16="http://schemas.microsoft.com/office/drawing/2014/main" id="{80EC3E33-65C6-4B9C-9457-2A4FB071268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A screenshot of a video game&#10;&#10;Description automatically generated with medium confidence">
                      <a:extLst>
                        <a:ext uri="{FF2B5EF4-FFF2-40B4-BE49-F238E27FC236}">
                          <a16:creationId xmlns:a16="http://schemas.microsoft.com/office/drawing/2014/main" id="{80EC3E33-65C6-4B9C-9457-2A4FB0712680}"/>
                        </a:ext>
                      </a:extLst>
                    </pic:cNvPr>
                    <pic:cNvPicPr>
                      <a:picLocks noChangeAspect="1"/>
                    </pic:cNvPicPr>
                  </pic:nvPicPr>
                  <pic:blipFill>
                    <a:blip r:embed="rId8"/>
                    <a:stretch>
                      <a:fillRect/>
                    </a:stretch>
                  </pic:blipFill>
                  <pic:spPr>
                    <a:xfrm>
                      <a:off x="0" y="0"/>
                      <a:ext cx="5943600" cy="1810385"/>
                    </a:xfrm>
                    <a:prstGeom prst="rect">
                      <a:avLst/>
                    </a:prstGeom>
                  </pic:spPr>
                </pic:pic>
              </a:graphicData>
            </a:graphic>
          </wp:inline>
        </w:drawing>
      </w:r>
    </w:p>
    <w:p w14:paraId="77183A75" w14:textId="7D711494" w:rsidR="00527A30" w:rsidRDefault="00527A30" w:rsidP="00527A30"/>
    <w:p w14:paraId="2E8FC506" w14:textId="4F139F89" w:rsidR="00E74CDF" w:rsidRPr="00213E5A" w:rsidRDefault="00E74CDF" w:rsidP="00E74CDF">
      <w:r w:rsidRPr="00213E5A">
        <w:t>To further study electrochemical properties, these LiPON emulating polymer precursors were coated with Celgard separators fabricating polymer electrolytes and used as stable interface between Li metals for symmetrical cells, and Li and a sulfur-based cathode (SPAN) for half cells. Polymer electrolytes impregnated in/on Celgard exhibit Li</w:t>
      </w:r>
      <w:r w:rsidRPr="00213E5A">
        <w:rPr>
          <w:vertAlign w:val="superscript"/>
        </w:rPr>
        <w:t>+</w:t>
      </w:r>
      <w:r w:rsidRPr="00213E5A">
        <w:t xml:space="preserve"> conductivities up to </w:t>
      </w:r>
      <w:r w:rsidRPr="00213E5A">
        <w:rPr>
          <w:rFonts w:ascii="Cambria Math" w:hAnsi="Cambria Math" w:cs="Cambria Math"/>
        </w:rPr>
        <w:t>∼</w:t>
      </w:r>
      <w:r w:rsidRPr="00213E5A">
        <w:t>1 × 10</w:t>
      </w:r>
      <w:r>
        <w:rPr>
          <w:vertAlign w:val="superscript"/>
        </w:rPr>
        <w:t>-</w:t>
      </w:r>
      <w:r w:rsidRPr="00213E5A">
        <w:rPr>
          <w:vertAlign w:val="superscript"/>
        </w:rPr>
        <w:t>5</w:t>
      </w:r>
      <w:r w:rsidRPr="00213E5A">
        <w:t xml:space="preserve"> S/cm at RT</w:t>
      </w:r>
      <w:r>
        <w:t xml:space="preserve">, correlating with </w:t>
      </w:r>
      <w:r w:rsidR="00B24EF9">
        <w:t>the Li content</w:t>
      </w:r>
      <w:r w:rsidRPr="00836E6B">
        <w:t xml:space="preserve"> and N/P ratio</w:t>
      </w:r>
      <w:r w:rsidRPr="00213E5A">
        <w:t xml:space="preserve">. </w:t>
      </w:r>
      <w:r w:rsidR="00B24EF9">
        <w:t xml:space="preserve">High Li </w:t>
      </w:r>
      <w:r w:rsidR="00B24EF9" w:rsidRPr="00836E6B">
        <w:t xml:space="preserve">transference number </w:t>
      </w:r>
      <w:r w:rsidR="00B24EF9">
        <w:t>(t</w:t>
      </w:r>
      <w:r w:rsidR="00B24EF9" w:rsidRPr="00B24EF9">
        <w:rPr>
          <w:vertAlign w:val="subscript"/>
        </w:rPr>
        <w:t>Li</w:t>
      </w:r>
      <w:r w:rsidR="00B24EF9" w:rsidRPr="00B24EF9">
        <w:rPr>
          <w:vertAlign w:val="superscript"/>
        </w:rPr>
        <w:t>+</w:t>
      </w:r>
      <w:r w:rsidR="00B24EF9">
        <w:t xml:space="preserve">) </w:t>
      </w:r>
      <w:r w:rsidR="00B24EF9" w:rsidRPr="00836E6B">
        <w:t xml:space="preserve">of </w:t>
      </w:r>
      <w:r w:rsidR="00B24EF9">
        <w:t xml:space="preserve">&gt;0.7 are exhibited for all precursors, </w:t>
      </w:r>
      <w:r w:rsidR="00B24EF9" w:rsidRPr="00836E6B">
        <w:t xml:space="preserve">comparable to </w:t>
      </w:r>
      <w:r w:rsidR="00B24EF9">
        <w:t xml:space="preserve">inorganic solid electrolytes. </w:t>
      </w:r>
      <w:r w:rsidRPr="00213E5A">
        <w:t xml:space="preserve">The </w:t>
      </w:r>
      <w:r>
        <w:t>SPAN</w:t>
      </w:r>
      <w:r w:rsidRPr="00213E5A">
        <w:t>/Celgard</w:t>
      </w:r>
      <w:r>
        <w:t xml:space="preserve"> + </w:t>
      </w:r>
      <w:r w:rsidRPr="00213E5A">
        <w:t>Li</w:t>
      </w:r>
      <w:r w:rsidRPr="00213E5A">
        <w:rPr>
          <w:vertAlign w:val="subscript"/>
        </w:rPr>
        <w:t>6</w:t>
      </w:r>
      <w:r w:rsidRPr="00213E5A">
        <w:t>SiPON/</w:t>
      </w:r>
      <w:r>
        <w:t>Li</w:t>
      </w:r>
      <w:r w:rsidRPr="00213E5A">
        <w:t xml:space="preserve"> half-cell exhibits an initial capacity of 2000 mAh/g</w:t>
      </w:r>
      <w:r w:rsidRPr="00213E5A">
        <w:rPr>
          <w:vertAlign w:val="subscript"/>
        </w:rPr>
        <w:t>sulfur</w:t>
      </w:r>
      <w:r w:rsidRPr="00213E5A">
        <w:t> and excellent cycle performance at 0.25 and 0.5 C rate over 120 cycles at RT</w:t>
      </w:r>
      <w:r w:rsidR="00AE6FFA">
        <w:t xml:space="preserve"> with </w:t>
      </w:r>
      <w:r w:rsidR="008C6A9F">
        <w:t>s</w:t>
      </w:r>
      <w:r w:rsidR="00AE6FFA" w:rsidRPr="00AE6FFA">
        <w:t>table capacity of ~750 mAh/g</w:t>
      </w:r>
      <w:r w:rsidR="00AE6FFA" w:rsidRPr="009034EF">
        <w:rPr>
          <w:vertAlign w:val="subscript"/>
        </w:rPr>
        <w:t>sulfur</w:t>
      </w:r>
      <w:r w:rsidR="00567257">
        <w:t xml:space="preserve"> and </w:t>
      </w:r>
      <w:r w:rsidR="00AE6FFA" w:rsidRPr="00AE6FFA">
        <w:t>columbic efficiency</w:t>
      </w:r>
      <w:r w:rsidR="00567257">
        <w:t xml:space="preserve"> </w:t>
      </w:r>
      <w:r w:rsidR="00A234BB">
        <w:t xml:space="preserve">(CE) </w:t>
      </w:r>
      <w:r w:rsidR="00567257">
        <w:t>of</w:t>
      </w:r>
      <w:r w:rsidR="00AE6FFA" w:rsidRPr="00AE6FFA">
        <w:t xml:space="preserve"> ~92 %</w:t>
      </w:r>
      <w:r w:rsidR="00567257">
        <w:t>.</w:t>
      </w:r>
    </w:p>
    <w:p w14:paraId="26B2A5CF" w14:textId="322D2518" w:rsidR="00E74CDF" w:rsidRDefault="003429F9" w:rsidP="003429F9">
      <w:pPr>
        <w:pStyle w:val="Figure"/>
      </w:pPr>
      <w:r w:rsidRPr="003429F9">
        <w:rPr>
          <w:noProof/>
        </w:rPr>
        <w:lastRenderedPageBreak/>
        <w:drawing>
          <wp:inline distT="0" distB="0" distL="0" distR="0" wp14:anchorId="08F4E429" wp14:editId="5D11BD4D">
            <wp:extent cx="5943600" cy="5473065"/>
            <wp:effectExtent l="0" t="0" r="0" b="0"/>
            <wp:docPr id="2" name="Picture 1" descr="Graphical user interface&#10;&#10;Description automatically generated">
              <a:extLst xmlns:a="http://schemas.openxmlformats.org/drawingml/2006/main">
                <a:ext uri="{FF2B5EF4-FFF2-40B4-BE49-F238E27FC236}">
                  <a16:creationId xmlns:a16="http://schemas.microsoft.com/office/drawing/2014/main" id="{AE9838FD-070C-459A-9F96-CF4D92701DA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Graphical user interface&#10;&#10;Description automatically generated">
                      <a:extLst>
                        <a:ext uri="{FF2B5EF4-FFF2-40B4-BE49-F238E27FC236}">
                          <a16:creationId xmlns:a16="http://schemas.microsoft.com/office/drawing/2014/main" id="{AE9838FD-070C-459A-9F96-CF4D92701DA4}"/>
                        </a:ext>
                      </a:extLst>
                    </pic:cNvPr>
                    <pic:cNvPicPr>
                      <a:picLocks noChangeAspect="1"/>
                    </pic:cNvPicPr>
                  </pic:nvPicPr>
                  <pic:blipFill>
                    <a:blip r:embed="rId9"/>
                    <a:stretch>
                      <a:fillRect/>
                    </a:stretch>
                  </pic:blipFill>
                  <pic:spPr>
                    <a:xfrm>
                      <a:off x="0" y="0"/>
                      <a:ext cx="5943600" cy="5473065"/>
                    </a:xfrm>
                    <a:prstGeom prst="rect">
                      <a:avLst/>
                    </a:prstGeom>
                  </pic:spPr>
                </pic:pic>
              </a:graphicData>
            </a:graphic>
          </wp:inline>
        </w:drawing>
      </w:r>
    </w:p>
    <w:p w14:paraId="06967F5E" w14:textId="77777777" w:rsidR="00901844" w:rsidRDefault="00901844" w:rsidP="00901844"/>
    <w:p w14:paraId="4EBEE4B3" w14:textId="1D114B4D" w:rsidR="00E74CDF" w:rsidRDefault="00901844" w:rsidP="00F433EE">
      <w:r>
        <w:t>The</w:t>
      </w:r>
      <w:r w:rsidRPr="005446B9">
        <w:t xml:space="preserve"> possibility of using the polymer precursors </w:t>
      </w:r>
      <w:r w:rsidR="00AB3487">
        <w:t xml:space="preserve">(60 wt.%) </w:t>
      </w:r>
      <w:r w:rsidRPr="005446B9">
        <w:t xml:space="preserve">as active fillers in PEO matrix forming </w:t>
      </w:r>
      <w:r w:rsidR="008C6559">
        <w:t>solid polymer electrolyte</w:t>
      </w:r>
      <w:r w:rsidRPr="005446B9">
        <w:t xml:space="preserve"> films</w:t>
      </w:r>
      <w:r w:rsidR="00C02937">
        <w:t xml:space="preserve"> </w:t>
      </w:r>
      <w:r w:rsidR="00424E32">
        <w:t xml:space="preserve">(SPE) </w:t>
      </w:r>
      <w:r w:rsidR="00C02937">
        <w:t>was also explored</w:t>
      </w:r>
      <w:r w:rsidRPr="005446B9">
        <w:t xml:space="preserve">. PEO solid-solution films exhibit enhanced ionic conductivities of </w:t>
      </w:r>
      <w:r w:rsidRPr="005446B9">
        <w:rPr>
          <w:rFonts w:ascii="Cambria Math" w:hAnsi="Cambria Math" w:cs="Cambria Math"/>
        </w:rPr>
        <w:t>∼</w:t>
      </w:r>
      <w:r w:rsidRPr="005446B9">
        <w:t>0.1-2 × 10</w:t>
      </w:r>
      <w:r>
        <w:rPr>
          <w:vertAlign w:val="superscript"/>
        </w:rPr>
        <w:t>-</w:t>
      </w:r>
      <w:r w:rsidRPr="005446B9">
        <w:rPr>
          <w:vertAlign w:val="superscript"/>
        </w:rPr>
        <w:t>3</w:t>
      </w:r>
      <w:r w:rsidRPr="005446B9">
        <w:t> S/cm at ambient</w:t>
      </w:r>
      <w:r w:rsidR="00A243E6">
        <w:t>, a</w:t>
      </w:r>
      <w:r w:rsidR="00A243E6" w:rsidRPr="004C324E">
        <w:t xml:space="preserve"> maximum ionic conductivity of 2.8 × 10</w:t>
      </w:r>
      <w:r w:rsidR="00A243E6">
        <w:rPr>
          <w:vertAlign w:val="superscript"/>
        </w:rPr>
        <w:t>-</w:t>
      </w:r>
      <w:r w:rsidR="00A243E6" w:rsidRPr="004C324E">
        <w:rPr>
          <w:vertAlign w:val="superscript"/>
        </w:rPr>
        <w:t>3</w:t>
      </w:r>
      <w:r w:rsidR="00A243E6" w:rsidRPr="004C324E">
        <w:t> S/cm is achieved for the 60PEO/Li</w:t>
      </w:r>
      <w:r w:rsidR="00A243E6" w:rsidRPr="004C324E">
        <w:rPr>
          <w:vertAlign w:val="subscript"/>
        </w:rPr>
        <w:t>3</w:t>
      </w:r>
      <w:r w:rsidR="00A243E6" w:rsidRPr="004C324E">
        <w:t>SiPON</w:t>
      </w:r>
      <w:r w:rsidR="00A243E6">
        <w:t xml:space="preserve">, and all films show </w:t>
      </w:r>
      <w:r w:rsidR="00A243E6" w:rsidRPr="005805BF">
        <w:rPr>
          <w:i/>
          <w:iCs/>
        </w:rPr>
        <w:t>t</w:t>
      </w:r>
      <w:r w:rsidR="00A243E6" w:rsidRPr="005805BF">
        <w:rPr>
          <w:vertAlign w:val="subscript"/>
        </w:rPr>
        <w:t>Li</w:t>
      </w:r>
      <w:r w:rsidR="00A243E6" w:rsidRPr="005805BF">
        <w:rPr>
          <w:vertAlign w:val="superscript"/>
        </w:rPr>
        <w:t>+</w:t>
      </w:r>
      <w:r w:rsidR="00A243E6" w:rsidRPr="005805BF">
        <w:t> </w:t>
      </w:r>
      <w:r w:rsidR="00A243E6">
        <w:t>≥</w:t>
      </w:r>
      <w:r w:rsidR="00D72D45">
        <w:t xml:space="preserve"> </w:t>
      </w:r>
      <w:r w:rsidR="00A243E6">
        <w:t>0.5</w:t>
      </w:r>
      <w:r w:rsidR="00424E32">
        <w:t xml:space="preserve"> (typically </w:t>
      </w:r>
      <w:r w:rsidR="00C45676">
        <w:t xml:space="preserve">PEs show </w:t>
      </w:r>
      <w:r w:rsidR="00C45676" w:rsidRPr="005805BF">
        <w:rPr>
          <w:i/>
          <w:iCs/>
        </w:rPr>
        <w:t>t</w:t>
      </w:r>
      <w:r w:rsidR="00C45676" w:rsidRPr="005805BF">
        <w:rPr>
          <w:vertAlign w:val="subscript"/>
        </w:rPr>
        <w:t>Li</w:t>
      </w:r>
      <w:r w:rsidR="00C45676" w:rsidRPr="005805BF">
        <w:rPr>
          <w:vertAlign w:val="superscript"/>
        </w:rPr>
        <w:t>+</w:t>
      </w:r>
      <w:r w:rsidR="00C45676" w:rsidRPr="005805BF">
        <w:t> </w:t>
      </w:r>
      <w:r w:rsidR="00C45676">
        <w:t>&lt;</w:t>
      </w:r>
      <w:r w:rsidR="00BC762C">
        <w:t xml:space="preserve"> </w:t>
      </w:r>
      <w:r w:rsidR="00C45676">
        <w:t>0.5</w:t>
      </w:r>
      <w:r w:rsidR="00424E32">
        <w:t>)</w:t>
      </w:r>
      <w:r w:rsidR="00A243E6">
        <w:t>.</w:t>
      </w:r>
      <w:r w:rsidR="00424E32" w:rsidRPr="00424E32">
        <w:t xml:space="preserve"> </w:t>
      </w:r>
      <w:r w:rsidR="00424E32" w:rsidRPr="004C324E">
        <w:t xml:space="preserve">The enhancement in conductivity </w:t>
      </w:r>
      <w:r w:rsidR="00D53E7F">
        <w:t>the PE films</w:t>
      </w:r>
      <w:r w:rsidR="00424E32" w:rsidRPr="004C324E">
        <w:t xml:space="preserve"> </w:t>
      </w:r>
      <w:r w:rsidR="00514529">
        <w:t>can be</w:t>
      </w:r>
      <w:r w:rsidR="00424E32" w:rsidRPr="004C324E">
        <w:t xml:space="preserve"> ascribed to the suppression of the PEO crystallinity and </w:t>
      </w:r>
      <w:r w:rsidR="004729AD">
        <w:t>increased</w:t>
      </w:r>
      <w:r w:rsidR="00424E32" w:rsidRPr="004C324E">
        <w:t xml:space="preserve"> N/P ratio. </w:t>
      </w:r>
      <w:r w:rsidR="00063F6A">
        <w:t>I</w:t>
      </w:r>
      <w:r w:rsidR="0098283F">
        <w:t>mproved</w:t>
      </w:r>
      <w:r w:rsidR="00424E32" w:rsidRPr="004C324E">
        <w:t xml:space="preserve"> </w:t>
      </w:r>
      <w:r w:rsidR="002A18C2" w:rsidRPr="005805BF">
        <w:rPr>
          <w:i/>
          <w:iCs/>
        </w:rPr>
        <w:t>t</w:t>
      </w:r>
      <w:r w:rsidR="002A18C2" w:rsidRPr="005805BF">
        <w:rPr>
          <w:vertAlign w:val="subscript"/>
        </w:rPr>
        <w:t>Li</w:t>
      </w:r>
      <w:r w:rsidR="002A18C2" w:rsidRPr="005805BF">
        <w:rPr>
          <w:vertAlign w:val="superscript"/>
        </w:rPr>
        <w:t>+</w:t>
      </w:r>
      <w:r w:rsidR="00424E32">
        <w:t xml:space="preserve"> </w:t>
      </w:r>
      <w:r w:rsidR="00424E32" w:rsidRPr="004C324E">
        <w:t xml:space="preserve">indicates that </w:t>
      </w:r>
      <w:r w:rsidR="00424E32">
        <w:t>anion mobility</w:t>
      </w:r>
      <w:r w:rsidR="00424E32" w:rsidRPr="004C324E">
        <w:t xml:space="preserve"> </w:t>
      </w:r>
      <w:r w:rsidR="00424E32">
        <w:t>is</w:t>
      </w:r>
      <w:r w:rsidR="00424E32" w:rsidRPr="004C324E">
        <w:t xml:space="preserve"> limited </w:t>
      </w:r>
      <w:r w:rsidR="00424E32">
        <w:t>due</w:t>
      </w:r>
      <w:r w:rsidR="00424E32" w:rsidRPr="004C324E">
        <w:t xml:space="preserve"> to the polymer precursor </w:t>
      </w:r>
      <w:r w:rsidR="00424E32">
        <w:t xml:space="preserve">bulky </w:t>
      </w:r>
      <w:r w:rsidR="00424E32" w:rsidRPr="004C324E">
        <w:t>backbone</w:t>
      </w:r>
      <w:r w:rsidR="000A7BE2">
        <w:t>, especially for Li</w:t>
      </w:r>
      <w:r w:rsidR="000A7BE2" w:rsidRPr="000A7BE2">
        <w:rPr>
          <w:vertAlign w:val="subscript"/>
        </w:rPr>
        <w:t>2</w:t>
      </w:r>
      <w:r w:rsidR="000A7BE2">
        <w:t>SiPHN (</w:t>
      </w:r>
      <w:r w:rsidR="000A7BE2" w:rsidRPr="005805BF">
        <w:rPr>
          <w:i/>
          <w:iCs/>
        </w:rPr>
        <w:t>t</w:t>
      </w:r>
      <w:r w:rsidR="000A7BE2" w:rsidRPr="005805BF">
        <w:rPr>
          <w:vertAlign w:val="subscript"/>
        </w:rPr>
        <w:t>Li</w:t>
      </w:r>
      <w:r w:rsidR="000A7BE2" w:rsidRPr="005805BF">
        <w:rPr>
          <w:vertAlign w:val="superscript"/>
        </w:rPr>
        <w:t>+</w:t>
      </w:r>
      <w:r w:rsidR="000A7BE2" w:rsidRPr="005805BF">
        <w:t> </w:t>
      </w:r>
      <w:r w:rsidR="000A7BE2">
        <w:t>≈ 0.8).</w:t>
      </w:r>
      <w:r w:rsidR="00F433EE">
        <w:t xml:space="preserve"> </w:t>
      </w:r>
      <w:r w:rsidR="00E74CDF" w:rsidRPr="004C324E">
        <w:t>In addition to the enhanced ionic conductivities </w:t>
      </w:r>
      <w:r w:rsidR="00E74CDF" w:rsidRPr="004C324E">
        <w:rPr>
          <w:i/>
          <w:iCs/>
        </w:rPr>
        <w:t>vs</w:t>
      </w:r>
      <w:r w:rsidR="00E74CDF" w:rsidRPr="003E24A4">
        <w:t>.</w:t>
      </w:r>
      <w:r w:rsidR="00E74CDF" w:rsidRPr="004C324E">
        <w:t xml:space="preserve"> traditional PEO electrolytes, these active polymer precursor fillers offer improved stability against </w:t>
      </w:r>
      <w:r w:rsidR="00E74CDF">
        <w:t>Li</w:t>
      </w:r>
      <w:r w:rsidR="00E74CDF" w:rsidRPr="004C324E">
        <w:t xml:space="preserve"> metal at higher current densities. Galvanostatic </w:t>
      </w:r>
      <w:r w:rsidR="00E74CDF" w:rsidRPr="004C324E">
        <w:lastRenderedPageBreak/>
        <w:t>cycling of the SPAN/PEs/Li cell shows discharge capacities of 1000 mAh/g</w:t>
      </w:r>
      <w:r w:rsidR="00E74CDF" w:rsidRPr="004C324E">
        <w:rPr>
          <w:vertAlign w:val="subscript"/>
        </w:rPr>
        <w:t>sulfur</w:t>
      </w:r>
      <w:r w:rsidR="00E74CDF" w:rsidRPr="004C324E">
        <w:t> at 0.25</w:t>
      </w:r>
      <w:r w:rsidR="00E74CDF">
        <w:t xml:space="preserve"> </w:t>
      </w:r>
      <w:r w:rsidR="00E74CDF" w:rsidRPr="004C324E">
        <w:t>C and 800 mAh/g</w:t>
      </w:r>
      <w:r w:rsidR="00E74CDF" w:rsidRPr="004C324E">
        <w:rPr>
          <w:vertAlign w:val="subscript"/>
        </w:rPr>
        <w:t>sulfur</w:t>
      </w:r>
      <w:r w:rsidR="00E74CDF" w:rsidRPr="004C324E">
        <w:t> at 1</w:t>
      </w:r>
      <w:r w:rsidR="00E74CDF">
        <w:t xml:space="preserve"> </w:t>
      </w:r>
      <w:r w:rsidR="00E74CDF" w:rsidRPr="004C324E">
        <w:t>C. The cell also shows high</w:t>
      </w:r>
      <w:r w:rsidR="00E74CDF">
        <w:t>-</w:t>
      </w:r>
      <w:r w:rsidR="00E74CDF" w:rsidRPr="004C324E">
        <w:t xml:space="preserve">capacity retention over 100 cycles with </w:t>
      </w:r>
      <w:r w:rsidR="00E74CDF">
        <w:t>~</w:t>
      </w:r>
      <w:r w:rsidR="00E74CDF" w:rsidRPr="004C324E">
        <w:t>100</w:t>
      </w:r>
      <w:r w:rsidR="00E74CDF">
        <w:t xml:space="preserve"> </w:t>
      </w:r>
      <w:r w:rsidR="00E74CDF" w:rsidRPr="004C324E">
        <w:t xml:space="preserve">% </w:t>
      </w:r>
      <w:r w:rsidR="00E74CDF" w:rsidRPr="00591F0D">
        <w:t>coulombic</w:t>
      </w:r>
      <w:r w:rsidR="00E74CDF" w:rsidRPr="004C324E">
        <w:t xml:space="preserve"> efficienc</w:t>
      </w:r>
      <w:r w:rsidR="00E74CDF">
        <w:t>y.</w:t>
      </w:r>
    </w:p>
    <w:p w14:paraId="762F6E4B" w14:textId="748ECA50" w:rsidR="00527A30" w:rsidRPr="00ED634F" w:rsidRDefault="00062DBC" w:rsidP="005163A3">
      <w:pPr>
        <w:pStyle w:val="Figure"/>
      </w:pPr>
      <w:r w:rsidRPr="00062DBC">
        <w:rPr>
          <w:noProof/>
        </w:rPr>
        <w:drawing>
          <wp:inline distT="0" distB="0" distL="0" distR="0" wp14:anchorId="24F4432B" wp14:editId="56818661">
            <wp:extent cx="5943600" cy="5884545"/>
            <wp:effectExtent l="0" t="0" r="0" b="1905"/>
            <wp:docPr id="5" name="Picture 2" descr="Graphical user interface&#10;&#10;Description automatically generated">
              <a:extLst xmlns:a="http://schemas.openxmlformats.org/drawingml/2006/main">
                <a:ext uri="{FF2B5EF4-FFF2-40B4-BE49-F238E27FC236}">
                  <a16:creationId xmlns:a16="http://schemas.microsoft.com/office/drawing/2014/main" id="{09126688-F599-45FC-935F-F26120AA0BE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Graphical user interface&#10;&#10;Description automatically generated">
                      <a:extLst>
                        <a:ext uri="{FF2B5EF4-FFF2-40B4-BE49-F238E27FC236}">
                          <a16:creationId xmlns:a16="http://schemas.microsoft.com/office/drawing/2014/main" id="{09126688-F599-45FC-935F-F26120AA0BE0}"/>
                        </a:ext>
                      </a:extLst>
                    </pic:cNvPr>
                    <pic:cNvPicPr>
                      <a:picLocks noChangeAspect="1"/>
                    </pic:cNvPicPr>
                  </pic:nvPicPr>
                  <pic:blipFill>
                    <a:blip r:embed="rId10"/>
                    <a:stretch>
                      <a:fillRect/>
                    </a:stretch>
                  </pic:blipFill>
                  <pic:spPr>
                    <a:xfrm>
                      <a:off x="0" y="0"/>
                      <a:ext cx="5943600" cy="5884545"/>
                    </a:xfrm>
                    <a:prstGeom prst="rect">
                      <a:avLst/>
                    </a:prstGeom>
                  </pic:spPr>
                </pic:pic>
              </a:graphicData>
            </a:graphic>
          </wp:inline>
        </w:drawing>
      </w:r>
    </w:p>
    <w:p w14:paraId="62A4431E" w14:textId="15EED63F" w:rsidR="00176804" w:rsidRDefault="00176804" w:rsidP="00176804"/>
    <w:p w14:paraId="069DDC13" w14:textId="24252FB8" w:rsidR="00365BCA" w:rsidRDefault="00365BCA" w:rsidP="00176804">
      <w:r>
        <w:t xml:space="preserve">In summary, </w:t>
      </w:r>
      <w:r w:rsidR="000D4EF1">
        <w:t xml:space="preserve">compared to traditional gas phase deposition methods, </w:t>
      </w:r>
      <w:r w:rsidR="00315123">
        <w:t xml:space="preserve">although </w:t>
      </w:r>
      <w:r w:rsidR="000D4EF1">
        <w:t>our polymer precursor synthes</w:t>
      </w:r>
      <w:r w:rsidR="00315123">
        <w:t xml:space="preserve">is route provides less precise compositional control while also uses hazardous chemicals, it does offer a fast, scalable, low-cost and low-temperature fabrication, beneficial for commodity scale production while showing improved conductivities. </w:t>
      </w:r>
      <w:r w:rsidR="00F533C5">
        <w:t xml:space="preserve">The graph below compares the two approaches: advantages in </w:t>
      </w:r>
      <w:r w:rsidR="00F533C5" w:rsidRPr="00F533C5">
        <w:rPr>
          <w:b/>
          <w:bCs/>
        </w:rPr>
        <w:t>green</w:t>
      </w:r>
      <w:r w:rsidR="00F533C5">
        <w:t xml:space="preserve"> and disadvantages in </w:t>
      </w:r>
      <w:r w:rsidR="00F533C5" w:rsidRPr="00AA035B">
        <w:rPr>
          <w:b/>
          <w:bCs/>
        </w:rPr>
        <w:t>orange</w:t>
      </w:r>
      <w:r w:rsidR="00F533C5">
        <w:t xml:space="preserve">. </w:t>
      </w:r>
    </w:p>
    <w:p w14:paraId="7A3BD90D" w14:textId="4F048D5E" w:rsidR="000D4EF1" w:rsidRDefault="000D4EF1" w:rsidP="00A17B82">
      <w:pPr>
        <w:pStyle w:val="Figure"/>
      </w:pPr>
      <w:r w:rsidRPr="000D4EF1">
        <w:rPr>
          <w:noProof/>
        </w:rPr>
        <w:lastRenderedPageBreak/>
        <w:drawing>
          <wp:inline distT="0" distB="0" distL="0" distR="0" wp14:anchorId="39FB5315" wp14:editId="49D8529E">
            <wp:extent cx="5943600" cy="2832100"/>
            <wp:effectExtent l="0" t="0" r="0" b="6350"/>
            <wp:docPr id="4" name="Picture 1" descr="Graphical user interface, text, application, chat or text message&#10;&#10;Description automatically generated">
              <a:extLst xmlns:a="http://schemas.openxmlformats.org/drawingml/2006/main">
                <a:ext uri="{FF2B5EF4-FFF2-40B4-BE49-F238E27FC236}">
                  <a16:creationId xmlns:a16="http://schemas.microsoft.com/office/drawing/2014/main" id="{755D9DF6-9E88-4669-9FD5-A4DAB190951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Graphical user interface, text, application, chat or text message&#10;&#10;Description automatically generated">
                      <a:extLst>
                        <a:ext uri="{FF2B5EF4-FFF2-40B4-BE49-F238E27FC236}">
                          <a16:creationId xmlns:a16="http://schemas.microsoft.com/office/drawing/2014/main" id="{755D9DF6-9E88-4669-9FD5-A4DAB1909515}"/>
                        </a:ext>
                      </a:extLst>
                    </pic:cNvPr>
                    <pic:cNvPicPr>
                      <a:picLocks noChangeAspect="1"/>
                    </pic:cNvPicPr>
                  </pic:nvPicPr>
                  <pic:blipFill>
                    <a:blip r:embed="rId11"/>
                    <a:stretch>
                      <a:fillRect/>
                    </a:stretch>
                  </pic:blipFill>
                  <pic:spPr>
                    <a:xfrm>
                      <a:off x="0" y="0"/>
                      <a:ext cx="5943600" cy="2832100"/>
                    </a:xfrm>
                    <a:prstGeom prst="rect">
                      <a:avLst/>
                    </a:prstGeom>
                  </pic:spPr>
                </pic:pic>
              </a:graphicData>
            </a:graphic>
          </wp:inline>
        </w:drawing>
      </w:r>
    </w:p>
    <w:p w14:paraId="7CB02E74" w14:textId="1FBF87EB" w:rsidR="00992082" w:rsidRDefault="00992082" w:rsidP="00176804"/>
    <w:p w14:paraId="434FE477" w14:textId="77777777" w:rsidR="002E0635" w:rsidRDefault="002E0635" w:rsidP="006344CD"/>
    <w:p w14:paraId="764E0369" w14:textId="77777777" w:rsidR="002E0635" w:rsidRDefault="002E0635" w:rsidP="006344CD"/>
    <w:p w14:paraId="28CA1010" w14:textId="6AFC90DB" w:rsidR="006344CD" w:rsidRPr="002E7340" w:rsidRDefault="006344CD" w:rsidP="006344CD">
      <w:r>
        <w:t xml:space="preserve">Detailed description, analyses and discussions are reported in the following papers: </w:t>
      </w:r>
    </w:p>
    <w:p w14:paraId="11CE0CB4" w14:textId="77777777" w:rsidR="006344CD" w:rsidRPr="00176804" w:rsidRDefault="006344CD" w:rsidP="00176804"/>
    <w:sectPr w:rsidR="006344CD" w:rsidRPr="001768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Yu Gothic Light">
    <w:panose1 w:val="020B0300000000000000"/>
    <w:charset w:val="80"/>
    <w:family w:val="swiss"/>
    <w:pitch w:val="variable"/>
    <w:sig w:usb0="E00002FF" w:usb1="2AC7FDFF" w:usb2="00000016"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92677B"/>
    <w:multiLevelType w:val="multilevel"/>
    <w:tmpl w:val="288CD32C"/>
    <w:lvl w:ilvl="0">
      <w:start w:val="1"/>
      <w:numFmt w:val="upperLetter"/>
      <w:pStyle w:val="Heading4"/>
      <w:lvlText w:val="Appendix %1."/>
      <w:lvlJc w:val="left"/>
      <w:pPr>
        <w:ind w:left="288" w:hanging="288"/>
      </w:pPr>
      <w:rPr>
        <w:rFonts w:hint="default"/>
      </w:rPr>
    </w:lvl>
    <w:lvl w:ilvl="1">
      <w:start w:val="1"/>
      <w:numFmt w:val="decimalZero"/>
      <w:isLgl/>
      <w:lvlText w:val="Section %1.%2"/>
      <w:lvlJc w:val="left"/>
      <w:pPr>
        <w:ind w:left="0" w:firstLine="0"/>
      </w:pPr>
      <w:rPr>
        <w:rFonts w:hint="default"/>
      </w:rPr>
    </w:lvl>
    <w:lvl w:ilvl="2">
      <w:start w:val="1"/>
      <w:numFmt w:val="lowerLetter"/>
      <w:lvlText w:val="(%3)"/>
      <w:lvlJc w:val="left"/>
      <w:pPr>
        <w:ind w:left="720" w:hanging="432"/>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G1MDe2NDMzNLG0NDFU0lEKTi0uzszPAykwqgUA8nfBBCwAAAA="/>
  </w:docVars>
  <w:rsids>
    <w:rsidRoot w:val="00176804"/>
    <w:rsid w:val="000248E3"/>
    <w:rsid w:val="00047A85"/>
    <w:rsid w:val="00062DBC"/>
    <w:rsid w:val="00063F6A"/>
    <w:rsid w:val="000741FB"/>
    <w:rsid w:val="00081B9D"/>
    <w:rsid w:val="00085623"/>
    <w:rsid w:val="00085AED"/>
    <w:rsid w:val="00086EF8"/>
    <w:rsid w:val="000A1975"/>
    <w:rsid w:val="000A7BE2"/>
    <w:rsid w:val="000C0CF0"/>
    <w:rsid w:val="000C369B"/>
    <w:rsid w:val="000D4EF1"/>
    <w:rsid w:val="001034E9"/>
    <w:rsid w:val="001035BF"/>
    <w:rsid w:val="00121B79"/>
    <w:rsid w:val="0012647B"/>
    <w:rsid w:val="00130707"/>
    <w:rsid w:val="00154ADD"/>
    <w:rsid w:val="001563F2"/>
    <w:rsid w:val="00176804"/>
    <w:rsid w:val="001971D2"/>
    <w:rsid w:val="001A61A8"/>
    <w:rsid w:val="001C1D57"/>
    <w:rsid w:val="001D5161"/>
    <w:rsid w:val="001E215B"/>
    <w:rsid w:val="001E7DF5"/>
    <w:rsid w:val="00236D4F"/>
    <w:rsid w:val="00241AA7"/>
    <w:rsid w:val="0024282D"/>
    <w:rsid w:val="00263B35"/>
    <w:rsid w:val="00271E0D"/>
    <w:rsid w:val="00272B37"/>
    <w:rsid w:val="002A096A"/>
    <w:rsid w:val="002A18C2"/>
    <w:rsid w:val="002B604C"/>
    <w:rsid w:val="002D2B48"/>
    <w:rsid w:val="002E0635"/>
    <w:rsid w:val="002E2127"/>
    <w:rsid w:val="002E3C69"/>
    <w:rsid w:val="00303DD7"/>
    <w:rsid w:val="00315123"/>
    <w:rsid w:val="003429F9"/>
    <w:rsid w:val="00365BCA"/>
    <w:rsid w:val="003B57D6"/>
    <w:rsid w:val="003F3B6E"/>
    <w:rsid w:val="004232D9"/>
    <w:rsid w:val="00424E32"/>
    <w:rsid w:val="00443FC3"/>
    <w:rsid w:val="004729AD"/>
    <w:rsid w:val="0048796A"/>
    <w:rsid w:val="004A0D77"/>
    <w:rsid w:val="004D321A"/>
    <w:rsid w:val="00514529"/>
    <w:rsid w:val="005163A3"/>
    <w:rsid w:val="00527A30"/>
    <w:rsid w:val="00567257"/>
    <w:rsid w:val="005800CB"/>
    <w:rsid w:val="00591B87"/>
    <w:rsid w:val="005E128F"/>
    <w:rsid w:val="005F12AF"/>
    <w:rsid w:val="005F4806"/>
    <w:rsid w:val="00607E71"/>
    <w:rsid w:val="006344CD"/>
    <w:rsid w:val="0064502C"/>
    <w:rsid w:val="006638D1"/>
    <w:rsid w:val="006729CC"/>
    <w:rsid w:val="00685E15"/>
    <w:rsid w:val="006C2221"/>
    <w:rsid w:val="006C3F83"/>
    <w:rsid w:val="006D783D"/>
    <w:rsid w:val="007134C4"/>
    <w:rsid w:val="00747E53"/>
    <w:rsid w:val="00767571"/>
    <w:rsid w:val="00785CAD"/>
    <w:rsid w:val="007943C1"/>
    <w:rsid w:val="007B3A41"/>
    <w:rsid w:val="007C3F22"/>
    <w:rsid w:val="007D1F0A"/>
    <w:rsid w:val="007D610C"/>
    <w:rsid w:val="007F49EA"/>
    <w:rsid w:val="00801EF5"/>
    <w:rsid w:val="008208A3"/>
    <w:rsid w:val="00826FE6"/>
    <w:rsid w:val="00875227"/>
    <w:rsid w:val="00892C38"/>
    <w:rsid w:val="008A1892"/>
    <w:rsid w:val="008C6559"/>
    <w:rsid w:val="008C6A9F"/>
    <w:rsid w:val="00901844"/>
    <w:rsid w:val="009034EF"/>
    <w:rsid w:val="00963463"/>
    <w:rsid w:val="00967D6F"/>
    <w:rsid w:val="0098283F"/>
    <w:rsid w:val="00992082"/>
    <w:rsid w:val="009B13A5"/>
    <w:rsid w:val="009C4420"/>
    <w:rsid w:val="009E2FC6"/>
    <w:rsid w:val="009F04AA"/>
    <w:rsid w:val="00A1704F"/>
    <w:rsid w:val="00A17B82"/>
    <w:rsid w:val="00A17FFC"/>
    <w:rsid w:val="00A230C7"/>
    <w:rsid w:val="00A234BB"/>
    <w:rsid w:val="00A243E6"/>
    <w:rsid w:val="00A33F8C"/>
    <w:rsid w:val="00A42163"/>
    <w:rsid w:val="00A42BFB"/>
    <w:rsid w:val="00A86CE0"/>
    <w:rsid w:val="00AA035B"/>
    <w:rsid w:val="00AA41A4"/>
    <w:rsid w:val="00AB3487"/>
    <w:rsid w:val="00AD48A6"/>
    <w:rsid w:val="00AE6FFA"/>
    <w:rsid w:val="00AF62BE"/>
    <w:rsid w:val="00B24EF9"/>
    <w:rsid w:val="00B30F02"/>
    <w:rsid w:val="00B323C8"/>
    <w:rsid w:val="00B46FBB"/>
    <w:rsid w:val="00B567B0"/>
    <w:rsid w:val="00B91D7C"/>
    <w:rsid w:val="00BB0F7F"/>
    <w:rsid w:val="00BB1262"/>
    <w:rsid w:val="00BC762C"/>
    <w:rsid w:val="00BD4504"/>
    <w:rsid w:val="00BE4FA4"/>
    <w:rsid w:val="00BF369D"/>
    <w:rsid w:val="00C01088"/>
    <w:rsid w:val="00C02937"/>
    <w:rsid w:val="00C12A48"/>
    <w:rsid w:val="00C22101"/>
    <w:rsid w:val="00C355C2"/>
    <w:rsid w:val="00C45676"/>
    <w:rsid w:val="00C46B97"/>
    <w:rsid w:val="00C86853"/>
    <w:rsid w:val="00C92043"/>
    <w:rsid w:val="00C97FFD"/>
    <w:rsid w:val="00CB4E80"/>
    <w:rsid w:val="00CB6BB7"/>
    <w:rsid w:val="00CF5326"/>
    <w:rsid w:val="00D11C72"/>
    <w:rsid w:val="00D31EDD"/>
    <w:rsid w:val="00D52234"/>
    <w:rsid w:val="00D53E7F"/>
    <w:rsid w:val="00D62CE5"/>
    <w:rsid w:val="00D72D45"/>
    <w:rsid w:val="00D76136"/>
    <w:rsid w:val="00DA473F"/>
    <w:rsid w:val="00DB53EC"/>
    <w:rsid w:val="00DD7AB2"/>
    <w:rsid w:val="00E12C7D"/>
    <w:rsid w:val="00E6676A"/>
    <w:rsid w:val="00E74CDF"/>
    <w:rsid w:val="00E92F64"/>
    <w:rsid w:val="00EF41C9"/>
    <w:rsid w:val="00EF5E33"/>
    <w:rsid w:val="00F433EE"/>
    <w:rsid w:val="00F533C5"/>
    <w:rsid w:val="00F622F3"/>
    <w:rsid w:val="00FC026A"/>
    <w:rsid w:val="00FC1151"/>
    <w:rsid w:val="00FD27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C1E84"/>
  <w15:chartTrackingRefBased/>
  <w15:docId w15:val="{0635B35C-61E2-4A10-B4F2-DE6F7DC8F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3463"/>
    <w:pPr>
      <w:spacing w:after="0" w:line="360" w:lineRule="auto"/>
      <w:ind w:firstLine="360"/>
      <w:jc w:val="both"/>
    </w:pPr>
    <w:rPr>
      <w:rFonts w:ascii="Times New Roman" w:hAnsi="Times New Roman"/>
      <w:sz w:val="24"/>
    </w:rPr>
  </w:style>
  <w:style w:type="paragraph" w:styleId="Heading1">
    <w:name w:val="heading 1"/>
    <w:basedOn w:val="Normal"/>
    <w:next w:val="Normal"/>
    <w:link w:val="Heading1Char"/>
    <w:uiPriority w:val="9"/>
    <w:qFormat/>
    <w:rsid w:val="00271E0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1E0D"/>
    <w:pPr>
      <w:keepNext/>
      <w:keepLines/>
      <w:spacing w:before="200" w:line="480" w:lineRule="auto"/>
      <w:outlineLvl w:val="1"/>
    </w:pPr>
    <w:rPr>
      <w:rFonts w:eastAsia="Yu Gothic Light" w:cs="Times New Roman"/>
      <w:b/>
      <w:bCs/>
      <w:szCs w:val="26"/>
      <w:lang w:eastAsia="en-US"/>
    </w:rPr>
  </w:style>
  <w:style w:type="paragraph" w:styleId="Heading3">
    <w:name w:val="heading 3"/>
    <w:basedOn w:val="Normal"/>
    <w:next w:val="Normal"/>
    <w:link w:val="Heading3Char"/>
    <w:uiPriority w:val="9"/>
    <w:unhideWhenUsed/>
    <w:qFormat/>
    <w:rsid w:val="00271E0D"/>
    <w:pPr>
      <w:keepNext/>
      <w:keepLines/>
      <w:spacing w:before="200" w:line="480" w:lineRule="auto"/>
      <w:outlineLvl w:val="2"/>
    </w:pPr>
    <w:rPr>
      <w:rFonts w:eastAsia="Yu Gothic Light" w:cs="Times New Roman"/>
      <w:b/>
      <w:bCs/>
      <w:lang w:eastAsia="en-US"/>
    </w:rPr>
  </w:style>
  <w:style w:type="paragraph" w:styleId="Heading4">
    <w:name w:val="heading 4"/>
    <w:basedOn w:val="Heading1"/>
    <w:next w:val="Heading1"/>
    <w:link w:val="Heading4Char"/>
    <w:uiPriority w:val="9"/>
    <w:unhideWhenUsed/>
    <w:qFormat/>
    <w:rsid w:val="00271E0D"/>
    <w:pPr>
      <w:keepNext w:val="0"/>
      <w:keepLines w:val="0"/>
      <w:pageBreakBefore/>
      <w:numPr>
        <w:numId w:val="1"/>
      </w:numPr>
      <w:spacing w:before="1440" w:line="240" w:lineRule="auto"/>
      <w:jc w:val="center"/>
      <w:outlineLvl w:val="3"/>
    </w:pPr>
    <w:rPr>
      <w:rFonts w:ascii="Times New Roman" w:eastAsia="Yu Gothic Light" w:hAnsi="Times New Roman" w:cs="Times New Roman"/>
      <w:b/>
      <w:bCs/>
      <w:iCs/>
      <w:color w:val="auto"/>
      <w:sz w:val="24"/>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B604C"/>
    <w:pPr>
      <w:spacing w:after="0" w:line="300" w:lineRule="auto"/>
      <w:jc w:val="center"/>
    </w:pPr>
    <w:rPr>
      <w:rFonts w:ascii="Times New Roman" w:hAnsi="Times New Roman"/>
      <w:sz w:val="24"/>
    </w:rPr>
  </w:style>
  <w:style w:type="character" w:customStyle="1" w:styleId="Heading1Char">
    <w:name w:val="Heading 1 Char"/>
    <w:basedOn w:val="DefaultParagraphFont"/>
    <w:link w:val="Heading1"/>
    <w:uiPriority w:val="9"/>
    <w:rsid w:val="00271E0D"/>
    <w:rPr>
      <w:rFonts w:asciiTheme="majorHAnsi" w:eastAsiaTheme="majorEastAsia" w:hAnsiTheme="majorHAnsi" w:cstheme="majorBidi"/>
      <w:color w:val="2F5496" w:themeColor="accent1" w:themeShade="BF"/>
      <w:sz w:val="32"/>
      <w:szCs w:val="32"/>
    </w:rPr>
  </w:style>
  <w:style w:type="character" w:customStyle="1" w:styleId="Heading2Char">
    <w:name w:val="Heading 2 Char"/>
    <w:link w:val="Heading2"/>
    <w:uiPriority w:val="9"/>
    <w:rsid w:val="00271E0D"/>
    <w:rPr>
      <w:rFonts w:ascii="Times New Roman" w:eastAsia="Yu Gothic Light" w:hAnsi="Times New Roman" w:cs="Times New Roman"/>
      <w:b/>
      <w:bCs/>
      <w:sz w:val="24"/>
      <w:szCs w:val="26"/>
      <w:lang w:eastAsia="en-US"/>
    </w:rPr>
  </w:style>
  <w:style w:type="character" w:customStyle="1" w:styleId="Heading3Char">
    <w:name w:val="Heading 3 Char"/>
    <w:link w:val="Heading3"/>
    <w:uiPriority w:val="9"/>
    <w:rsid w:val="00271E0D"/>
    <w:rPr>
      <w:rFonts w:ascii="Times New Roman" w:eastAsia="Yu Gothic Light" w:hAnsi="Times New Roman" w:cs="Times New Roman"/>
      <w:b/>
      <w:bCs/>
      <w:sz w:val="24"/>
      <w:lang w:eastAsia="en-US"/>
    </w:rPr>
  </w:style>
  <w:style w:type="character" w:customStyle="1" w:styleId="Heading4Char">
    <w:name w:val="Heading 4 Char"/>
    <w:link w:val="Heading4"/>
    <w:uiPriority w:val="9"/>
    <w:rsid w:val="00271E0D"/>
    <w:rPr>
      <w:rFonts w:ascii="Times New Roman" w:eastAsia="Yu Gothic Light" w:hAnsi="Times New Roman" w:cs="Times New Roman"/>
      <w:b/>
      <w:bCs/>
      <w:iCs/>
      <w:sz w:val="24"/>
      <w:szCs w:val="32"/>
      <w:lang w:eastAsia="en-US"/>
    </w:rPr>
  </w:style>
  <w:style w:type="paragraph" w:customStyle="1" w:styleId="Figure">
    <w:name w:val="Figure"/>
    <w:basedOn w:val="Normal"/>
    <w:link w:val="FigureChar"/>
    <w:qFormat/>
    <w:rsid w:val="00685E15"/>
    <w:pPr>
      <w:widowControl w:val="0"/>
      <w:spacing w:line="300" w:lineRule="auto"/>
      <w:ind w:firstLine="0"/>
      <w:jc w:val="center"/>
    </w:pPr>
    <w:rPr>
      <w:rFonts w:eastAsia="SimSun" w:cs="Times New Roman"/>
      <w:color w:val="000000"/>
      <w:szCs w:val="24"/>
      <w:lang w:eastAsia="en-US"/>
    </w:rPr>
  </w:style>
  <w:style w:type="character" w:customStyle="1" w:styleId="FigureChar">
    <w:name w:val="Figure Char"/>
    <w:basedOn w:val="DefaultParagraphFont"/>
    <w:link w:val="Figure"/>
    <w:rsid w:val="00685E15"/>
    <w:rPr>
      <w:rFonts w:ascii="Times New Roman" w:eastAsia="SimSun" w:hAnsi="Times New Roman" w:cs="Times New Roman"/>
      <w:color w:val="000000"/>
      <w:sz w:val="24"/>
      <w:szCs w:val="24"/>
      <w:lang w:eastAsia="en-US"/>
    </w:rPr>
  </w:style>
  <w:style w:type="paragraph" w:customStyle="1" w:styleId="Figurecaption">
    <w:name w:val="Figure caption"/>
    <w:basedOn w:val="NoSpacing"/>
    <w:link w:val="FigurecaptionChar"/>
    <w:qFormat/>
    <w:rsid w:val="00685E15"/>
    <w:rPr>
      <w:bCs/>
    </w:rPr>
  </w:style>
  <w:style w:type="character" w:customStyle="1" w:styleId="FigurecaptionChar">
    <w:name w:val="Figure caption Char"/>
    <w:basedOn w:val="DefaultParagraphFont"/>
    <w:link w:val="Figurecaption"/>
    <w:rsid w:val="00685E15"/>
    <w:rPr>
      <w:rFonts w:ascii="Times New Roman" w:hAnsi="Times New Roman"/>
      <w:bCs/>
      <w:sz w:val="24"/>
    </w:rPr>
  </w:style>
  <w:style w:type="paragraph" w:styleId="Bibliography">
    <w:name w:val="Bibliography"/>
    <w:basedOn w:val="Normal"/>
    <w:next w:val="Normal"/>
    <w:uiPriority w:val="37"/>
    <w:unhideWhenUsed/>
    <w:rsid w:val="00B91D7C"/>
    <w:pPr>
      <w:tabs>
        <w:tab w:val="left" w:pos="504"/>
      </w:tabs>
      <w:spacing w:line="240" w:lineRule="auto"/>
      <w:ind w:left="504" w:hanging="50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4974799">
      <w:bodyDiv w:val="1"/>
      <w:marLeft w:val="0"/>
      <w:marRight w:val="0"/>
      <w:marTop w:val="0"/>
      <w:marBottom w:val="0"/>
      <w:divBdr>
        <w:top w:val="none" w:sz="0" w:space="0" w:color="auto"/>
        <w:left w:val="none" w:sz="0" w:space="0" w:color="auto"/>
        <w:bottom w:val="none" w:sz="0" w:space="0" w:color="auto"/>
        <w:right w:val="none" w:sz="0" w:space="0" w:color="auto"/>
      </w:divBdr>
      <w:divsChild>
        <w:div w:id="1129517574">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1755</TotalTime>
  <Pages>7</Pages>
  <Words>1427</Words>
  <Characters>8139</Characters>
  <Application>Microsoft Office Word</Application>
  <DocSecurity>0</DocSecurity>
  <Lines>67</Lines>
  <Paragraphs>19</Paragraphs>
  <ScaleCrop>false</ScaleCrop>
  <Company/>
  <LinksUpToDate>false</LinksUpToDate>
  <CharactersWithSpaces>9547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Miranda Zhang</dc:creator>
  <cp:keywords/>
  <dc:description/>
  <cp:lastModifiedBy>Miranda Zhang</cp:lastModifiedBy>
  <cp:revision>104</cp:revision>
  <dcterms:created xsi:type="dcterms:W3CDTF">2021-12-20T21:13:00Z</dcterms:created>
  <dcterms:modified xsi:type="dcterms:W3CDTF">2021-12-22T19:18:00Z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id="FNpywYaC"/&gt;&lt;style id="http://www.zotero.org/styles/journal-of-the-american-chemical-society" hasBibliography="1" bibliographyStyleHasBeenSet="1"/&gt;&lt;prefs&gt;&lt;pref name="fieldType" value="Field"/&gt;&lt;p</vt:lpwstr>
  </property>
  <property fmtid="{D5CDD505-2E9C-101B-9397-08002B2CF9AE}" pid="3" name="ZOTERO_PREF_2">
    <vt:lpwstr>ref name="automaticJournalAbbreviations" value="true"/&gt;&lt;/prefs&gt;&lt;/data&gt;</vt:lpwstr>
  </property>
</Properties>
</file>