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BD4D8" w14:textId="224F3882" w:rsidR="00A42BFB" w:rsidRPr="00C64D5B" w:rsidRDefault="006E6A8C">
      <w:pPr>
        <w:rPr>
          <w:b/>
          <w:bCs/>
          <w:sz w:val="28"/>
          <w:szCs w:val="24"/>
        </w:rPr>
      </w:pPr>
      <w:r w:rsidRPr="00C64D5B">
        <w:rPr>
          <w:b/>
          <w:bCs/>
          <w:sz w:val="28"/>
          <w:szCs w:val="24"/>
        </w:rPr>
        <w:t>NOVEL SOLID</w:t>
      </w:r>
      <w:r w:rsidR="00652EA0" w:rsidRPr="00C64D5B">
        <w:rPr>
          <w:b/>
          <w:bCs/>
          <w:sz w:val="28"/>
          <w:szCs w:val="24"/>
        </w:rPr>
        <w:t>-STATE</w:t>
      </w:r>
      <w:r w:rsidRPr="00C64D5B">
        <w:rPr>
          <w:b/>
          <w:bCs/>
          <w:sz w:val="28"/>
          <w:szCs w:val="24"/>
        </w:rPr>
        <w:t xml:space="preserve"> ELECTROLYTES</w:t>
      </w:r>
    </w:p>
    <w:p w14:paraId="506035DE" w14:textId="6BFA17CC" w:rsidR="00166553" w:rsidRPr="00C64D5B" w:rsidRDefault="00166553" w:rsidP="0002744A">
      <w:pPr>
        <w:rPr>
          <w:b/>
          <w:bCs/>
          <w:sz w:val="28"/>
          <w:szCs w:val="24"/>
        </w:rPr>
      </w:pPr>
      <w:r w:rsidRPr="00C64D5B">
        <w:rPr>
          <w:b/>
          <w:bCs/>
          <w:sz w:val="28"/>
          <w:szCs w:val="24"/>
        </w:rPr>
        <w:t>Introduction</w:t>
      </w:r>
    </w:p>
    <w:p w14:paraId="09B068F9" w14:textId="2D55D1D9" w:rsidR="0002744A" w:rsidRPr="009D48E5" w:rsidRDefault="0002744A" w:rsidP="0002744A">
      <w:r w:rsidRPr="009D48E5">
        <w:t xml:space="preserve">Conventional </w:t>
      </w:r>
      <w:r>
        <w:t>lithium-ion batteries (</w:t>
      </w:r>
      <w:r w:rsidRPr="009D48E5">
        <w:t>LIBs</w:t>
      </w:r>
      <w:r>
        <w:t>)</w:t>
      </w:r>
      <w:r w:rsidRPr="009D48E5">
        <w:t xml:space="preserve"> rely on flammable organic liquid electrolytes due to their high ionic conductivity and excellent wetting </w:t>
      </w:r>
      <w:r>
        <w:t>of</w:t>
      </w:r>
      <w:r w:rsidRPr="009D48E5">
        <w:t xml:space="preserve"> electrode surfaces. However, they often suffer from inadequate electrochemical and thermal stabilities giving rise to inherent safety risks and restrained operating temperatures. Non-flammable, solid-state electrolytes (SSEs) offer an escape from such problems offering potential for wider operating temperatures, higher energy-densities, and simplification in the cell design. </w:t>
      </w:r>
    </w:p>
    <w:p w14:paraId="5ADD8D10" w14:textId="7268955B" w:rsidR="0002744A" w:rsidRPr="009D48E5" w:rsidRDefault="0002744A" w:rsidP="0002744A">
      <w:r w:rsidRPr="009D48E5">
        <w:t xml:space="preserve">There are two general classes of SSEs for LIBs: polymer and inorganic solid electrolytes. </w:t>
      </w:r>
      <w:r w:rsidR="00C35F4B">
        <w:t xml:space="preserve">A </w:t>
      </w:r>
      <w:r w:rsidR="00743619">
        <w:t xml:space="preserve">brief introduction to polymer electrolytes </w:t>
      </w:r>
      <w:r w:rsidR="005F271A">
        <w:t xml:space="preserve">(PEs) </w:t>
      </w:r>
      <w:r w:rsidR="00285C98">
        <w:t>is</w:t>
      </w:r>
      <w:r w:rsidR="00743619">
        <w:t xml:space="preserve"> given</w:t>
      </w:r>
      <w:r w:rsidR="00C35F4B">
        <w:t xml:space="preserve"> i</w:t>
      </w:r>
      <w:r w:rsidR="00C35F4B">
        <w:t xml:space="preserve">n the </w:t>
      </w:r>
      <w:r w:rsidR="00C35F4B" w:rsidRPr="00743619">
        <w:rPr>
          <w:b/>
          <w:bCs/>
        </w:rPr>
        <w:t>Polymer Syntheses</w:t>
      </w:r>
      <w:r w:rsidR="00C35F4B">
        <w:t xml:space="preserve"> page</w:t>
      </w:r>
      <w:r w:rsidR="00C35F4B">
        <w:t>. Therefore, the following section introduces inorganic solid electrolytes (ISEs).</w:t>
      </w:r>
    </w:p>
    <w:p w14:paraId="3B1100DF" w14:textId="225D4A20" w:rsidR="006E6A8C" w:rsidRDefault="0092407E" w:rsidP="006E6A8C">
      <w:r>
        <w:t>ISEs</w:t>
      </w:r>
      <w:r w:rsidRPr="009D48E5">
        <w:t xml:space="preserve">, typically ceramics, provide greater electrochemical stability window and </w:t>
      </w:r>
      <w:r w:rsidRPr="009D48E5">
        <w:rPr>
          <w:i/>
          <w:iCs/>
        </w:rPr>
        <w:t>t</w:t>
      </w:r>
      <w:r w:rsidRPr="009D48E5">
        <w:rPr>
          <w:vertAlign w:val="subscript"/>
        </w:rPr>
        <w:t>Li</w:t>
      </w:r>
      <w:r w:rsidRPr="009D48E5">
        <w:rPr>
          <w:vertAlign w:val="superscript"/>
        </w:rPr>
        <w:t>+</w:t>
      </w:r>
      <w:r w:rsidRPr="009D48E5">
        <w:t>, enhanced thermal and chemical stabilities, and diminished flammability compared to PEs. However, due to low fracture toughness and ductility, ceramic electrolytes often show poor interfacial contact with electrodes and fail to meet requirements for fabricating thin and flexible films in practical applications.</w:t>
      </w:r>
      <w:r w:rsidRPr="009D48E5">
        <w:rPr>
          <w:color w:val="ED7D31"/>
        </w:rPr>
        <w:t xml:space="preserve"> </w:t>
      </w:r>
      <w:r w:rsidRPr="009D48E5">
        <w:t>In addition, fabrication cost</w:t>
      </w:r>
      <w:r>
        <w:t>s</w:t>
      </w:r>
      <w:r w:rsidRPr="009D48E5">
        <w:t xml:space="preserve"> for </w:t>
      </w:r>
      <w:r>
        <w:t>ISEs</w:t>
      </w:r>
      <w:r w:rsidRPr="009D48E5">
        <w:t xml:space="preserve"> </w:t>
      </w:r>
      <w:r>
        <w:t>are</w:t>
      </w:r>
      <w:r w:rsidRPr="009D48E5">
        <w:t xml:space="preserve"> typically high, e.g. solid-state reaction</w:t>
      </w:r>
      <w:r>
        <w:t>s</w:t>
      </w:r>
      <w:r w:rsidRPr="009D48E5">
        <w:t>, high temperature sintering and gas phase deposition, limiting bulk production for commercialization.</w:t>
      </w:r>
    </w:p>
    <w:p w14:paraId="20EDCD98" w14:textId="6A104B06" w:rsidR="00807983" w:rsidRDefault="003936FE" w:rsidP="006E6A8C">
      <w:r w:rsidRPr="009D48E5">
        <w:t xml:space="preserve">Common types of </w:t>
      </w:r>
      <w:r>
        <w:t>ISEs</w:t>
      </w:r>
      <w:r w:rsidRPr="009D48E5">
        <w:t xml:space="preserve"> include garnet, perovskite, sodium super ion conductor (NASICON) and </w:t>
      </w:r>
      <w:r>
        <w:t>lithium</w:t>
      </w:r>
      <w:r w:rsidRPr="009D48E5">
        <w:t xml:space="preserve"> super ion conductor </w:t>
      </w:r>
      <w:r>
        <w:t>(</w:t>
      </w:r>
      <w:r w:rsidRPr="009D48E5">
        <w:t>LISICON</w:t>
      </w:r>
      <w:r>
        <w:t>)</w:t>
      </w:r>
      <w:r w:rsidRPr="009D48E5">
        <w:t xml:space="preserve"> crystalline electrolytes and glassy electrolytes such as lithium phosphorus oxynitride (LiPON).</w:t>
      </w:r>
      <w:r w:rsidR="002C69CE">
        <w:t xml:space="preserve"> </w:t>
      </w:r>
      <w:r w:rsidR="00AB09D0">
        <w:t>R</w:t>
      </w:r>
      <w:r w:rsidR="002C69CE">
        <w:t xml:space="preserve">epresentative structures </w:t>
      </w:r>
      <w:r w:rsidR="006E70BE">
        <w:t xml:space="preserve">for </w:t>
      </w:r>
      <w:r w:rsidR="00AB09D0" w:rsidRPr="009D48E5">
        <w:t xml:space="preserve">crystalline electrolytes </w:t>
      </w:r>
      <w:r w:rsidR="002C69CE">
        <w:t xml:space="preserve">are shown below. </w:t>
      </w:r>
    </w:p>
    <w:p w14:paraId="1DDFCA05" w14:textId="77777777" w:rsidR="00166553" w:rsidRDefault="00166553" w:rsidP="000B6028">
      <w:pPr>
        <w:ind w:firstLine="0"/>
      </w:pPr>
    </w:p>
    <w:p w14:paraId="094A0AD6" w14:textId="7FEC0DF1" w:rsidR="00807983" w:rsidRDefault="000B6028" w:rsidP="000B6028">
      <w:pPr>
        <w:ind w:firstLine="0"/>
      </w:pPr>
      <w:r>
        <w:rPr>
          <w:noProof/>
        </w:rPr>
        <w:lastRenderedPageBreak/>
        <w:drawing>
          <wp:inline distT="0" distB="0" distL="0" distR="0" wp14:anchorId="374256B9" wp14:editId="386F7B1F">
            <wp:extent cx="5943600" cy="4154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154765"/>
                    </a:xfrm>
                    <a:prstGeom prst="rect">
                      <a:avLst/>
                    </a:prstGeom>
                    <a:noFill/>
                  </pic:spPr>
                </pic:pic>
              </a:graphicData>
            </a:graphic>
          </wp:inline>
        </w:drawing>
      </w:r>
    </w:p>
    <w:p w14:paraId="0AB01A4B" w14:textId="3360868C" w:rsidR="00807983" w:rsidRPr="001577FC" w:rsidRDefault="00166553" w:rsidP="00166553">
      <w:pPr>
        <w:rPr>
          <w:b/>
          <w:bCs/>
        </w:rPr>
      </w:pPr>
      <w:r w:rsidRPr="001577FC">
        <w:rPr>
          <w:b/>
          <w:bCs/>
        </w:rPr>
        <w:t>LISICON and LiPON SSEs</w:t>
      </w:r>
    </w:p>
    <w:p w14:paraId="2ECD8BD4" w14:textId="4B4FF06D" w:rsidR="00545371" w:rsidRDefault="00C53C18" w:rsidP="00166553">
      <w:pPr>
        <w:rPr>
          <w:u w:val="single"/>
        </w:rPr>
      </w:pPr>
      <w:r w:rsidRPr="00C53C18">
        <w:rPr>
          <w:u w:val="single"/>
        </w:rPr>
        <w:t>LISICON - γ-Li</w:t>
      </w:r>
      <w:r w:rsidRPr="00C53C18">
        <w:rPr>
          <w:u w:val="single"/>
          <w:vertAlign w:val="subscript"/>
        </w:rPr>
        <w:t>3</w:t>
      </w:r>
      <w:r w:rsidRPr="00C53C18">
        <w:rPr>
          <w:u w:val="single"/>
        </w:rPr>
        <w:t>PO</w:t>
      </w:r>
      <w:r w:rsidRPr="00C53C18">
        <w:rPr>
          <w:u w:val="single"/>
          <w:vertAlign w:val="subscript"/>
        </w:rPr>
        <w:t>4</w:t>
      </w:r>
    </w:p>
    <w:p w14:paraId="4EAA02CA" w14:textId="6D6A6E73" w:rsidR="00545371" w:rsidRDefault="00A27776" w:rsidP="00A27776">
      <w:r>
        <w:t>LISICON-type SSEs are commonly used and studied.</w:t>
      </w:r>
      <w:r w:rsidR="00715EE5">
        <w:t xml:space="preserve"> </w:t>
      </w:r>
      <w:r w:rsidR="00C53C18" w:rsidRPr="009D48E5">
        <w:t xml:space="preserve">Typical LISICON-type compounds crystallize into structures similar to </w:t>
      </w:r>
      <w:r w:rsidR="00C53C18" w:rsidRPr="009D48E5">
        <w:rPr>
          <w:i/>
          <w:iCs/>
        </w:rPr>
        <w:t>γ</w:t>
      </w:r>
      <w:r w:rsidR="00C53C18" w:rsidRPr="009D48E5">
        <w:t>-Li</w:t>
      </w:r>
      <w:r w:rsidR="00C53C18" w:rsidRPr="009D48E5">
        <w:rPr>
          <w:vertAlign w:val="subscript"/>
        </w:rPr>
        <w:t>3</w:t>
      </w:r>
      <w:r w:rsidR="00C53C18" w:rsidRPr="009D48E5">
        <w:t>PO</w:t>
      </w:r>
      <w:r w:rsidR="00C53C18" w:rsidRPr="009D48E5">
        <w:rPr>
          <w:vertAlign w:val="subscript"/>
        </w:rPr>
        <w:t>4</w:t>
      </w:r>
      <w:r w:rsidR="00C53C18" w:rsidRPr="009D48E5">
        <w:t xml:space="preserve"> with an orthorhombic unit cell and </w:t>
      </w:r>
      <w:r w:rsidR="00C53C18" w:rsidRPr="009D48E5">
        <w:rPr>
          <w:i/>
          <w:iCs/>
        </w:rPr>
        <w:t>Pnma</w:t>
      </w:r>
      <w:r w:rsidR="00C53C18" w:rsidRPr="009D48E5">
        <w:t> space group, where all cations are tetrahedrally coordinated. The Li</w:t>
      </w:r>
      <w:r w:rsidR="00C53C18" w:rsidRPr="009D48E5">
        <w:rPr>
          <w:vertAlign w:val="superscript"/>
        </w:rPr>
        <w:t>+</w:t>
      </w:r>
      <w:r w:rsidR="00C53C18" w:rsidRPr="009D48E5">
        <w:t xml:space="preserve"> ions located in LiO</w:t>
      </w:r>
      <w:r w:rsidR="00C53C18" w:rsidRPr="009D48E5">
        <w:rPr>
          <w:vertAlign w:val="subscript"/>
        </w:rPr>
        <w:t>4</w:t>
      </w:r>
      <w:r w:rsidR="00C53C18" w:rsidRPr="009D48E5">
        <w:t> tetrahedra diffuse between these tetrahedra and interstitial sites located in the PO</w:t>
      </w:r>
      <w:r w:rsidR="00C53C18" w:rsidRPr="009D48E5">
        <w:rPr>
          <w:vertAlign w:val="subscript"/>
        </w:rPr>
        <w:t>4</w:t>
      </w:r>
      <w:r w:rsidR="00C53C18" w:rsidRPr="009D48E5">
        <w:t> network.</w:t>
      </w:r>
      <w:r w:rsidR="00F20FB6">
        <w:t xml:space="preserve"> </w:t>
      </w:r>
      <w:r w:rsidR="00A462E9">
        <w:t xml:space="preserve">Including </w:t>
      </w:r>
      <w:r w:rsidR="00A462E9" w:rsidRPr="00A462E9">
        <w:rPr>
          <w:lang w:val="it-IT"/>
        </w:rPr>
        <w:t>Li</w:t>
      </w:r>
      <w:r w:rsidR="00A462E9" w:rsidRPr="00A462E9">
        <w:rPr>
          <w:vertAlign w:val="subscript"/>
          <w:lang w:val="it-IT"/>
        </w:rPr>
        <w:t>3</w:t>
      </w:r>
      <w:r w:rsidR="00A462E9" w:rsidRPr="00A462E9">
        <w:rPr>
          <w:lang w:val="it-IT"/>
        </w:rPr>
        <w:t>PO</w:t>
      </w:r>
      <w:r w:rsidR="00A462E9" w:rsidRPr="00A462E9">
        <w:rPr>
          <w:vertAlign w:val="subscript"/>
          <w:lang w:val="it-IT"/>
        </w:rPr>
        <w:t>4</w:t>
      </w:r>
      <w:r w:rsidR="00A462E9" w:rsidRPr="00A462E9">
        <w:rPr>
          <w:lang w:val="it-IT"/>
        </w:rPr>
        <w:t>, Li</w:t>
      </w:r>
      <w:r w:rsidR="00A462E9" w:rsidRPr="00A462E9">
        <w:rPr>
          <w:vertAlign w:val="subscript"/>
          <w:lang w:val="it-IT"/>
        </w:rPr>
        <w:t>4</w:t>
      </w:r>
      <w:r w:rsidR="00A462E9" w:rsidRPr="00A462E9">
        <w:rPr>
          <w:lang w:val="it-IT"/>
        </w:rPr>
        <w:t>SiO</w:t>
      </w:r>
      <w:r w:rsidR="00A462E9" w:rsidRPr="00A462E9">
        <w:rPr>
          <w:vertAlign w:val="subscript"/>
          <w:lang w:val="it-IT"/>
        </w:rPr>
        <w:t>4</w:t>
      </w:r>
      <w:r w:rsidR="00A462E9" w:rsidRPr="00A462E9">
        <w:rPr>
          <w:lang w:val="it-IT"/>
        </w:rPr>
        <w:t>, Li</w:t>
      </w:r>
      <w:r w:rsidR="00A462E9" w:rsidRPr="00A462E9">
        <w:rPr>
          <w:vertAlign w:val="subscript"/>
          <w:lang w:val="it-IT"/>
        </w:rPr>
        <w:t>5</w:t>
      </w:r>
      <w:r w:rsidR="00A462E9" w:rsidRPr="00A462E9">
        <w:rPr>
          <w:lang w:val="it-IT"/>
        </w:rPr>
        <w:t>AlO</w:t>
      </w:r>
      <w:r w:rsidR="00A462E9" w:rsidRPr="00A462E9">
        <w:rPr>
          <w:vertAlign w:val="subscript"/>
          <w:lang w:val="it-IT"/>
        </w:rPr>
        <w:t>4</w:t>
      </w:r>
      <w:r w:rsidR="00A462E9" w:rsidRPr="00A462E9">
        <w:rPr>
          <w:lang w:val="it-IT"/>
        </w:rPr>
        <w:t>, Li</w:t>
      </w:r>
      <w:r w:rsidR="00A462E9" w:rsidRPr="00A462E9">
        <w:rPr>
          <w:vertAlign w:val="subscript"/>
          <w:lang w:val="it-IT"/>
        </w:rPr>
        <w:t>4±x</w:t>
      </w:r>
      <w:r w:rsidR="00A462E9" w:rsidRPr="00A462E9">
        <w:rPr>
          <w:lang w:val="it-IT"/>
        </w:rPr>
        <w:t>Si</w:t>
      </w:r>
      <w:r w:rsidR="00A462E9" w:rsidRPr="00A462E9">
        <w:rPr>
          <w:vertAlign w:val="subscript"/>
          <w:lang w:val="it-IT"/>
        </w:rPr>
        <w:t>1−x</w:t>
      </w:r>
      <w:r w:rsidR="00A462E9" w:rsidRPr="00A462E9">
        <w:rPr>
          <w:lang w:val="it-IT"/>
        </w:rPr>
        <w:t>X</w:t>
      </w:r>
      <w:r w:rsidR="00A462E9" w:rsidRPr="00A462E9">
        <w:rPr>
          <w:vertAlign w:val="subscript"/>
          <w:lang w:val="it-IT"/>
        </w:rPr>
        <w:t>x</w:t>
      </w:r>
      <w:r w:rsidR="00A462E9" w:rsidRPr="00A462E9">
        <w:rPr>
          <w:lang w:val="it-IT"/>
        </w:rPr>
        <w:t>O</w:t>
      </w:r>
      <w:r w:rsidR="00A462E9" w:rsidRPr="00A462E9">
        <w:rPr>
          <w:vertAlign w:val="subscript"/>
          <w:lang w:val="it-IT"/>
        </w:rPr>
        <w:t>4</w:t>
      </w:r>
      <w:r w:rsidR="00A462E9" w:rsidRPr="00A462E9">
        <w:rPr>
          <w:lang w:val="it-IT"/>
        </w:rPr>
        <w:t xml:space="preserve"> (X = P, Al, or Ge)</w:t>
      </w:r>
      <w:r w:rsidR="00A462E9">
        <w:rPr>
          <w:lang w:val="it-IT"/>
        </w:rPr>
        <w:t xml:space="preserve">, etc., they all belong to the LISICON family. </w:t>
      </w:r>
      <w:r>
        <w:rPr>
          <w:lang w:val="it-IT"/>
        </w:rPr>
        <w:t xml:space="preserve">In general, </w:t>
      </w:r>
      <w:r w:rsidRPr="009D48E5">
        <w:t xml:space="preserve">LISICON-type of </w:t>
      </w:r>
      <w:r w:rsidR="00AE4577">
        <w:t>S</w:t>
      </w:r>
      <w:r w:rsidRPr="009D48E5">
        <w:t xml:space="preserve">SEs have good chemical and electrochemical stability, but </w:t>
      </w:r>
      <w:r w:rsidR="00DB1980">
        <w:t xml:space="preserve">relatively </w:t>
      </w:r>
      <w:r w:rsidRPr="009D48E5">
        <w:t xml:space="preserve">low ionic conductivities </w:t>
      </w:r>
      <w:r w:rsidR="00715EE5">
        <w:t>(</w:t>
      </w:r>
      <w:r w:rsidR="00B60867">
        <w:t>~10</w:t>
      </w:r>
      <w:r w:rsidR="00B60867" w:rsidRPr="00B60867">
        <w:rPr>
          <w:vertAlign w:val="superscript"/>
        </w:rPr>
        <w:t>-6</w:t>
      </w:r>
      <w:r w:rsidR="00B60867">
        <w:t xml:space="preserve"> S/cm</w:t>
      </w:r>
      <w:r w:rsidR="00715EE5">
        <w:t xml:space="preserve">) </w:t>
      </w:r>
      <w:r w:rsidRPr="009D48E5">
        <w:t xml:space="preserve">compared </w:t>
      </w:r>
      <w:r w:rsidR="00DB1980">
        <w:t>to</w:t>
      </w:r>
      <w:r w:rsidRPr="009D48E5">
        <w:t xml:space="preserve"> other oxide solid electrolytes</w:t>
      </w:r>
      <w:r w:rsidR="000D118E">
        <w:t xml:space="preserve"> (e.g. Garnet</w:t>
      </w:r>
      <w:r w:rsidR="00B17737">
        <w:t>-</w:t>
      </w:r>
      <w:r w:rsidR="000D118E">
        <w:t>type</w:t>
      </w:r>
      <w:r w:rsidR="00B17737">
        <w:t xml:space="preserve"> SSEs show conductivities</w:t>
      </w:r>
      <w:r w:rsidR="000D118E">
        <w:t xml:space="preserve"> up to </w:t>
      </w:r>
      <w:r w:rsidR="00410C9A">
        <w:t>10</w:t>
      </w:r>
      <w:r w:rsidR="00410C9A" w:rsidRPr="00410C9A">
        <w:rPr>
          <w:vertAlign w:val="superscript"/>
        </w:rPr>
        <w:t>-</w:t>
      </w:r>
      <w:r w:rsidR="00221F13">
        <w:rPr>
          <w:vertAlign w:val="superscript"/>
        </w:rPr>
        <w:t>4</w:t>
      </w:r>
      <w:r w:rsidR="00410C9A">
        <w:t>-</w:t>
      </w:r>
      <w:r w:rsidR="000D118E">
        <w:t>10</w:t>
      </w:r>
      <w:r w:rsidR="000D118E" w:rsidRPr="00410C9A">
        <w:rPr>
          <w:vertAlign w:val="superscript"/>
        </w:rPr>
        <w:t>-</w:t>
      </w:r>
      <w:r w:rsidR="00221F13">
        <w:rPr>
          <w:vertAlign w:val="superscript"/>
        </w:rPr>
        <w:t>3</w:t>
      </w:r>
      <w:r w:rsidR="000D118E">
        <w:t xml:space="preserve"> S/cm)</w:t>
      </w:r>
      <w:r w:rsidRPr="009D48E5">
        <w:t>.</w:t>
      </w:r>
    </w:p>
    <w:p w14:paraId="1D65B476" w14:textId="60E1CA33" w:rsidR="00C53C18" w:rsidRPr="00545371" w:rsidRDefault="00C53C18" w:rsidP="00166553">
      <w:pPr>
        <w:rPr>
          <w:u w:val="single"/>
        </w:rPr>
      </w:pPr>
      <w:r w:rsidRPr="00C53C18">
        <w:rPr>
          <w:u w:val="single"/>
        </w:rPr>
        <w:t>LiPON glass - N-doped defective γ-Li</w:t>
      </w:r>
      <w:r w:rsidRPr="00C53C18">
        <w:rPr>
          <w:u w:val="single"/>
          <w:vertAlign w:val="subscript"/>
        </w:rPr>
        <w:t>3</w:t>
      </w:r>
      <w:r w:rsidRPr="00C53C18">
        <w:rPr>
          <w:u w:val="single"/>
        </w:rPr>
        <w:t>PO</w:t>
      </w:r>
      <w:r w:rsidRPr="00C53C18">
        <w:rPr>
          <w:u w:val="single"/>
          <w:vertAlign w:val="subscript"/>
        </w:rPr>
        <w:t>4</w:t>
      </w:r>
    </w:p>
    <w:p w14:paraId="050AADA2" w14:textId="27007326" w:rsidR="004014D0" w:rsidRDefault="00F70E5B" w:rsidP="00C53C18">
      <w:r w:rsidRPr="009D48E5">
        <w:t>LiPON is a type of amorphous Li</w:t>
      </w:r>
      <w:r w:rsidRPr="009D48E5">
        <w:rPr>
          <w:vertAlign w:val="superscript"/>
        </w:rPr>
        <w:t>+</w:t>
      </w:r>
      <w:r w:rsidRPr="009D48E5">
        <w:t xml:space="preserve"> S</w:t>
      </w:r>
      <w:r>
        <w:t>S</w:t>
      </w:r>
      <w:r w:rsidRPr="009D48E5">
        <w:t>E. In principle, LiPON can be considered a Li</w:t>
      </w:r>
      <w:r w:rsidRPr="009D48E5">
        <w:rPr>
          <w:vertAlign w:val="superscript"/>
        </w:rPr>
        <w:t>+</w:t>
      </w:r>
      <w:r w:rsidRPr="009D48E5">
        <w:t xml:space="preserve"> defective </w:t>
      </w:r>
      <w:r w:rsidRPr="009D48E5">
        <w:rPr>
          <w:i/>
          <w:iCs/>
        </w:rPr>
        <w:t>γ</w:t>
      </w:r>
      <w:r w:rsidRPr="009D48E5">
        <w:t>-Li</w:t>
      </w:r>
      <w:r w:rsidRPr="009D48E5">
        <w:rPr>
          <w:vertAlign w:val="subscript"/>
        </w:rPr>
        <w:t>3</w:t>
      </w:r>
      <w:r w:rsidRPr="009D48E5">
        <w:t>PO</w:t>
      </w:r>
      <w:r w:rsidRPr="009D48E5">
        <w:rPr>
          <w:vertAlign w:val="subscript"/>
        </w:rPr>
        <w:t>4</w:t>
      </w:r>
      <w:r w:rsidRPr="009D48E5">
        <w:t xml:space="preserve"> with O partially substituted by N, with an example composition of Li</w:t>
      </w:r>
      <w:r w:rsidRPr="009D48E5">
        <w:rPr>
          <w:vertAlign w:val="subscript"/>
        </w:rPr>
        <w:t>2.</w:t>
      </w:r>
      <w:r w:rsidR="008F1BE2">
        <w:rPr>
          <w:vertAlign w:val="subscript"/>
        </w:rPr>
        <w:t>94</w:t>
      </w:r>
      <w:r w:rsidRPr="009D48E5">
        <w:t>PO</w:t>
      </w:r>
      <w:r w:rsidRPr="009D48E5">
        <w:rPr>
          <w:vertAlign w:val="subscript"/>
        </w:rPr>
        <w:t>3.</w:t>
      </w:r>
      <w:r w:rsidR="008F1BE2">
        <w:rPr>
          <w:vertAlign w:val="subscript"/>
        </w:rPr>
        <w:t>3</w:t>
      </w:r>
      <w:r w:rsidRPr="009D48E5">
        <w:t>N</w:t>
      </w:r>
      <w:r w:rsidRPr="009D48E5">
        <w:rPr>
          <w:vertAlign w:val="subscript"/>
        </w:rPr>
        <w:t>0.</w:t>
      </w:r>
      <w:r w:rsidR="008F1BE2">
        <w:rPr>
          <w:vertAlign w:val="subscript"/>
        </w:rPr>
        <w:t>31</w:t>
      </w:r>
      <w:r w:rsidRPr="009D48E5">
        <w:t>.</w:t>
      </w:r>
      <w:r w:rsidR="008F1BE2" w:rsidRPr="008F1BE2">
        <w:rPr>
          <w:rFonts w:asciiTheme="minorHAnsi" w:eastAsia="Calibri" w:hAnsi="Arial"/>
          <w:color w:val="000000"/>
          <w:kern w:val="24"/>
          <w:sz w:val="36"/>
          <w:szCs w:val="36"/>
        </w:rPr>
        <w:t xml:space="preserve"> </w:t>
      </w:r>
      <w:r w:rsidR="000D2535" w:rsidRPr="009D48E5">
        <w:t>In general, the ionic conductivity of LiPON thin films increase</w:t>
      </w:r>
      <w:r w:rsidR="000D2535">
        <w:t>s</w:t>
      </w:r>
      <w:r w:rsidR="000D2535" w:rsidRPr="009D48E5">
        <w:t xml:space="preserve"> significantly while the activation energy (</w:t>
      </w:r>
      <w:r w:rsidR="000D2535" w:rsidRPr="009D48E5">
        <w:rPr>
          <w:i/>
          <w:iCs/>
        </w:rPr>
        <w:t>E</w:t>
      </w:r>
      <w:r w:rsidR="000D2535" w:rsidRPr="009D48E5">
        <w:rPr>
          <w:i/>
          <w:iCs/>
          <w:vertAlign w:val="subscript"/>
        </w:rPr>
        <w:t>a</w:t>
      </w:r>
      <w:r w:rsidR="000D2535" w:rsidRPr="009D48E5">
        <w:t xml:space="preserve">) for Li diffusion decreases with the atom percentage (at.%) of N </w:t>
      </w:r>
      <w:r w:rsidR="000D2535" w:rsidRPr="009D48E5">
        <w:lastRenderedPageBreak/>
        <w:t>incorporated in the structure.</w:t>
      </w:r>
      <w:r w:rsidR="000D2535">
        <w:t xml:space="preserve"> </w:t>
      </w:r>
      <w:r w:rsidR="00FB6E86">
        <w:t>Studies</w:t>
      </w:r>
      <w:r w:rsidR="00B84A2C" w:rsidRPr="009D48E5">
        <w:fldChar w:fldCharType="begin"/>
      </w:r>
      <w:r w:rsidR="00B84A2C">
        <w:instrText xml:space="preserve"> ADDIN ZOTERO_ITEM CSL_CITATION {"citationID":"DzS0WO8v","properties":{"formattedCitation":"\\super 1,2\\nosupersub{}","plainCitation":"1,2","noteIndex":0},"citationItems":[{"id":1221,"uris":["http://zotero.org/users/6746883/items/DWMWCZSC"],"uri":["http://zotero.org/users/6746883/items/DWMWCZSC"],"itemData":{"id":1221,"type":"article-journal","abstract":"In this work we studied the structural and dynamical properties of crystalline and amorphous Li3PO4/LiPON (four different materials) using computational approaches based on the Density-Functional Tight-Binding (DFTB) method. To the best of our knowledge, this is the first DFTB study of Li3PO4/LiPON. We observed both apical (Na) and double-bridging (Nd), but not triple-bridging N (Nt) in crystalline and amorphous LiPON structures we generated, consistent with some literatures. For the dynamic properties, we calculated self-diffusivities of all species and ionic conductivities of all four different materials and results are in good agreement with other computational and experimental studies. We also performed bonding analysis to gain mechanistic understanding of factors affecting Li diffusion and conduction and we discussed our perspectives on the effect of N doping on the dynamics of all species (Li, P, O, N), not just Li, in LiPON.","container-title":"Solid State Ionics","DOI":"10.1016/j.ssi.2020.115329","ISSN":"0167-2738","journalAbbreviation":"Solid State Ionics","language":"en","page":"115329","source":"ScienceDirect","title":"Structure and ionic conduction study on Li3PO4 and LiPON (Lithium phosphorous oxynitride) with the Density-Functional Tight-Binding (DFTB) method","volume":"351","author":[{"family":"Li","given":"Junchao"},{"family":"Lai","given":"Wei"}],"issued":{"date-parts":[["2020",8,1]]}}},{"id":1227,"uris":["http://zotero.org/users/6746883/items/2DZFLI4S"],"uri":["http://zotero.org/users/6746883/items/2DZFLI4S"],"itemData":{"id":1227,"type":"article-journal","abstract":"Amorphous Li-ion conductors are important solid-state electrolytes. However, Li transport in these systems is much less understood than for crystalline materials. We investigate amorphous LiPON electrolytes via ab initio molecular dynamics, providing atomistic-level insight into the mechanisms underlying the Li+ mobility. We find that the latter is strongly influenced by the chemistry and connectivity of phosphate polyanions near Li+. Amorphization generates edge-sharing polyhedral connections between Li(O,N)4 and P(O,N)4, and creates under- and overcoordinated Li sites, which destabilizes the Li+ and enhances their mobility. N substitution for O favors conductivity in two ways: (1) excess Li accompanying 1(N):1(O) substitutions introduces extra carriers; (2) energetically favored N-bridging substitutions condense phosphate units and densify the structure, which, counterintuitively, corresponds to higher Li+ mobility. Finally, bridging N is not only less electronegative than O but also engaged in strong covalent bonds with P. This weakens interactions with neighboring Li+ smoothing the way for their migration. When condensation of PO4 polyhedra leads to the formation of isolated O anions, the Li+ mobility is reduced, highlighting the importance of oxygen partial pressure control during synthesis. This detailed understanding of the structural mechanisms affecting Li+ mobility is the key for optimizing the conductivity of LiPON and other amorphous Li-ion conductors.","container-title":"Chemistry of Materials","DOI":"10.1021/acs.chemmater.8b02812","ISSN":"0897-4756","issue":"20","journalAbbreviation":"Chem. Mater.","note":"publisher: American Chemical Society","page":"7077-7090","source":"ACS Publications","title":"Structural and Compositional Factors That Control the Li-Ion Conductivity in LiPON Electrolytes","volume":"30","author":[{"family":"Lacivita","given":"Valentina"},{"family":"Artrith","given":"Nongnuch"},{"family":"Ceder","given":"Gerbrand"}],"issued":{"date-parts":[["2018",10,23]]}}}],"schema":"https://github.com/citation-style-language/schema/raw/master/csl-citation.json"} </w:instrText>
      </w:r>
      <w:r w:rsidR="00B84A2C" w:rsidRPr="009D48E5">
        <w:fldChar w:fldCharType="separate"/>
      </w:r>
      <w:r w:rsidR="00B84A2C" w:rsidRPr="00B84A2C">
        <w:rPr>
          <w:rFonts w:cs="Times New Roman"/>
          <w:szCs w:val="24"/>
          <w:vertAlign w:val="superscript"/>
        </w:rPr>
        <w:t>1,2</w:t>
      </w:r>
      <w:r w:rsidR="00B84A2C" w:rsidRPr="009D48E5">
        <w:fldChar w:fldCharType="end"/>
      </w:r>
      <w:r w:rsidR="00FB6E86">
        <w:t xml:space="preserve"> found that N-doping forms</w:t>
      </w:r>
      <w:r w:rsidR="00FB6E86" w:rsidRPr="00FB6E86">
        <w:rPr>
          <w:rFonts w:asciiTheme="minorHAnsi" w:hAnsi="Arial"/>
          <w:color w:val="000000" w:themeColor="text1"/>
          <w:kern w:val="24"/>
          <w:sz w:val="40"/>
          <w:szCs w:val="40"/>
        </w:rPr>
        <w:t xml:space="preserve"> </w:t>
      </w:r>
      <w:r w:rsidR="00FB6E86" w:rsidRPr="00FB6E86">
        <w:t>PO</w:t>
      </w:r>
      <w:r w:rsidR="00FB6E86" w:rsidRPr="00FB6E86">
        <w:rPr>
          <w:vertAlign w:val="subscript"/>
        </w:rPr>
        <w:t>3</w:t>
      </w:r>
      <w:r w:rsidR="00FB6E86" w:rsidRPr="00FB6E86">
        <w:t>N as apical N (N</w:t>
      </w:r>
      <w:r w:rsidR="00FB6E86" w:rsidRPr="00FB6E86">
        <w:rPr>
          <w:vertAlign w:val="subscript"/>
        </w:rPr>
        <w:t>a</w:t>
      </w:r>
      <w:r w:rsidR="00FB6E86" w:rsidRPr="00FB6E86">
        <w:t>) and double-coordinated N</w:t>
      </w:r>
      <w:r w:rsidR="00FB6E86" w:rsidRPr="00FB6E86">
        <w:rPr>
          <w:vertAlign w:val="subscript"/>
        </w:rPr>
        <w:t>d</w:t>
      </w:r>
      <w:r w:rsidR="00FB6E86" w:rsidRPr="00FB6E86">
        <w:t xml:space="preserve"> bridge</w:t>
      </w:r>
      <w:r w:rsidR="00295E76">
        <w:t>:</w:t>
      </w:r>
      <w:r w:rsidR="00FB6E86">
        <w:t xml:space="preserve"> </w:t>
      </w:r>
    </w:p>
    <w:p w14:paraId="5DA27BFD" w14:textId="4A254C13" w:rsidR="004014D0" w:rsidRDefault="004014D0" w:rsidP="004014D0">
      <w:pPr>
        <w:pStyle w:val="Figure"/>
      </w:pPr>
      <w:r w:rsidRPr="004014D0">
        <w:drawing>
          <wp:inline distT="0" distB="0" distL="0" distR="0" wp14:anchorId="76B8AE57" wp14:editId="281C9CC5">
            <wp:extent cx="3892550" cy="3053055"/>
            <wp:effectExtent l="0" t="0" r="0" b="0"/>
            <wp:docPr id="6" name="Picture 5" descr="Chart, bubble chart&#10;&#10;Description automatically generated">
              <a:extLst xmlns:a="http://schemas.openxmlformats.org/drawingml/2006/main">
                <a:ext uri="{FF2B5EF4-FFF2-40B4-BE49-F238E27FC236}">
                  <a16:creationId xmlns:a16="http://schemas.microsoft.com/office/drawing/2014/main" id="{A531E91D-139E-4FDC-AA49-CE7C482E9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ubble chart&#10;&#10;Description automatically generated">
                      <a:extLst>
                        <a:ext uri="{FF2B5EF4-FFF2-40B4-BE49-F238E27FC236}">
                          <a16:creationId xmlns:a16="http://schemas.microsoft.com/office/drawing/2014/main" id="{A531E91D-139E-4FDC-AA49-CE7C482E9549}"/>
                        </a:ext>
                      </a:extLst>
                    </pic:cNvPr>
                    <pic:cNvPicPr>
                      <a:picLocks noChangeAspect="1"/>
                    </pic:cNvPicPr>
                  </pic:nvPicPr>
                  <pic:blipFill>
                    <a:blip r:embed="rId7"/>
                    <a:stretch>
                      <a:fillRect/>
                    </a:stretch>
                  </pic:blipFill>
                  <pic:spPr>
                    <a:xfrm>
                      <a:off x="0" y="0"/>
                      <a:ext cx="3894801" cy="3054820"/>
                    </a:xfrm>
                    <a:prstGeom prst="rect">
                      <a:avLst/>
                    </a:prstGeom>
                  </pic:spPr>
                </pic:pic>
              </a:graphicData>
            </a:graphic>
          </wp:inline>
        </w:drawing>
      </w:r>
    </w:p>
    <w:p w14:paraId="5E679D3E" w14:textId="234198B7" w:rsidR="00E17831" w:rsidRPr="00EF2462" w:rsidRDefault="00E17831" w:rsidP="00E17831">
      <w:pPr>
        <w:rPr>
          <w:i/>
          <w:iCs/>
          <w:color w:val="4472C4" w:themeColor="accent1"/>
        </w:rPr>
      </w:pPr>
      <w:r w:rsidRPr="00EF2462">
        <w:rPr>
          <w:i/>
          <w:iCs/>
          <w:color w:val="4472C4" w:themeColor="accent1"/>
        </w:rPr>
        <w:t>see reference</w:t>
      </w:r>
      <w:r w:rsidR="00AD703C">
        <w:rPr>
          <w:i/>
          <w:iCs/>
          <w:color w:val="4472C4" w:themeColor="accent1"/>
        </w:rPr>
        <w:t>s</w:t>
      </w:r>
      <w:r w:rsidRPr="00EF2462">
        <w:rPr>
          <w:i/>
          <w:iCs/>
          <w:color w:val="4472C4" w:themeColor="accent1"/>
        </w:rPr>
        <w:t>:</w:t>
      </w:r>
    </w:p>
    <w:p w14:paraId="3909D68C" w14:textId="77777777" w:rsidR="00B84A2C" w:rsidRPr="00B84A2C" w:rsidRDefault="00E17831" w:rsidP="00B84A2C">
      <w:pPr>
        <w:pStyle w:val="Bibliography"/>
        <w:rPr>
          <w:rFonts w:cs="Times New Roman"/>
          <w:color w:val="4472C4" w:themeColor="accent1"/>
        </w:rPr>
      </w:pPr>
      <w:r w:rsidRPr="00B84A2C">
        <w:rPr>
          <w:color w:val="4472C4" w:themeColor="accent1"/>
        </w:rPr>
        <w:t xml:space="preserve"> </w:t>
      </w:r>
      <w:r w:rsidRPr="00B84A2C">
        <w:rPr>
          <w:color w:val="4472C4" w:themeColor="accent1"/>
        </w:rPr>
        <w:fldChar w:fldCharType="begin"/>
      </w:r>
      <w:r w:rsidR="00B84A2C" w:rsidRPr="00B84A2C">
        <w:rPr>
          <w:color w:val="4472C4" w:themeColor="accent1"/>
        </w:rPr>
        <w:instrText xml:space="preserve"> ADDIN ZOTERO_BIBL {"uncited":[],"omitted":[],"custom":[]} CSL_BIBLIOGRAPHY </w:instrText>
      </w:r>
      <w:r w:rsidRPr="00B84A2C">
        <w:rPr>
          <w:color w:val="4472C4" w:themeColor="accent1"/>
        </w:rPr>
        <w:fldChar w:fldCharType="separate"/>
      </w:r>
      <w:r w:rsidR="00B84A2C" w:rsidRPr="00B84A2C">
        <w:rPr>
          <w:rFonts w:cs="Times New Roman"/>
          <w:color w:val="4472C4" w:themeColor="accent1"/>
        </w:rPr>
        <w:t xml:space="preserve">(1) </w:t>
      </w:r>
      <w:r w:rsidR="00B84A2C" w:rsidRPr="00B84A2C">
        <w:rPr>
          <w:rFonts w:cs="Times New Roman"/>
          <w:color w:val="4472C4" w:themeColor="accent1"/>
        </w:rPr>
        <w:tab/>
        <w:t xml:space="preserve">Li, J.; Lai, W. Structure and Ionic Conduction Study on Li3PO4 and LiPON (Lithium Phosphorous Oxynitride) with the Density-Functional Tight-Binding (DFTB) Method. </w:t>
      </w:r>
      <w:r w:rsidR="00B84A2C" w:rsidRPr="00B84A2C">
        <w:rPr>
          <w:rFonts w:cs="Times New Roman"/>
          <w:i/>
          <w:iCs/>
          <w:color w:val="4472C4" w:themeColor="accent1"/>
        </w:rPr>
        <w:t>Solid State Ion.</w:t>
      </w:r>
      <w:r w:rsidR="00B84A2C" w:rsidRPr="00B84A2C">
        <w:rPr>
          <w:rFonts w:cs="Times New Roman"/>
          <w:color w:val="4472C4" w:themeColor="accent1"/>
        </w:rPr>
        <w:t xml:space="preserve"> </w:t>
      </w:r>
      <w:r w:rsidR="00B84A2C" w:rsidRPr="00B84A2C">
        <w:rPr>
          <w:rFonts w:cs="Times New Roman"/>
          <w:b/>
          <w:bCs/>
          <w:color w:val="4472C4" w:themeColor="accent1"/>
        </w:rPr>
        <w:t>2020</w:t>
      </w:r>
      <w:r w:rsidR="00B84A2C" w:rsidRPr="00B84A2C">
        <w:rPr>
          <w:rFonts w:cs="Times New Roman"/>
          <w:color w:val="4472C4" w:themeColor="accent1"/>
        </w:rPr>
        <w:t xml:space="preserve">, </w:t>
      </w:r>
      <w:r w:rsidR="00B84A2C" w:rsidRPr="00B84A2C">
        <w:rPr>
          <w:rFonts w:cs="Times New Roman"/>
          <w:i/>
          <w:iCs/>
          <w:color w:val="4472C4" w:themeColor="accent1"/>
        </w:rPr>
        <w:t>351</w:t>
      </w:r>
      <w:r w:rsidR="00B84A2C" w:rsidRPr="00B84A2C">
        <w:rPr>
          <w:rFonts w:cs="Times New Roman"/>
          <w:color w:val="4472C4" w:themeColor="accent1"/>
        </w:rPr>
        <w:t>, 115329. https://doi.org/10.1016/j.ssi.2020.115329.</w:t>
      </w:r>
    </w:p>
    <w:p w14:paraId="49789D30" w14:textId="77777777" w:rsidR="00B84A2C" w:rsidRPr="00B84A2C" w:rsidRDefault="00B84A2C" w:rsidP="00B84A2C">
      <w:pPr>
        <w:pStyle w:val="Bibliography"/>
        <w:rPr>
          <w:rFonts w:cs="Times New Roman"/>
          <w:color w:val="4472C4" w:themeColor="accent1"/>
        </w:rPr>
      </w:pPr>
      <w:r w:rsidRPr="00B84A2C">
        <w:rPr>
          <w:rFonts w:cs="Times New Roman"/>
          <w:color w:val="4472C4" w:themeColor="accent1"/>
        </w:rPr>
        <w:t xml:space="preserve">(2) </w:t>
      </w:r>
      <w:r w:rsidRPr="00B84A2C">
        <w:rPr>
          <w:rFonts w:cs="Times New Roman"/>
          <w:color w:val="4472C4" w:themeColor="accent1"/>
        </w:rPr>
        <w:tab/>
        <w:t xml:space="preserve">Lacivita, V.; Artrith, N.; Ceder, G. Structural and Compositional Factors That Control the Li-Ion Conductivity in LiPON Electrolytes. </w:t>
      </w:r>
      <w:r w:rsidRPr="00B84A2C">
        <w:rPr>
          <w:rFonts w:cs="Times New Roman"/>
          <w:i/>
          <w:iCs/>
          <w:color w:val="4472C4" w:themeColor="accent1"/>
        </w:rPr>
        <w:t>Chem. Mater.</w:t>
      </w:r>
      <w:r w:rsidRPr="00B84A2C">
        <w:rPr>
          <w:rFonts w:cs="Times New Roman"/>
          <w:color w:val="4472C4" w:themeColor="accent1"/>
        </w:rPr>
        <w:t xml:space="preserve"> </w:t>
      </w:r>
      <w:r w:rsidRPr="00B84A2C">
        <w:rPr>
          <w:rFonts w:cs="Times New Roman"/>
          <w:b/>
          <w:bCs/>
          <w:color w:val="4472C4" w:themeColor="accent1"/>
        </w:rPr>
        <w:t>2018</w:t>
      </w:r>
      <w:r w:rsidRPr="00B84A2C">
        <w:rPr>
          <w:rFonts w:cs="Times New Roman"/>
          <w:color w:val="4472C4" w:themeColor="accent1"/>
        </w:rPr>
        <w:t xml:space="preserve">, </w:t>
      </w:r>
      <w:r w:rsidRPr="00B84A2C">
        <w:rPr>
          <w:rFonts w:cs="Times New Roman"/>
          <w:i/>
          <w:iCs/>
          <w:color w:val="4472C4" w:themeColor="accent1"/>
        </w:rPr>
        <w:t>30</w:t>
      </w:r>
      <w:r w:rsidRPr="00B84A2C">
        <w:rPr>
          <w:rFonts w:cs="Times New Roman"/>
          <w:color w:val="4472C4" w:themeColor="accent1"/>
        </w:rPr>
        <w:t xml:space="preserve"> (20), 7077–7090. https://doi.org/10.1021/acs.chemmater.8b02812.</w:t>
      </w:r>
    </w:p>
    <w:p w14:paraId="13E44C59" w14:textId="4ADCCB1C" w:rsidR="00E17831" w:rsidRDefault="00E17831" w:rsidP="00B84A2C">
      <w:r w:rsidRPr="00B84A2C">
        <w:fldChar w:fldCharType="end"/>
      </w:r>
    </w:p>
    <w:p w14:paraId="3DBD20E3" w14:textId="78C7E604" w:rsidR="00FB1A72" w:rsidRDefault="001B5D2C" w:rsidP="00C53C18">
      <w:r w:rsidRPr="009D48E5">
        <w:t xml:space="preserve">The overall </w:t>
      </w:r>
      <w:r w:rsidR="001F18B7">
        <w:t xml:space="preserve">ionic </w:t>
      </w:r>
      <w:r w:rsidRPr="009D48E5">
        <w:t xml:space="preserve">conductivity is correlated with </w:t>
      </w:r>
      <w:bookmarkStart w:id="0" w:name="_Hlk64818378"/>
      <w:r w:rsidRPr="009D48E5">
        <w:t xml:space="preserve">the amount of disorder </w:t>
      </w:r>
      <w:bookmarkEnd w:id="0"/>
      <w:r w:rsidRPr="009D48E5">
        <w:t>and therefore amorphous LiPON exhibit</w:t>
      </w:r>
      <w:r>
        <w:t>s</w:t>
      </w:r>
      <w:r w:rsidRPr="009D48E5">
        <w:t xml:space="preserve"> higher conductivities than crystalline </w:t>
      </w:r>
      <w:r w:rsidRPr="009D48E5">
        <w:rPr>
          <w:i/>
          <w:iCs/>
        </w:rPr>
        <w:t>γ</w:t>
      </w:r>
      <w:r w:rsidRPr="009D48E5">
        <w:t>-Li</w:t>
      </w:r>
      <w:r w:rsidRPr="009D48E5">
        <w:rPr>
          <w:vertAlign w:val="subscript"/>
        </w:rPr>
        <w:t>3</w:t>
      </w:r>
      <w:r w:rsidRPr="009D48E5">
        <w:t>PO</w:t>
      </w:r>
      <w:r w:rsidRPr="009D48E5">
        <w:rPr>
          <w:vertAlign w:val="subscript"/>
        </w:rPr>
        <w:t>4</w:t>
      </w:r>
      <w:r w:rsidRPr="009D48E5">
        <w:t>, and N</w:t>
      </w:r>
      <w:r w:rsidRPr="009D48E5">
        <w:rPr>
          <w:vertAlign w:val="subscript"/>
        </w:rPr>
        <w:t>d</w:t>
      </w:r>
      <w:r w:rsidRPr="009D48E5">
        <w:t xml:space="preserve"> bridging increases the connectivity which enables amorphous LiPON </w:t>
      </w:r>
      <w:r>
        <w:t xml:space="preserve">to </w:t>
      </w:r>
      <w:r w:rsidRPr="009D48E5">
        <w:t>act as a single-ion conductor.</w:t>
      </w:r>
      <w:r w:rsidR="00221F13">
        <w:t xml:space="preserve"> </w:t>
      </w:r>
      <w:r w:rsidR="00214AD7">
        <w:t>In general</w:t>
      </w:r>
      <w:r w:rsidR="00F85849">
        <w:t xml:space="preserve">, </w:t>
      </w:r>
      <w:r w:rsidR="00221F13" w:rsidRPr="009D48E5">
        <w:t>ionic conductivities</w:t>
      </w:r>
      <w:r w:rsidR="00221F13">
        <w:t xml:space="preserve"> for LiPON glasses are </w:t>
      </w:r>
      <w:r w:rsidR="00F85849">
        <w:t xml:space="preserve">up to </w:t>
      </w:r>
      <w:r w:rsidR="00221F13" w:rsidRPr="009D48E5">
        <w:t>10</w:t>
      </w:r>
      <w:r w:rsidR="00221F13">
        <w:rPr>
          <w:vertAlign w:val="superscript"/>
        </w:rPr>
        <w:t>-</w:t>
      </w:r>
      <w:r w:rsidR="00221F13" w:rsidRPr="009D48E5">
        <w:rPr>
          <w:vertAlign w:val="superscript"/>
        </w:rPr>
        <w:t>6</w:t>
      </w:r>
      <w:r w:rsidR="00221F13" w:rsidRPr="009D48E5">
        <w:t>-10</w:t>
      </w:r>
      <w:r w:rsidR="00221F13">
        <w:rPr>
          <w:vertAlign w:val="superscript"/>
        </w:rPr>
        <w:t>-</w:t>
      </w:r>
      <w:r w:rsidR="00221F13" w:rsidRPr="009D48E5">
        <w:rPr>
          <w:vertAlign w:val="superscript"/>
        </w:rPr>
        <w:t>5</w:t>
      </w:r>
      <w:r w:rsidR="00221F13" w:rsidRPr="009D48E5">
        <w:t> S/cm at RT</w:t>
      </w:r>
      <w:r w:rsidR="00FB1A72">
        <w:t>, which is</w:t>
      </w:r>
      <w:r w:rsidR="00F85849">
        <w:t xml:space="preserve"> still</w:t>
      </w:r>
      <w:r w:rsidR="00FB1A72">
        <w:t xml:space="preserve"> lower than what’s required</w:t>
      </w:r>
      <w:r w:rsidR="00FB1A72">
        <w:t xml:space="preserve"> (</w:t>
      </w:r>
      <w:r w:rsidR="00FB1A72" w:rsidRPr="00005206">
        <w:t>&gt;10</w:t>
      </w:r>
      <w:r w:rsidR="00FB1A72" w:rsidRPr="00005206">
        <w:rPr>
          <w:vertAlign w:val="superscript"/>
        </w:rPr>
        <w:t>-</w:t>
      </w:r>
      <w:r w:rsidR="00FB1A72">
        <w:rPr>
          <w:vertAlign w:val="superscript"/>
        </w:rPr>
        <w:t>4</w:t>
      </w:r>
      <w:r w:rsidR="00FB1A72" w:rsidRPr="00005206">
        <w:t xml:space="preserve"> S/cm</w:t>
      </w:r>
      <w:r w:rsidR="00FB1A72">
        <w:t>)</w:t>
      </w:r>
      <w:r w:rsidR="00FB1A72">
        <w:t xml:space="preserve"> for all-solid-state-batteries (ASSBs).</w:t>
      </w:r>
      <w:r w:rsidR="00F85849">
        <w:t xml:space="preserve"> As a result, LiPON is typically applied as thin films (thickness &lt; 5</w:t>
      </w:r>
      <w:r w:rsidR="00F85849">
        <w:rPr>
          <w:lang w:val="el-GR"/>
        </w:rPr>
        <w:t>μ</w:t>
      </w:r>
      <w:r w:rsidR="00F85849">
        <w:t>m).</w:t>
      </w:r>
    </w:p>
    <w:p w14:paraId="0934965F" w14:textId="302593CC" w:rsidR="00AD703C" w:rsidRDefault="00AD703C" w:rsidP="00AD703C">
      <w:r w:rsidRPr="009D48E5">
        <w:t xml:space="preserve">LiPON thin films are </w:t>
      </w:r>
      <w:r w:rsidR="006E2904">
        <w:t>generally</w:t>
      </w:r>
      <w:r w:rsidRPr="009D48E5">
        <w:t xml:space="preserve"> processed by gas phase deposition methods, such as RF magnetron sputtering, ion beam assisted deposition (IBAD), metalorganic-chemical vapor deposition (MOCVD), etc. Low deposition rates (typically &lt;100 nm/min) and specialized apparatus required for gas phase depositions drive up the fabrication cost for large, homogeneous composition targets at commodity scales. </w:t>
      </w:r>
    </w:p>
    <w:p w14:paraId="2CA3C90F" w14:textId="29596682" w:rsidR="00CF1C51" w:rsidRPr="00CF1C51" w:rsidRDefault="00CF1C51" w:rsidP="00AD703C">
      <w:pPr>
        <w:rPr>
          <w:b/>
          <w:bCs/>
        </w:rPr>
      </w:pPr>
      <w:r w:rsidRPr="00CF1C51">
        <w:rPr>
          <w:b/>
          <w:bCs/>
        </w:rPr>
        <w:lastRenderedPageBreak/>
        <w:t>Polymer Precursors derived Novel SSEs</w:t>
      </w:r>
    </w:p>
    <w:p w14:paraId="41797568" w14:textId="0AD07040" w:rsidR="00AD703C" w:rsidRDefault="006B390C" w:rsidP="00AD703C">
      <w:r>
        <w:t>Different from traditional gas phase deposition methods</w:t>
      </w:r>
      <w:r w:rsidR="00AD703C" w:rsidRPr="009D48E5">
        <w:t>, we explored polymer synthesis method</w:t>
      </w:r>
      <w:r w:rsidR="00AD703C">
        <w:t>s</w:t>
      </w:r>
      <w:r w:rsidR="00AD703C" w:rsidRPr="009D48E5">
        <w:t xml:space="preserve"> </w:t>
      </w:r>
      <w:r w:rsidR="00AD703C">
        <w:t>of</w:t>
      </w:r>
      <w:r w:rsidR="00AD703C" w:rsidRPr="009D48E5">
        <w:t xml:space="preserve"> prepar</w:t>
      </w:r>
      <w:r w:rsidR="00AD703C">
        <w:t>ing</w:t>
      </w:r>
      <w:r w:rsidR="00AD703C" w:rsidRPr="009D48E5">
        <w:t xml:space="preserve"> LiPON-like and Li</w:t>
      </w:r>
      <w:r w:rsidR="00AD703C" w:rsidRPr="009D48E5">
        <w:rPr>
          <w:vertAlign w:val="subscript"/>
        </w:rPr>
        <w:t>x</w:t>
      </w:r>
      <w:r w:rsidR="00AD703C" w:rsidRPr="009D48E5">
        <w:t xml:space="preserve">SiON (based on N-doped LISICON-type </w:t>
      </w:r>
      <w:r w:rsidR="00355759">
        <w:t>SSEs</w:t>
      </w:r>
      <w:r w:rsidR="00AD703C" w:rsidRPr="009D48E5">
        <w:t xml:space="preserve">) </w:t>
      </w:r>
      <w:r w:rsidR="007414E2">
        <w:t xml:space="preserve">polymer </w:t>
      </w:r>
      <w:r w:rsidR="00AD703C" w:rsidRPr="009D48E5">
        <w:t>precursors that exhibit ambient conductivities of ~10</w:t>
      </w:r>
      <w:r w:rsidR="00AD703C" w:rsidRPr="009D48E5">
        <w:rPr>
          <w:vertAlign w:val="superscript"/>
        </w:rPr>
        <w:t>-5</w:t>
      </w:r>
      <w:r w:rsidR="00AD703C" w:rsidRPr="009D48E5">
        <w:t xml:space="preserve"> S/cm, providing a novel, </w:t>
      </w:r>
      <w:r w:rsidR="00AD703C" w:rsidRPr="009D48E5">
        <w:rPr>
          <w:szCs w:val="24"/>
        </w:rPr>
        <w:t xml:space="preserve">low cost, low temperature and scalable approach towards SSEs. Especially for </w:t>
      </w:r>
      <w:r w:rsidR="00AD703C" w:rsidRPr="009D48E5">
        <w:t>Li</w:t>
      </w:r>
      <w:r w:rsidR="00AD703C" w:rsidRPr="009D48E5">
        <w:rPr>
          <w:vertAlign w:val="subscript"/>
        </w:rPr>
        <w:t>x</w:t>
      </w:r>
      <w:r w:rsidR="00AD703C" w:rsidRPr="009D48E5">
        <w:t xml:space="preserve">SiON precursors which are derived from agricultural waste, rice hull ash, a green synthesis method </w:t>
      </w:r>
      <w:r w:rsidR="00355759">
        <w:t>has</w:t>
      </w:r>
      <w:r w:rsidR="00AD703C" w:rsidRPr="009D48E5">
        <w:t xml:space="preserve"> established. </w:t>
      </w:r>
    </w:p>
    <w:p w14:paraId="596A24E8" w14:textId="530EF421" w:rsidR="0027227F" w:rsidRDefault="0027227F" w:rsidP="0027227F">
      <w:pPr>
        <w:pStyle w:val="Figure"/>
      </w:pPr>
      <w:r w:rsidRPr="0027227F">
        <w:drawing>
          <wp:inline distT="0" distB="0" distL="0" distR="0" wp14:anchorId="7FB885EE" wp14:editId="0FC42998">
            <wp:extent cx="5943600" cy="5238115"/>
            <wp:effectExtent l="0" t="0" r="0" b="635"/>
            <wp:docPr id="2" name="Picture 5" descr="Graphical user interface, application, Teams&#10;&#10;Description automatically generated">
              <a:extLst xmlns:a="http://schemas.openxmlformats.org/drawingml/2006/main">
                <a:ext uri="{FF2B5EF4-FFF2-40B4-BE49-F238E27FC236}">
                  <a16:creationId xmlns:a16="http://schemas.microsoft.com/office/drawing/2014/main" id="{415891D3-A0CC-4304-B239-C3737A9CD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Graphical user interface, application, Teams&#10;&#10;Description automatically generated">
                      <a:extLst>
                        <a:ext uri="{FF2B5EF4-FFF2-40B4-BE49-F238E27FC236}">
                          <a16:creationId xmlns:a16="http://schemas.microsoft.com/office/drawing/2014/main" id="{415891D3-A0CC-4304-B239-C3737A9CD14D}"/>
                        </a:ext>
                      </a:extLst>
                    </pic:cNvPr>
                    <pic:cNvPicPr>
                      <a:picLocks noChangeAspect="1"/>
                    </pic:cNvPicPr>
                  </pic:nvPicPr>
                  <pic:blipFill>
                    <a:blip r:embed="rId8"/>
                    <a:stretch>
                      <a:fillRect/>
                    </a:stretch>
                  </pic:blipFill>
                  <pic:spPr>
                    <a:xfrm>
                      <a:off x="0" y="0"/>
                      <a:ext cx="5943600" cy="5238115"/>
                    </a:xfrm>
                    <a:prstGeom prst="rect">
                      <a:avLst/>
                    </a:prstGeom>
                    <a:solidFill>
                      <a:schemeClr val="bg1"/>
                    </a:solidFill>
                  </pic:spPr>
                </pic:pic>
              </a:graphicData>
            </a:graphic>
          </wp:inline>
        </w:drawing>
      </w:r>
    </w:p>
    <w:p w14:paraId="6764736A" w14:textId="4125D7E6" w:rsidR="00355759" w:rsidRDefault="00355759" w:rsidP="006E6A8C"/>
    <w:p w14:paraId="63D858C3" w14:textId="6A38F557" w:rsidR="00CF1C51" w:rsidRDefault="00CF1C51" w:rsidP="006E6A8C">
      <w:r>
        <w:t>Click to see more details for each project</w:t>
      </w:r>
      <w:r w:rsidR="00974C07">
        <w:t>:</w:t>
      </w:r>
    </w:p>
    <w:p w14:paraId="4C50CFD4" w14:textId="62002657" w:rsidR="00807983" w:rsidRPr="00773256" w:rsidRDefault="00807983" w:rsidP="00CF1C51">
      <w:pPr>
        <w:pStyle w:val="ListParagraph"/>
        <w:numPr>
          <w:ilvl w:val="0"/>
          <w:numId w:val="2"/>
        </w:numPr>
        <w:ind w:left="720"/>
        <w:rPr>
          <w:u w:val="single"/>
        </w:rPr>
      </w:pPr>
      <w:r w:rsidRPr="00773256">
        <w:rPr>
          <w:u w:val="single"/>
        </w:rPr>
        <w:t>Li</w:t>
      </w:r>
      <w:r w:rsidRPr="00773256">
        <w:rPr>
          <w:u w:val="single"/>
          <w:vertAlign w:val="subscript"/>
        </w:rPr>
        <w:t>x</w:t>
      </w:r>
      <w:r w:rsidRPr="00773256">
        <w:rPr>
          <w:u w:val="single"/>
        </w:rPr>
        <w:t>PON and Li</w:t>
      </w:r>
      <w:r w:rsidRPr="00773256">
        <w:rPr>
          <w:u w:val="single"/>
          <w:vertAlign w:val="subscript"/>
        </w:rPr>
        <w:t>x</w:t>
      </w:r>
      <w:r w:rsidRPr="00773256">
        <w:rPr>
          <w:u w:val="single"/>
        </w:rPr>
        <w:t>SiPON</w:t>
      </w:r>
    </w:p>
    <w:p w14:paraId="1C7B83FD" w14:textId="526B0B07" w:rsidR="00807983" w:rsidRPr="00773256" w:rsidRDefault="00807983" w:rsidP="00CF1C51">
      <w:pPr>
        <w:pStyle w:val="ListParagraph"/>
        <w:numPr>
          <w:ilvl w:val="0"/>
          <w:numId w:val="2"/>
        </w:numPr>
        <w:ind w:left="720"/>
        <w:rPr>
          <w:u w:val="single"/>
        </w:rPr>
      </w:pPr>
      <w:r w:rsidRPr="00773256">
        <w:rPr>
          <w:u w:val="single"/>
        </w:rPr>
        <w:t>Li</w:t>
      </w:r>
      <w:r w:rsidRPr="00773256">
        <w:rPr>
          <w:u w:val="single"/>
          <w:vertAlign w:val="subscript"/>
        </w:rPr>
        <w:t>x</w:t>
      </w:r>
      <w:r w:rsidRPr="00773256">
        <w:rPr>
          <w:u w:val="single"/>
        </w:rPr>
        <w:t>SiON</w:t>
      </w:r>
      <w:r w:rsidR="009805F9" w:rsidRPr="00773256">
        <w:rPr>
          <w:u w:val="single"/>
        </w:rPr>
        <w:t xml:space="preserve"> </w:t>
      </w:r>
    </w:p>
    <w:p w14:paraId="36E89312" w14:textId="5AD82401" w:rsidR="00807983" w:rsidRPr="00773256" w:rsidRDefault="00807983" w:rsidP="00CF1C51">
      <w:pPr>
        <w:pStyle w:val="ListParagraph"/>
        <w:numPr>
          <w:ilvl w:val="0"/>
          <w:numId w:val="2"/>
        </w:numPr>
        <w:ind w:left="720"/>
        <w:rPr>
          <w:u w:val="single"/>
        </w:rPr>
      </w:pPr>
      <w:r w:rsidRPr="00773256">
        <w:rPr>
          <w:u w:val="single"/>
        </w:rPr>
        <w:t>Next Steps</w:t>
      </w:r>
    </w:p>
    <w:sectPr w:rsidR="00807983" w:rsidRPr="00773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2757D"/>
    <w:multiLevelType w:val="hybridMultilevel"/>
    <w:tmpl w:val="2CC01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492677B"/>
    <w:multiLevelType w:val="multilevel"/>
    <w:tmpl w:val="288CD32C"/>
    <w:lvl w:ilvl="0">
      <w:start w:val="1"/>
      <w:numFmt w:val="upperLetter"/>
      <w:pStyle w:val="Heading4"/>
      <w:lvlText w:val="Appendix %1."/>
      <w:lvlJc w:val="left"/>
      <w:pPr>
        <w:ind w:left="288" w:hanging="288"/>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A8C"/>
    <w:rsid w:val="000248E3"/>
    <w:rsid w:val="0002744A"/>
    <w:rsid w:val="00047A85"/>
    <w:rsid w:val="00085623"/>
    <w:rsid w:val="00085AED"/>
    <w:rsid w:val="000B6028"/>
    <w:rsid w:val="000C0CF0"/>
    <w:rsid w:val="000C369B"/>
    <w:rsid w:val="000D118E"/>
    <w:rsid w:val="000D2535"/>
    <w:rsid w:val="001034E9"/>
    <w:rsid w:val="00121B79"/>
    <w:rsid w:val="0012647B"/>
    <w:rsid w:val="00130707"/>
    <w:rsid w:val="001563F2"/>
    <w:rsid w:val="001577FC"/>
    <w:rsid w:val="00166553"/>
    <w:rsid w:val="001A61A8"/>
    <w:rsid w:val="001B5D2C"/>
    <w:rsid w:val="001F18B7"/>
    <w:rsid w:val="00214AD7"/>
    <w:rsid w:val="00221F13"/>
    <w:rsid w:val="00236D4F"/>
    <w:rsid w:val="00263B35"/>
    <w:rsid w:val="00271E0D"/>
    <w:rsid w:val="0027227F"/>
    <w:rsid w:val="00272B37"/>
    <w:rsid w:val="00285C98"/>
    <w:rsid w:val="00295E76"/>
    <w:rsid w:val="002B604C"/>
    <w:rsid w:val="002C69CE"/>
    <w:rsid w:val="002E2127"/>
    <w:rsid w:val="00303DD7"/>
    <w:rsid w:val="003067B3"/>
    <w:rsid w:val="00355759"/>
    <w:rsid w:val="003936FE"/>
    <w:rsid w:val="003A3A24"/>
    <w:rsid w:val="003B57D6"/>
    <w:rsid w:val="003F3B6E"/>
    <w:rsid w:val="004014D0"/>
    <w:rsid w:val="00410C9A"/>
    <w:rsid w:val="00434ACF"/>
    <w:rsid w:val="004A0D77"/>
    <w:rsid w:val="004D2FEB"/>
    <w:rsid w:val="004D321A"/>
    <w:rsid w:val="00542D10"/>
    <w:rsid w:val="00545371"/>
    <w:rsid w:val="005800CB"/>
    <w:rsid w:val="005D147E"/>
    <w:rsid w:val="005E128F"/>
    <w:rsid w:val="005F12AF"/>
    <w:rsid w:val="005F271A"/>
    <w:rsid w:val="00607E71"/>
    <w:rsid w:val="00612EB6"/>
    <w:rsid w:val="0064502C"/>
    <w:rsid w:val="00652EA0"/>
    <w:rsid w:val="006729CC"/>
    <w:rsid w:val="00685E15"/>
    <w:rsid w:val="006B390C"/>
    <w:rsid w:val="006C2221"/>
    <w:rsid w:val="006E2904"/>
    <w:rsid w:val="006E6A8C"/>
    <w:rsid w:val="006E70BE"/>
    <w:rsid w:val="00705C57"/>
    <w:rsid w:val="007134C4"/>
    <w:rsid w:val="00715EE5"/>
    <w:rsid w:val="007414E2"/>
    <w:rsid w:val="00743619"/>
    <w:rsid w:val="00773256"/>
    <w:rsid w:val="00785CAD"/>
    <w:rsid w:val="007B26BB"/>
    <w:rsid w:val="007B3A41"/>
    <w:rsid w:val="00807983"/>
    <w:rsid w:val="00826FE6"/>
    <w:rsid w:val="0083760A"/>
    <w:rsid w:val="00892C38"/>
    <w:rsid w:val="008C2F30"/>
    <w:rsid w:val="008F1BE2"/>
    <w:rsid w:val="0092407E"/>
    <w:rsid w:val="00963463"/>
    <w:rsid w:val="00974C07"/>
    <w:rsid w:val="009805F9"/>
    <w:rsid w:val="0098307F"/>
    <w:rsid w:val="009B13A5"/>
    <w:rsid w:val="009B4F13"/>
    <w:rsid w:val="00A21950"/>
    <w:rsid w:val="00A27776"/>
    <w:rsid w:val="00A42BFB"/>
    <w:rsid w:val="00A462E9"/>
    <w:rsid w:val="00A86CE0"/>
    <w:rsid w:val="00AB09D0"/>
    <w:rsid w:val="00AD48A6"/>
    <w:rsid w:val="00AD703C"/>
    <w:rsid w:val="00AE4577"/>
    <w:rsid w:val="00B17737"/>
    <w:rsid w:val="00B323C8"/>
    <w:rsid w:val="00B46FBB"/>
    <w:rsid w:val="00B567B0"/>
    <w:rsid w:val="00B60867"/>
    <w:rsid w:val="00B84A2C"/>
    <w:rsid w:val="00BB0F7F"/>
    <w:rsid w:val="00BB1262"/>
    <w:rsid w:val="00BD4504"/>
    <w:rsid w:val="00BE4FA4"/>
    <w:rsid w:val="00C22101"/>
    <w:rsid w:val="00C35F4B"/>
    <w:rsid w:val="00C53C18"/>
    <w:rsid w:val="00C64D5B"/>
    <w:rsid w:val="00C86853"/>
    <w:rsid w:val="00C92043"/>
    <w:rsid w:val="00C97FFD"/>
    <w:rsid w:val="00CB6BB7"/>
    <w:rsid w:val="00CF1C51"/>
    <w:rsid w:val="00CF5326"/>
    <w:rsid w:val="00D31EDD"/>
    <w:rsid w:val="00D40C72"/>
    <w:rsid w:val="00D52234"/>
    <w:rsid w:val="00D62CE5"/>
    <w:rsid w:val="00D76136"/>
    <w:rsid w:val="00DA473F"/>
    <w:rsid w:val="00DB1980"/>
    <w:rsid w:val="00DC0FDB"/>
    <w:rsid w:val="00DC255A"/>
    <w:rsid w:val="00E17831"/>
    <w:rsid w:val="00E91705"/>
    <w:rsid w:val="00EF2462"/>
    <w:rsid w:val="00F20FB6"/>
    <w:rsid w:val="00F70E5B"/>
    <w:rsid w:val="00F85849"/>
    <w:rsid w:val="00FB1A72"/>
    <w:rsid w:val="00FB43D2"/>
    <w:rsid w:val="00FB6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18D43"/>
  <w15:chartTrackingRefBased/>
  <w15:docId w15:val="{FB4F0CF5-A684-40DE-9824-D1EC85FC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463"/>
    <w:pPr>
      <w:spacing w:after="0" w:line="36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271E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E0D"/>
    <w:pPr>
      <w:keepNext/>
      <w:keepLines/>
      <w:spacing w:before="200" w:line="480" w:lineRule="auto"/>
      <w:outlineLvl w:val="1"/>
    </w:pPr>
    <w:rPr>
      <w:rFonts w:eastAsia="Yu Gothic Light" w:cs="Times New Roman"/>
      <w:b/>
      <w:bCs/>
      <w:szCs w:val="26"/>
      <w:lang w:eastAsia="en-US"/>
    </w:rPr>
  </w:style>
  <w:style w:type="paragraph" w:styleId="Heading3">
    <w:name w:val="heading 3"/>
    <w:basedOn w:val="Normal"/>
    <w:next w:val="Normal"/>
    <w:link w:val="Heading3Char"/>
    <w:uiPriority w:val="9"/>
    <w:unhideWhenUsed/>
    <w:qFormat/>
    <w:rsid w:val="00271E0D"/>
    <w:pPr>
      <w:keepNext/>
      <w:keepLines/>
      <w:spacing w:before="200" w:line="480" w:lineRule="auto"/>
      <w:outlineLvl w:val="2"/>
    </w:pPr>
    <w:rPr>
      <w:rFonts w:eastAsia="Yu Gothic Light" w:cs="Times New Roman"/>
      <w:b/>
      <w:bCs/>
      <w:lang w:eastAsia="en-US"/>
    </w:rPr>
  </w:style>
  <w:style w:type="paragraph" w:styleId="Heading4">
    <w:name w:val="heading 4"/>
    <w:basedOn w:val="Heading1"/>
    <w:next w:val="Heading1"/>
    <w:link w:val="Heading4Char"/>
    <w:uiPriority w:val="9"/>
    <w:unhideWhenUsed/>
    <w:qFormat/>
    <w:rsid w:val="00271E0D"/>
    <w:pPr>
      <w:keepNext w:val="0"/>
      <w:keepLines w:val="0"/>
      <w:pageBreakBefore/>
      <w:numPr>
        <w:numId w:val="1"/>
      </w:numPr>
      <w:spacing w:before="1440" w:line="240" w:lineRule="auto"/>
      <w:jc w:val="center"/>
      <w:outlineLvl w:val="3"/>
    </w:pPr>
    <w:rPr>
      <w:rFonts w:ascii="Times New Roman" w:eastAsia="Yu Gothic Light" w:hAnsi="Times New Roman" w:cs="Times New Roman"/>
      <w:b/>
      <w:bCs/>
      <w:iCs/>
      <w:color w:val="auto"/>
      <w:sz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604C"/>
    <w:pPr>
      <w:spacing w:after="0" w:line="30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271E0D"/>
    <w:rPr>
      <w:rFonts w:asciiTheme="majorHAnsi" w:eastAsiaTheme="majorEastAsia" w:hAnsiTheme="majorHAnsi" w:cstheme="majorBidi"/>
      <w:color w:val="2F5496" w:themeColor="accent1" w:themeShade="BF"/>
      <w:sz w:val="32"/>
      <w:szCs w:val="32"/>
    </w:rPr>
  </w:style>
  <w:style w:type="character" w:customStyle="1" w:styleId="Heading2Char">
    <w:name w:val="Heading 2 Char"/>
    <w:link w:val="Heading2"/>
    <w:uiPriority w:val="9"/>
    <w:rsid w:val="00271E0D"/>
    <w:rPr>
      <w:rFonts w:ascii="Times New Roman" w:eastAsia="Yu Gothic Light" w:hAnsi="Times New Roman" w:cs="Times New Roman"/>
      <w:b/>
      <w:bCs/>
      <w:sz w:val="24"/>
      <w:szCs w:val="26"/>
      <w:lang w:eastAsia="en-US"/>
    </w:rPr>
  </w:style>
  <w:style w:type="character" w:customStyle="1" w:styleId="Heading3Char">
    <w:name w:val="Heading 3 Char"/>
    <w:link w:val="Heading3"/>
    <w:uiPriority w:val="9"/>
    <w:rsid w:val="00271E0D"/>
    <w:rPr>
      <w:rFonts w:ascii="Times New Roman" w:eastAsia="Yu Gothic Light" w:hAnsi="Times New Roman" w:cs="Times New Roman"/>
      <w:b/>
      <w:bCs/>
      <w:sz w:val="24"/>
      <w:lang w:eastAsia="en-US"/>
    </w:rPr>
  </w:style>
  <w:style w:type="character" w:customStyle="1" w:styleId="Heading4Char">
    <w:name w:val="Heading 4 Char"/>
    <w:link w:val="Heading4"/>
    <w:uiPriority w:val="9"/>
    <w:rsid w:val="00271E0D"/>
    <w:rPr>
      <w:rFonts w:ascii="Times New Roman" w:eastAsia="Yu Gothic Light" w:hAnsi="Times New Roman" w:cs="Times New Roman"/>
      <w:b/>
      <w:bCs/>
      <w:iCs/>
      <w:sz w:val="24"/>
      <w:szCs w:val="32"/>
      <w:lang w:eastAsia="en-US"/>
    </w:rPr>
  </w:style>
  <w:style w:type="paragraph" w:customStyle="1" w:styleId="Figure">
    <w:name w:val="Figure"/>
    <w:basedOn w:val="Normal"/>
    <w:link w:val="FigureChar"/>
    <w:qFormat/>
    <w:rsid w:val="00685E15"/>
    <w:pPr>
      <w:widowControl w:val="0"/>
      <w:spacing w:line="300" w:lineRule="auto"/>
      <w:ind w:firstLine="0"/>
      <w:jc w:val="center"/>
    </w:pPr>
    <w:rPr>
      <w:rFonts w:eastAsia="SimSun" w:cs="Times New Roman"/>
      <w:color w:val="000000"/>
      <w:szCs w:val="24"/>
      <w:lang w:eastAsia="en-US"/>
    </w:rPr>
  </w:style>
  <w:style w:type="character" w:customStyle="1" w:styleId="FigureChar">
    <w:name w:val="Figure Char"/>
    <w:basedOn w:val="DefaultParagraphFont"/>
    <w:link w:val="Figure"/>
    <w:rsid w:val="00685E15"/>
    <w:rPr>
      <w:rFonts w:ascii="Times New Roman" w:eastAsia="SimSun" w:hAnsi="Times New Roman" w:cs="Times New Roman"/>
      <w:color w:val="000000"/>
      <w:sz w:val="24"/>
      <w:szCs w:val="24"/>
      <w:lang w:eastAsia="en-US"/>
    </w:rPr>
  </w:style>
  <w:style w:type="paragraph" w:customStyle="1" w:styleId="Figurecaption">
    <w:name w:val="Figure caption"/>
    <w:basedOn w:val="NoSpacing"/>
    <w:link w:val="FigurecaptionChar"/>
    <w:qFormat/>
    <w:rsid w:val="00685E15"/>
    <w:rPr>
      <w:bCs/>
    </w:rPr>
  </w:style>
  <w:style w:type="character" w:customStyle="1" w:styleId="FigurecaptionChar">
    <w:name w:val="Figure caption Char"/>
    <w:basedOn w:val="DefaultParagraphFont"/>
    <w:link w:val="Figurecaption"/>
    <w:rsid w:val="00685E15"/>
    <w:rPr>
      <w:rFonts w:ascii="Times New Roman" w:hAnsi="Times New Roman"/>
      <w:bCs/>
      <w:sz w:val="24"/>
    </w:rPr>
  </w:style>
  <w:style w:type="paragraph" w:styleId="Bibliography">
    <w:name w:val="Bibliography"/>
    <w:basedOn w:val="Normal"/>
    <w:next w:val="Normal"/>
    <w:uiPriority w:val="37"/>
    <w:unhideWhenUsed/>
    <w:rsid w:val="00E17831"/>
    <w:pPr>
      <w:tabs>
        <w:tab w:val="left" w:pos="504"/>
      </w:tabs>
      <w:spacing w:line="240" w:lineRule="auto"/>
      <w:ind w:left="504" w:hanging="504"/>
    </w:pPr>
  </w:style>
  <w:style w:type="paragraph" w:styleId="ListParagraph">
    <w:name w:val="List Paragraph"/>
    <w:basedOn w:val="Normal"/>
    <w:uiPriority w:val="34"/>
    <w:qFormat/>
    <w:rsid w:val="00CF1C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4913">
      <w:bodyDiv w:val="1"/>
      <w:marLeft w:val="0"/>
      <w:marRight w:val="0"/>
      <w:marTop w:val="0"/>
      <w:marBottom w:val="0"/>
      <w:divBdr>
        <w:top w:val="none" w:sz="0" w:space="0" w:color="auto"/>
        <w:left w:val="none" w:sz="0" w:space="0" w:color="auto"/>
        <w:bottom w:val="none" w:sz="0" w:space="0" w:color="auto"/>
        <w:right w:val="none" w:sz="0" w:space="0" w:color="auto"/>
      </w:divBdr>
      <w:divsChild>
        <w:div w:id="92838738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0493A-541B-4FFC-BABD-A269E06E5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Pages>
  <Words>1367</Words>
  <Characters>7796</Characters>
  <Application>Microsoft Office Word</Application>
  <DocSecurity>0</DocSecurity>
  <Lines>64</Lines>
  <Paragraphs>18</Paragraphs>
  <ScaleCrop>false</ScaleCrop>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Zhang</dc:creator>
  <cp:keywords/>
  <dc:description/>
  <cp:lastModifiedBy>Miranda Zhang</cp:lastModifiedBy>
  <cp:revision>73</cp:revision>
  <dcterms:created xsi:type="dcterms:W3CDTF">2021-12-18T21:50:00Z</dcterms:created>
  <dcterms:modified xsi:type="dcterms:W3CDTF">2021-12-19T02:34:00Z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id="KSVAbAIF"/&gt;&lt;style id="http://www.zotero.org/styles/journal-of-the-american-chemical-society"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