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B95EB"/>
    <w:p w14:paraId="31D2234A"/>
    <w:p w14:paraId="63FCE56D"/>
    <w:p w14:paraId="56E034B5"/>
    <w:p w14:paraId="4346E711"/>
    <w:p w14:paraId="65A50EAB"/>
    <w:p w14:paraId="7C92BC19">
      <w:pPr>
        <w:jc w:val="center"/>
      </w:pPr>
      <w:r>
        <w:rPr>
          <w:rFonts w:ascii="黑体" w:hAnsi="黑体" w:eastAsia="黑体"/>
          <w:b/>
          <w:sz w:val="52"/>
        </w:rPr>
        <w:t>概要设计说明书</w:t>
      </w:r>
    </w:p>
    <w:p w14:paraId="7DB7D738">
      <w:pPr>
        <w:jc w:val="center"/>
      </w:pPr>
      <w:r>
        <w:rPr>
          <w:rFonts w:ascii="宋体" w:hAnsi="宋体" w:eastAsia="宋体"/>
          <w:sz w:val="28"/>
        </w:rPr>
        <w:t>「智教通」—— AI智能教学辅助平台</w:t>
      </w:r>
    </w:p>
    <w:p w14:paraId="6A8251EF"/>
    <w:p w14:paraId="2216DCF0"/>
    <w:p w14:paraId="58C5AD3C"/>
    <w:p w14:paraId="02B01D94"/>
    <w:p w14:paraId="20A76563"/>
    <w:p w14:paraId="1E712B84"/>
    <w:p w14:paraId="21A4FABD">
      <w:pPr>
        <w:jc w:val="center"/>
      </w:pPr>
      <w:r>
        <w:rPr>
          <w:rFonts w:ascii="宋体" w:hAnsi="宋体" w:eastAsia="宋体"/>
          <w:sz w:val="24"/>
        </w:rPr>
        <w:t>作品名称：智教通 —— AI智能教学辅助平台</w:t>
      </w:r>
    </w:p>
    <w:p w14:paraId="2DCB751B">
      <w:pPr>
        <w:jc w:val="center"/>
      </w:pPr>
      <w:r>
        <w:rPr>
          <w:rFonts w:ascii="宋体" w:hAnsi="宋体" w:eastAsia="宋体"/>
          <w:sz w:val="24"/>
        </w:rPr>
        <w:t>版本编号：V1.0</w:t>
      </w:r>
    </w:p>
    <w:p w14:paraId="0BCE3D4D">
      <w:pPr>
        <w:jc w:val="center"/>
      </w:pPr>
      <w:r>
        <w:rPr>
          <w:rFonts w:ascii="宋体" w:hAnsi="宋体" w:eastAsia="宋体"/>
          <w:sz w:val="24"/>
        </w:rPr>
        <w:t>编制日期：2026年7月</w:t>
      </w:r>
    </w:p>
    <w:p w14:paraId="68A76DD3">
      <w:r>
        <w:br w:type="page"/>
      </w:r>
    </w:p>
    <w:p w14:paraId="3BB9F719">
      <w:pPr>
        <w:pStyle w:val="3"/>
        <w:bidi w:val="0"/>
      </w:pPr>
      <w:r>
        <w:t>一、系统架构</w:t>
      </w:r>
    </w:p>
    <w:p w14:paraId="561094FA">
      <w:pPr>
        <w:pStyle w:val="4"/>
        <w:bidi w:val="0"/>
      </w:pPr>
      <w:r>
        <w:t>1.1 整体架构</w:t>
      </w:r>
    </w:p>
    <w:p w14:paraId="795DA92F">
      <w:pPr>
        <w:bidi w:val="0"/>
      </w:pPr>
      <w:r>
        <w:rPr>
          <w:rFonts w:hint="eastAsia"/>
        </w:rPr>
        <w:t>在技术选型与架构设计上，系统采用经典的三层B/S架构（浏览器/服务器模式），前后端</w:t>
      </w:r>
      <w:r>
        <w:rPr>
          <w:rFonts w:hint="eastAsia"/>
          <w:lang w:val="en-US" w:eastAsia="zh-CN"/>
        </w:rPr>
        <w:t>分离设计</w:t>
      </w:r>
      <w:r>
        <w:rPr>
          <w:rFonts w:hint="eastAsia"/>
        </w:rPr>
        <w:t>，各层职责清晰、边界明确。表现层负责用户界面展示与交互逻辑，业务层封装核心API接口与业务规则，数据层承担数据持久化与存储管理。三层之间通过标准化接口进行通信，上层依赖下层提供的服务能力，下层对上层透明，不感知具体业务实现细节。具体技术选型与各层职责如下表所示</w:t>
      </w:r>
      <w:r>
        <w:t>：</w:t>
      </w:r>
    </w:p>
    <w:tbl>
      <w:tblPr>
        <w:tblStyle w:val="32"/>
        <w:tblW w:w="8313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208"/>
        <w:gridCol w:w="4102"/>
      </w:tblGrid>
      <w:tr w14:paraId="743FC3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03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342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w="320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A0C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w="4102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149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</w:tr>
      <w:tr w14:paraId="0989EE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8537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表现层</w:t>
            </w:r>
          </w:p>
        </w:tc>
        <w:tc>
          <w:tcPr>
            <w:tcW w:w="320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8F01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Vue 3 + Element Plus + Vite</w:t>
            </w:r>
          </w:p>
        </w:tc>
        <w:tc>
          <w:tcPr>
            <w:tcW w:w="410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7B4E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用户界面展示、交互逻辑、路由管理</w:t>
            </w:r>
          </w:p>
        </w:tc>
      </w:tr>
      <w:tr w14:paraId="1E9454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A7FA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业务层</w:t>
            </w:r>
          </w:p>
        </w:tc>
        <w:tc>
          <w:tcPr>
            <w:tcW w:w="320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379E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Python FastAPI</w:t>
            </w:r>
          </w:p>
        </w:tc>
        <w:tc>
          <w:tcPr>
            <w:tcW w:w="410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8AE7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API接口、业务逻辑、认证授权、AI调用</w:t>
            </w:r>
          </w:p>
        </w:tc>
      </w:tr>
      <w:tr w14:paraId="210BFF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B333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数据层</w:t>
            </w:r>
          </w:p>
        </w:tc>
        <w:tc>
          <w:tcPr>
            <w:tcW w:w="320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4367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MySQL 8.0 + SQLAlchemy</w:t>
            </w:r>
          </w:p>
        </w:tc>
        <w:tc>
          <w:tcPr>
            <w:tcW w:w="410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5123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数据持久化、ORM映射、数据库迁移</w:t>
            </w:r>
          </w:p>
        </w:tc>
      </w:tr>
    </w:tbl>
    <w:p w14:paraId="194FD095">
      <w:pPr>
        <w:spacing w:line="360" w:lineRule="auto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sz w:val="16"/>
          <w:szCs w:val="18"/>
          <w:lang w:val="en-US" w:eastAsia="zh-CN"/>
        </w:rPr>
        <w:t>表1 分层技术选型表</w:t>
      </w:r>
    </w:p>
    <w:p w14:paraId="25C8FE43">
      <w:pPr>
        <w:spacing w:line="360" w:lineRule="auto"/>
      </w:pPr>
      <w:r>
        <w:rPr>
          <w:rFonts w:hint="eastAsia"/>
        </w:rPr>
        <w:t>基于上述分层技术选型，系统整体架构自上而下可进一步细化为用户层、表现层、接入层、业务层、数据层及外部服务层。用户层区分教师、学生、管理员三类角色，通过主流浏览器访问系统；表现层基于Vue 3构建单页应用，负责路由管理、状态管理、API调用及页面组件渲染；请求经由Nginx反向代理转发至业务层；业务层以Python FastAPI为核心，划分认证授权、工具管理、AI对话、数据统计、推荐引擎、收藏管理、广场服务等多个模块，各模块独立开发、独立部署；数据层依托MySQL 8.0与SQLAlchemy实现数据持久化；外部服务则对接DeepSeek API和师大智能体平台，为系统提供AI能力支撑。系统整体架构及各层级间的调用关系如下图所示：</w:t>
      </w:r>
    </w:p>
    <w:p w14:paraId="19187ECF">
      <w:pPr>
        <w:ind w:left="0" w:leftChars="0" w:firstLine="0" w:firstLineChars="0"/>
        <w:jc w:val="center"/>
      </w:pPr>
      <w:r>
        <w:drawing>
          <wp:inline distT="0" distB="0" distL="114300" distR="114300">
            <wp:extent cx="3752850" cy="276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r="531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911D">
      <w:pPr>
        <w:jc w:val="center"/>
      </w:pPr>
      <w:r>
        <w:rPr>
          <w:rFonts w:ascii="宋体" w:hAnsi="宋体" w:eastAsia="宋体"/>
          <w:sz w:val="16"/>
          <w:szCs w:val="21"/>
        </w:rPr>
        <w:t>图1 智教通系统架构图</w:t>
      </w:r>
    </w:p>
    <w:p w14:paraId="2A84E034">
      <w:pPr>
        <w:pStyle w:val="4"/>
        <w:bidi w:val="0"/>
      </w:pPr>
      <w:r>
        <w:t>1.2 技术选型</w:t>
      </w:r>
    </w:p>
    <w:p w14:paraId="535C23FF">
      <w:r>
        <w:rPr>
          <w:rFonts w:hint="eastAsia"/>
        </w:rPr>
        <w:t>在技术选型上，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综合考虑开发效率、团队技术储备及后续部署运维的便捷性</w:t>
      </w:r>
      <w:r>
        <w:rPr>
          <w:rFonts w:hint="eastAsia"/>
          <w:lang w:val="en-US" w:eastAsia="zh-CN"/>
        </w:rPr>
        <w:t>等多个方面后</w:t>
      </w:r>
      <w:r>
        <w:rPr>
          <w:rFonts w:hint="eastAsia"/>
        </w:rPr>
        <w:t>，选用了一套成熟稳定且轻量化的技术栈。前端采用 Vue 3 框架配合 Element Plus 组件库，可以快速搭建出风格统一的教师端与学生端界面；状态管理选用 Pinia</w:t>
      </w:r>
      <w:r>
        <w:rPr>
          <w:rFonts w:hint="eastAsia"/>
          <w:lang w:eastAsia="zh-CN"/>
        </w:rPr>
        <w:t>，</w:t>
      </w:r>
      <w:r>
        <w:rPr>
          <w:rFonts w:hint="eastAsia"/>
        </w:rPr>
        <w:t>Vue 3 官方推荐的轻量方案，相比 Vuex 更为简洁直观，适合团队快速上手；构建工具选用 Vite，利用其极快的启动速度和 HMR 热更新能力，能够显著提升开发效率。后端选用 Python FastAPI 框架，其自动生成接口文档、异步支持和高效性能完全满足本项目的 API 服务需求；数据持久化采用 SQLAlchemy ORM 配合 MySQL 8.0，兼顾了开发便利性与数据存储的稳定性。AI 能力方面，系统对接 DeepSeek API，为工具问答和教学辅助提供高质量的文本生成能力。认证机制选用 JWT 无状态 Token，天然适配前后端分离架构，便于水平扩展。各技术选型及其版本、说明如下表所示：</w:t>
      </w:r>
    </w:p>
    <w:tbl>
      <w:tblPr>
        <w:tblStyle w:val="32"/>
        <w:tblW w:w="8313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913"/>
        <w:gridCol w:w="1791"/>
        <w:gridCol w:w="3361"/>
      </w:tblGrid>
      <w:tr w14:paraId="1562BD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A9D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层面</w:t>
            </w:r>
          </w:p>
        </w:tc>
        <w:tc>
          <w:tcPr>
            <w:tcW w:w="1913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C93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w="1791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192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w="3361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C9C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704980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73D2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前端框架</w:t>
            </w:r>
          </w:p>
        </w:tc>
        <w:tc>
          <w:tcPr>
            <w:tcW w:w="191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CC38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Vue 3</w:t>
            </w:r>
          </w:p>
        </w:tc>
        <w:tc>
          <w:tcPr>
            <w:tcW w:w="179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14ED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3.4.21</w:t>
            </w:r>
          </w:p>
        </w:tc>
        <w:tc>
          <w:tcPr>
            <w:tcW w:w="33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C884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页面展示和交互</w:t>
            </w:r>
          </w:p>
        </w:tc>
      </w:tr>
      <w:tr w14:paraId="27772C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D606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UI组件库</w:t>
            </w:r>
          </w:p>
        </w:tc>
        <w:tc>
          <w:tcPr>
            <w:tcW w:w="191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1B74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Element Plus</w:t>
            </w:r>
          </w:p>
        </w:tc>
        <w:tc>
          <w:tcPr>
            <w:tcW w:w="179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6912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2.6.3</w:t>
            </w:r>
          </w:p>
        </w:tc>
        <w:tc>
          <w:tcPr>
            <w:tcW w:w="336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BBA3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提供现成的按钮、表格等组件</w:t>
            </w:r>
          </w:p>
        </w:tc>
      </w:tr>
      <w:tr w14:paraId="08A14D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7555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构建工具</w:t>
            </w:r>
          </w:p>
        </w:tc>
        <w:tc>
          <w:tcPr>
            <w:tcW w:w="191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8D71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Vite</w:t>
            </w:r>
          </w:p>
        </w:tc>
        <w:tc>
          <w:tcPr>
            <w:tcW w:w="179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074A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5.2.0</w:t>
            </w:r>
          </w:p>
        </w:tc>
        <w:tc>
          <w:tcPr>
            <w:tcW w:w="33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7FB5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开发时热更新，打包部署</w:t>
            </w:r>
          </w:p>
        </w:tc>
      </w:tr>
      <w:tr w14:paraId="592806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256C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状态管理</w:t>
            </w:r>
          </w:p>
        </w:tc>
        <w:tc>
          <w:tcPr>
            <w:tcW w:w="191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7C30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Pinia</w:t>
            </w:r>
          </w:p>
        </w:tc>
        <w:tc>
          <w:tcPr>
            <w:tcW w:w="179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8A56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2.1.7</w:t>
            </w:r>
          </w:p>
        </w:tc>
        <w:tc>
          <w:tcPr>
            <w:tcW w:w="336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F00C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Vue 3官方推荐状态管理</w:t>
            </w:r>
          </w:p>
        </w:tc>
      </w:tr>
      <w:tr w14:paraId="25598A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84F2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后端框架</w:t>
            </w:r>
          </w:p>
        </w:tc>
        <w:tc>
          <w:tcPr>
            <w:tcW w:w="191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12AB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Python FastAPI</w:t>
            </w:r>
          </w:p>
        </w:tc>
        <w:tc>
          <w:tcPr>
            <w:tcW w:w="179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67FC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0.110.0</w:t>
            </w:r>
          </w:p>
        </w:tc>
        <w:tc>
          <w:tcPr>
            <w:tcW w:w="33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6763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写接口，速度快</w:t>
            </w:r>
          </w:p>
        </w:tc>
      </w:tr>
      <w:tr w14:paraId="7FC54E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94C4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ORM</w:t>
            </w:r>
          </w:p>
        </w:tc>
        <w:tc>
          <w:tcPr>
            <w:tcW w:w="191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A2EB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SQLAlchemy</w:t>
            </w:r>
          </w:p>
        </w:tc>
        <w:tc>
          <w:tcPr>
            <w:tcW w:w="179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F378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2.0.29</w:t>
            </w:r>
          </w:p>
        </w:tc>
        <w:tc>
          <w:tcPr>
            <w:tcW w:w="336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A5B9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数据库操作</w:t>
            </w:r>
          </w:p>
        </w:tc>
      </w:tr>
      <w:tr w14:paraId="3417DF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D4EB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w="191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210D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MySQL</w:t>
            </w:r>
          </w:p>
        </w:tc>
        <w:tc>
          <w:tcPr>
            <w:tcW w:w="179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ED72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8.0</w:t>
            </w:r>
          </w:p>
        </w:tc>
        <w:tc>
          <w:tcPr>
            <w:tcW w:w="33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FEA0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存储所有数据</w:t>
            </w:r>
          </w:p>
        </w:tc>
      </w:tr>
      <w:tr w14:paraId="06D1D2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26EB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AI接口</w:t>
            </w:r>
          </w:p>
        </w:tc>
        <w:tc>
          <w:tcPr>
            <w:tcW w:w="191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776D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DeepSeek API</w:t>
            </w:r>
          </w:p>
        </w:tc>
        <w:tc>
          <w:tcPr>
            <w:tcW w:w="179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20BD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deepseek-chat</w:t>
            </w:r>
          </w:p>
        </w:tc>
        <w:tc>
          <w:tcPr>
            <w:tcW w:w="336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69D2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文本生成能力</w:t>
            </w:r>
          </w:p>
        </w:tc>
      </w:tr>
      <w:tr w14:paraId="56683F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9660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认证</w:t>
            </w:r>
          </w:p>
        </w:tc>
        <w:tc>
          <w:tcPr>
            <w:tcW w:w="191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8C1C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JWT</w:t>
            </w:r>
          </w:p>
        </w:tc>
        <w:tc>
          <w:tcPr>
            <w:tcW w:w="179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2C4A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-</w:t>
            </w:r>
          </w:p>
        </w:tc>
        <w:tc>
          <w:tcPr>
            <w:tcW w:w="33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06D9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无状态认证，适合前后端分离</w:t>
            </w:r>
          </w:p>
        </w:tc>
      </w:tr>
    </w:tbl>
    <w:p w14:paraId="3422BA4C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sz w:val="16"/>
          <w:szCs w:val="18"/>
          <w:lang w:val="en-US" w:eastAsia="zh-CN"/>
        </w:rPr>
        <w:t>表2 技术选型表</w:t>
      </w:r>
    </w:p>
    <w:p w14:paraId="76576AED">
      <w:pPr>
        <w:pStyle w:val="4"/>
        <w:bidi w:val="0"/>
      </w:pPr>
      <w:r>
        <w:t>1.3 系统模块划分</w:t>
      </w:r>
    </w:p>
    <w:p w14:paraId="675264CD">
      <w:pPr>
        <w:pStyle w:val="5"/>
        <w:bidi w:val="0"/>
      </w:pPr>
      <w:r>
        <w:rPr>
          <w:rFonts w:hint="eastAsia"/>
          <w:lang w:val="en-US" w:eastAsia="zh-CN"/>
        </w:rPr>
        <w:t>1.3.1</w:t>
      </w:r>
      <w:r>
        <w:t>前端模块</w:t>
      </w:r>
    </w:p>
    <w:p w14:paraId="76391C13">
      <w:r>
        <w:rPr>
          <w:rFonts w:hint="eastAsia"/>
        </w:rPr>
        <w:t>在模块结构设计上，前端部分按功能职责进行清晰划分，确保代码组织有序、易于维护和扩展。路由管理负责页面路由配置与导航守卫控制，实现不同角色访问权限的页面级管控；状态管理采用Pinia集中管理用户登录状态、工具数据等全局信息，避免跨组件数据传递的混乱；API客户端统一封装HTTP请求，自动注入JWT Token，简化接口调用逻辑；页面组件按功能模块拆分，涵盖需求引导、工具管理、数据看板、工具广场等核心业务场景；公共组件则抽取可复用的UI元素（如按钮、表单、弹窗等），提升开发效率与界面一致性。前端各模块的目录结构与功能说明如下表所示：</w:t>
      </w:r>
    </w:p>
    <w:tbl>
      <w:tblPr>
        <w:tblStyle w:val="32"/>
        <w:tblW w:w="8313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2590"/>
        <w:gridCol w:w="3984"/>
      </w:tblGrid>
      <w:tr w14:paraId="19FB99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9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6CD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w="2590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FA0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目录</w:t>
            </w:r>
          </w:p>
        </w:tc>
        <w:tc>
          <w:tcPr>
            <w:tcW w:w="3984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3CA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</w:tr>
      <w:tr w14:paraId="17DE79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7E1C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路由管理</w:t>
            </w:r>
          </w:p>
        </w:tc>
        <w:tc>
          <w:tcPr>
            <w:tcW w:w="259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E541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src/router/</w:t>
            </w:r>
          </w:p>
        </w:tc>
        <w:tc>
          <w:tcPr>
            <w:tcW w:w="398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1A8F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页面路由配置、导航守卫</w:t>
            </w:r>
          </w:p>
        </w:tc>
      </w:tr>
      <w:tr w14:paraId="5E5539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B068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状态管理</w:t>
            </w:r>
          </w:p>
        </w:tc>
        <w:tc>
          <w:tcPr>
            <w:tcW w:w="259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F3A4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src/store/</w:t>
            </w:r>
          </w:p>
        </w:tc>
        <w:tc>
          <w:tcPr>
            <w:tcW w:w="398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AF4C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用户状态、全局状态管理</w:t>
            </w:r>
          </w:p>
        </w:tc>
      </w:tr>
      <w:tr w14:paraId="461A86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D797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API客户端</w:t>
            </w:r>
          </w:p>
        </w:tc>
        <w:tc>
          <w:tcPr>
            <w:tcW w:w="259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C90C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src/api/</w:t>
            </w:r>
          </w:p>
        </w:tc>
        <w:tc>
          <w:tcPr>
            <w:tcW w:w="398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3B38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HTTP请求封装、Token注入</w:t>
            </w:r>
          </w:p>
        </w:tc>
      </w:tr>
      <w:tr w14:paraId="6CEE99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1C0D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页面组件</w:t>
            </w:r>
          </w:p>
        </w:tc>
        <w:tc>
          <w:tcPr>
            <w:tcW w:w="259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2828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src/views/</w:t>
            </w:r>
          </w:p>
        </w:tc>
        <w:tc>
          <w:tcPr>
            <w:tcW w:w="398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68D7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各功能页面组件</w:t>
            </w:r>
          </w:p>
        </w:tc>
      </w:tr>
      <w:tr w14:paraId="3E5480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C1F2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公共组件</w:t>
            </w:r>
          </w:p>
        </w:tc>
        <w:tc>
          <w:tcPr>
            <w:tcW w:w="259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FC8F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src/components/</w:t>
            </w:r>
          </w:p>
        </w:tc>
        <w:tc>
          <w:tcPr>
            <w:tcW w:w="398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15F3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可复用UI组件</w:t>
            </w:r>
          </w:p>
        </w:tc>
      </w:tr>
    </w:tbl>
    <w:p w14:paraId="44214BEF">
      <w:pPr>
        <w:spacing w:line="360" w:lineRule="auto"/>
        <w:ind w:left="0" w:leftChars="0" w:firstLine="0" w:firstLineChars="0"/>
        <w:jc w:val="center"/>
        <w:rPr>
          <w:rFonts w:hint="default" w:ascii="宋体" w:hAnsi="宋体" w:eastAsia="宋体"/>
          <w:sz w:val="21"/>
          <w:lang w:val="en-US" w:eastAsia="zh-CN"/>
        </w:rPr>
      </w:pPr>
      <w:r>
        <w:rPr>
          <w:rFonts w:hint="eastAsia"/>
          <w:sz w:val="16"/>
          <w:szCs w:val="18"/>
          <w:lang w:val="en-US" w:eastAsia="zh-CN"/>
        </w:rPr>
        <w:t>表3 前端模块表</w:t>
      </w:r>
    </w:p>
    <w:p w14:paraId="23A59783">
      <w:pPr>
        <w:pStyle w:val="5"/>
        <w:bidi w:val="0"/>
      </w:pPr>
      <w:r>
        <w:rPr>
          <w:rFonts w:hint="eastAsia"/>
          <w:lang w:val="en-US" w:eastAsia="zh-CN"/>
        </w:rPr>
        <w:t>1.3.2</w:t>
      </w:r>
      <w:r>
        <w:t>后端模块</w:t>
      </w:r>
    </w:p>
    <w:p w14:paraId="194B2810">
      <w:r>
        <w:rPr>
          <w:rFonts w:hint="eastAsia"/>
        </w:rPr>
        <w:t>在后端模块划分上，同样遵循清晰分层、职责单一的设计原则。API 路由层负责定义所有 RESTful 接口，处理请求的接收与响应返回；数据模型层基于 SQLAlchemy ORM 定义数据库实体与关联关系，统一管理表结构映射；业务服务层封装核心业务逻辑（如需求引导的规则匹配、工具管理、AI 对话调度、数据统计等），将具体的算法实现与接口层解耦，便于独立测试与迭代；工具函数层汇集安全加密、数据格式转换等通用辅助函数，供各模块复用；配置管理集中维护应用配置与环境变量，支持不同部署环境下的灵活切换。后端各模块的目录结构与功能说明如下表所示：</w:t>
      </w:r>
    </w:p>
    <w:tbl>
      <w:tblPr>
        <w:tblStyle w:val="32"/>
        <w:tblW w:w="8313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2114"/>
        <w:gridCol w:w="4284"/>
      </w:tblGrid>
      <w:tr w14:paraId="01EAD6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15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8D9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w="2114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A64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目录</w:t>
            </w:r>
          </w:p>
        </w:tc>
        <w:tc>
          <w:tcPr>
            <w:tcW w:w="4284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7D9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</w:tr>
      <w:tr w14:paraId="704DDD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2736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API路由</w:t>
            </w:r>
          </w:p>
        </w:tc>
        <w:tc>
          <w:tcPr>
            <w:tcW w:w="21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ADF2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api/</w:t>
            </w:r>
          </w:p>
        </w:tc>
        <w:tc>
          <w:tcPr>
            <w:tcW w:w="428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2171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RESTful接口定义</w:t>
            </w:r>
          </w:p>
        </w:tc>
      </w:tr>
      <w:tr w14:paraId="338500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128F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数据模型</w:t>
            </w:r>
          </w:p>
        </w:tc>
        <w:tc>
          <w:tcPr>
            <w:tcW w:w="211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0100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models/</w:t>
            </w:r>
          </w:p>
        </w:tc>
        <w:tc>
          <w:tcPr>
            <w:tcW w:w="428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45E5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SQLAlchemy ORM模型</w:t>
            </w:r>
          </w:p>
        </w:tc>
      </w:tr>
      <w:tr w14:paraId="74634F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1609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业务服务</w:t>
            </w:r>
          </w:p>
        </w:tc>
        <w:tc>
          <w:tcPr>
            <w:tcW w:w="21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F3CC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services/</w:t>
            </w:r>
          </w:p>
        </w:tc>
        <w:tc>
          <w:tcPr>
            <w:tcW w:w="428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7002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核心业务逻辑</w:t>
            </w:r>
          </w:p>
        </w:tc>
      </w:tr>
      <w:tr w14:paraId="6AFF62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C67B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工具函数</w:t>
            </w:r>
          </w:p>
        </w:tc>
        <w:tc>
          <w:tcPr>
            <w:tcW w:w="211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2A88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utils/</w:t>
            </w:r>
          </w:p>
        </w:tc>
        <w:tc>
          <w:tcPr>
            <w:tcW w:w="428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CC16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安全、加密等通用工具</w:t>
            </w:r>
          </w:p>
        </w:tc>
      </w:tr>
      <w:tr w14:paraId="18241F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5A99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配置管理</w:t>
            </w:r>
          </w:p>
        </w:tc>
        <w:tc>
          <w:tcPr>
            <w:tcW w:w="21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6E3D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config.py</w:t>
            </w:r>
          </w:p>
        </w:tc>
        <w:tc>
          <w:tcPr>
            <w:tcW w:w="428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C94D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应用配置、环境变量</w:t>
            </w:r>
          </w:p>
        </w:tc>
      </w:tr>
    </w:tbl>
    <w:p w14:paraId="3DD4C615">
      <w:pPr>
        <w:bidi w:val="0"/>
        <w:ind w:left="0" w:leftChars="0" w:firstLine="0" w:firstLineChars="0"/>
        <w:jc w:val="center"/>
      </w:pPr>
      <w:r>
        <w:rPr>
          <w:rFonts w:hint="eastAsia"/>
          <w:sz w:val="16"/>
          <w:szCs w:val="18"/>
          <w:lang w:val="en-US" w:eastAsia="zh-CN"/>
        </w:rPr>
        <w:t>表3 后端模块表</w:t>
      </w:r>
    </w:p>
    <w:p w14:paraId="5FC51A3B">
      <w:pPr>
        <w:pStyle w:val="3"/>
      </w:pPr>
      <w:r>
        <w:t>二、功能模块设计</w:t>
      </w:r>
    </w:p>
    <w:p w14:paraId="786A5508">
      <w:pPr>
        <w:pStyle w:val="4"/>
        <w:bidi w:val="0"/>
      </w:pPr>
      <w:r>
        <w:t>2.1 教师端模块</w:t>
      </w:r>
    </w:p>
    <w:p w14:paraId="03337D4D">
      <w:pPr>
        <w:bidi w:val="0"/>
        <w:rPr>
          <w:rFonts w:hint="eastAsia"/>
        </w:rPr>
      </w:pPr>
      <w:r>
        <w:rPr>
          <w:rFonts w:hint="eastAsia"/>
        </w:rPr>
        <w:t>教师端模块围绕教师教学场景中的核心工作流展开，具体划分为以下四个模块：</w:t>
      </w:r>
    </w:p>
    <w:p w14:paraId="49BD5829">
      <w:pPr>
        <w:bidi w:val="0"/>
        <w:rPr>
          <w:rFonts w:hint="eastAsia"/>
        </w:rPr>
      </w:pPr>
      <w:r>
        <w:rPr>
          <w:rFonts w:hint="eastAsia"/>
        </w:rPr>
        <w:t>需求引导模块是教师端的核心入口，旨在帮助初次接触AI工具的教师跨越“不知道用什么”的认知门槛。该模块采用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步引导流程：教师首先从“人文与表达”或“科学与推演”中选择自己的学科大方向；随后系统根据所选领域动态展示对应的具体学科选项——若选择“人文与表达”，则呈现语文、英语、历史、政治、地理等文学科；若选择“科学与推演”，则呈现数学、物理、化学、生物、信息技术等理科学科；教师从中选择当前授课的具体学科；接着明确最迫切的教学目标（课前备课、课堂互动、课后引导或兴趣激发）；</w:t>
      </w:r>
      <w:r>
        <w:rPr>
          <w:rFonts w:hint="eastAsia"/>
          <w:lang w:val="en-US" w:eastAsia="zh-CN"/>
        </w:rPr>
        <w:t>随后</w:t>
      </w:r>
      <w:r>
        <w:rPr>
          <w:rFonts w:hint="eastAsia"/>
        </w:rPr>
        <w:t>系统基于预设的规则匹配引擎，从工具库中筛选出最适合当前教学场景的工具列表，并按优先级排序展示给教师。若无可匹配的规则，系统自动推荐同分类下的热门预设工具作为兜底方案，确保每位教师都能获得可用的工具推荐。</w:t>
      </w:r>
    </w:p>
    <w:p w14:paraId="37018522">
      <w:pPr>
        <w:bidi w:val="0"/>
        <w:rPr>
          <w:rFonts w:hint="eastAsia"/>
        </w:rPr>
      </w:pPr>
      <w:r>
        <w:rPr>
          <w:rFonts w:hint="eastAsia"/>
        </w:rPr>
        <w:t>工具管理模块是教师日常操作最频繁的功能区域。教师可以基于系统预设的工具模板快速创建课堂工具，只需修改提示词和调整参数配置即可完成；也可从预设工具库中一键复制已有工具，将其转为个人工具后进行个性化修改。对于已创建的工具，教师可随时编辑其名称、描述、提示词模板及接口配置等信息。当某个工具不再使用时，教师可以执行删除操作，系统采用软删除策略——工具数据仅标记为已删除而不实际销毁，确保数据可追溯；同时管理员可在后台一键恢复误删的工具，避免教师因操作失误导致数据丢失。</w:t>
      </w:r>
    </w:p>
    <w:p w14:paraId="6F517E75">
      <w:pPr>
        <w:bidi w:val="0"/>
        <w:rPr>
          <w:rFonts w:hint="eastAsia"/>
        </w:rPr>
      </w:pPr>
      <w:r>
        <w:rPr>
          <w:rFonts w:hint="eastAsia"/>
        </w:rPr>
        <w:t>工具分享模块实现了教学工具的便捷分发。教师为每个工具生成唯一的分享链接及对应二维码，学生通过点击链接或扫码进入工具使用页面。</w:t>
      </w:r>
      <w:r>
        <w:rPr>
          <w:rFonts w:hint="eastAsia"/>
          <w:lang w:val="en-US" w:eastAsia="zh-CN"/>
        </w:rPr>
        <w:t>同时</w:t>
      </w:r>
      <w:r>
        <w:rPr>
          <w:rFonts w:hint="eastAsia"/>
        </w:rPr>
        <w:t>分享功能支持灵活的权限管理：教师可随时启用或禁用某个工具的分享状态，也可为链接设置有效期，实现工具的限时访问控制。当需要临时撤回分享时，教师可执行撤销操作，链接将立即失效，确保分享权限的精准管控。</w:t>
      </w:r>
    </w:p>
    <w:p w14:paraId="1EAA9EE7">
      <w:pPr>
        <w:bidi w:val="0"/>
      </w:pPr>
      <w:r>
        <w:rPr>
          <w:rFonts w:hint="eastAsia"/>
        </w:rPr>
        <w:t>数据洞察模块为教师提供教学效果的量化反馈。教师进入数据看板后，可总览自己名下所有工具的使用数据，包括工具总数、使用学生人数及今日使用次数等核心指标。系统通过趋势图直观展示近7天的使用量变化，帮助教师识别工具使用的活跃周期；工具排行榜则按使用量从高到低排序，让教师清晰了解哪些工具最受学生欢迎。同时，最近使用记录模块展示了最近20条使用日志，包含学生标识、使用工具、输入内容及使用时间，教师可据此了解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学生的学习情况。所有统计数据均支持一键导出为CSV格式文件。</w:t>
      </w:r>
    </w:p>
    <w:p w14:paraId="6D63D325">
      <w:pPr>
        <w:pStyle w:val="4"/>
        <w:bidi w:val="0"/>
      </w:pPr>
      <w:r>
        <w:t>2.2 学生端模块</w:t>
      </w:r>
    </w:p>
    <w:p w14:paraId="1FEAFC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学生端功能模块围绕学生的学习路径展开，具体划分为以下四个模块：</w:t>
      </w:r>
    </w:p>
    <w:p w14:paraId="42A1C6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兴趣引导模块是学生进入平台后的第一站，旨在帮助学习需求模糊的学生找到适合自己的学习方向。该模块采用三步引导流程：学生首先辨认当前学习过程中遇到的主要阻力，按“读不懂题”“找不到思路”“难以专注”三类问题进行自我定位；随后选择对应的学科领域（语文、数学、英语等），明确当前需要帮助的具体学科；接着选择偏好的学习方式，系统提供“概念辨析”“分步推导”“案例启发”“学习巩固”四种学习风格选项；完成上述三步后，系统根据“学习阻力+学科领域+学习方式”的组合，从工具库中匹配最适合学生当前状态的推荐工具，引导学生快速进入学习状态。四步流程层层递进，既帮助学生厘清自己的学习需求，也让后续的工具推荐更加精准和个性化。</w:t>
      </w:r>
    </w:p>
    <w:p w14:paraId="6258E7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广场模块为学生提供自主探索学习工具的入口。广场支持按“全部工具、文科、理科、通用”四个分类进行浏览筛选，方便学生快速定位自己感兴趣的学科领域；搜索功能支持按工具名称和能力关键词进行全文检索，当学生有明确的工具需求时可直接查找；排序方式支持按热度（使用量）或最新上架两种维度排列，热度排序帮助学生发现大家都在用的优质工具，最新排序则让新上架的工具获得更多曝光。广场顶部还设有热门工具专区，展示当前使用量最高的5个工具，为学生提供快速入手的参考。所有展示的工具均为已发布且未删除的状态，确保工具质量可靠可用。</w:t>
      </w:r>
    </w:p>
    <w:p w14:paraId="04E2F5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AI问答模块为学生提供随时随地的学习答疑服务。学生可直接输入学习中遇到的任何问题，系统将自动调用DeepSeek大模型进行智能解答。交互方式支持同步输出和流式输出两种模式，其中流式输出采用SSE（Server-Sent Events）技术实现逐字展示，模拟打字机效果，显著降低学生等待时的焦虑感。系统为每位学生自动创建独立的对话会话，并智能保留最近12条对话记录作为上下文，使得连续提问时AI能够理解前后语境，提供更加连贯和精准的回答。问答过程中，系统会持续积累学生的提问记录，为后续的学习分析提供数据基础。</w:t>
      </w:r>
    </w:p>
    <w:p w14:paraId="2E0E7F48">
      <w:pPr>
        <w:bidi w:val="0"/>
      </w:pPr>
      <w:r>
        <w:rPr>
          <w:rFonts w:hint="eastAsia"/>
          <w:lang w:val="en-US" w:eastAsia="zh-CN"/>
        </w:rPr>
        <w:t>学习轨迹模块帮助学生回顾和沉淀自己的学习历程。该模块以个人学习档案的形式呈现，包含三个核心板块：使用统计板块通过“使用次数”“使用工具数量”“活跃学习日”三个维度量化学生的学习投入，以数据卡片的形式直观展示；同时最近记录板块按时间倒序展示最近20条AI对话记录，方便学生快速回溯自己曾提出的问题与获得的解答；工具使用详情板块允许学生点击任意一条历史记录，查看当时的具体输入内容及AI的完整输出结果，便于复习和巩固知识点。所有记录仅限学生本人可见，保障学习隐私的同时，也为学生构建了一份属于自己的学习成长档案。</w:t>
      </w:r>
    </w:p>
    <w:p w14:paraId="10ADADA5">
      <w:pPr>
        <w:pStyle w:val="4"/>
        <w:bidi w:val="0"/>
      </w:pPr>
      <w:r>
        <w:t>2.3 后端服务模块</w:t>
      </w:r>
    </w:p>
    <w:p w14:paraId="3C863ECB">
      <w:pPr>
        <w:bidi w:val="0"/>
        <w:rPr>
          <w:rFonts w:hint="eastAsia"/>
        </w:rPr>
      </w:pPr>
      <w:r>
        <w:rPr>
          <w:rFonts w:hint="eastAsia"/>
        </w:rPr>
        <w:t>后端服务层是系统的核心业务中枢，向上承载前端请求，向下调度数据存储与外部AI能力，围绕教学辅助场景封装为六个核心服务模块：</w:t>
      </w:r>
    </w:p>
    <w:p w14:paraId="6455B4B0">
      <w:pPr>
        <w:bidi w:val="0"/>
        <w:rPr>
          <w:rFonts w:hint="eastAsia"/>
        </w:rPr>
      </w:pPr>
      <w:r>
        <w:rPr>
          <w:rFonts w:hint="eastAsia"/>
        </w:rPr>
        <w:t>用户认证模块负责系统的身份管理与访问控制。该模块提供完整的账号生命周期管理能力，包含注册、登录、Token验证及会话管理等功能。用户注册时需提交姓名、学校、科目、年级等基础信息，系统校验账号唯一性后完成注册；登录环节采用JWT无状态认证机制，服务端验证账号密码后签发包含身份标识和过期时间的Token，后续所有敏感请求均需携带该Token进行身份校验；会话管理模块支持Token的自动续期和主动注销，确保会话安全可控。</w:t>
      </w:r>
    </w:p>
    <w:p w14:paraId="404A19EF">
      <w:pPr>
        <w:bidi w:val="0"/>
        <w:rPr>
          <w:rFonts w:hint="eastAsia"/>
        </w:rPr>
      </w:pPr>
      <w:r>
        <w:rPr>
          <w:rFonts w:hint="eastAsia"/>
        </w:rPr>
        <w:t>工具管理模块是教师端业务的核心支撑，封装了教学工具的全生命周期管理能力。教师可通过该模块创建新工具（基于预设模板修改提示词与参数配置，或从预设库一键复制生成个人工具）、编辑已有工具（修改名称、描述、提示词模板及接口配置）、删除不再使用的工具（采用软删除策略，数据保留可恢复）以及恢复误删工具（管理员后台操作）。所有工具按“文科、理科、通用”三分类组织，教师创建的工具默认归属个人，预设工具则对所有教师可见，方便直接采用成熟配置。</w:t>
      </w:r>
    </w:p>
    <w:p w14:paraId="0FFB495D">
      <w:pPr>
        <w:bidi w:val="0"/>
        <w:rPr>
          <w:rFonts w:hint="eastAsia"/>
        </w:rPr>
      </w:pPr>
      <w:r>
        <w:rPr>
          <w:rFonts w:hint="eastAsia"/>
        </w:rPr>
        <w:t>AI对话模块作为系统智能能力的调度中枢，统一封装了对DeepSeek大模型API的调用逻辑。该模块接收前端传入的用户问题与工具上下文，根据工具配置拼接对应的系统提示词，将完整请求发送至DeepSeek API并返回生成结果。交互方式上支持同步返回与流式输出两种模式，其中流式输出基于SSE技术实现逐字推送，模拟打字机效果。模块内部还实现了提示词模板管理、请求超时重试、异常降级等容错机制，保障AI服务的稳定可用。同时，该模块预留了mock模式，便于在开发阶段或API不可用时进行功能演示与联调，降低对外部服务的依赖。</w:t>
      </w:r>
    </w:p>
    <w:p w14:paraId="1421F802">
      <w:pPr>
        <w:bidi w:val="0"/>
        <w:rPr>
          <w:rFonts w:hint="eastAsia"/>
        </w:rPr>
      </w:pPr>
      <w:r>
        <w:rPr>
          <w:rFonts w:hint="eastAsia"/>
        </w:rPr>
        <w:t>数据统计模块负责平台使用数据的采集、聚合与可视化输出。该模块在每次工具使用时自动记录使用日志，包含用户标识、工具标识、输入内容、输出摘要及时间戳等信息。基于这些原始数据，模块提供多维度的统计查询能力：教师可查看自己名下所有工具的汇总数据（工具总数、使用人数、今日使用次数）、按时间维度聚合的使用趋势图、按使用量排序的热门工具排行榜，以及最近的使用记录明细。所有统计数据均支持一键导出为CSV格式文件，便于教师离线分析或存档。该模块是教师端“数据看板”功能的后端数据来源，也是形成教学效果闭环的关键环节。</w:t>
      </w:r>
    </w:p>
    <w:p w14:paraId="3E366B55">
      <w:pPr>
        <w:bidi w:val="0"/>
        <w:rPr>
          <w:rFonts w:hint="eastAsia"/>
        </w:rPr>
      </w:pPr>
      <w:r>
        <w:rPr>
          <w:rFonts w:hint="eastAsia"/>
        </w:rPr>
        <w:t>推荐模块驱动需求引导流程的核心匹配逻辑。该模块不依赖AI模型，而是基于预设的规则映射表实现高效、可解释的工具推荐。当教师或学生完成引导流程的选择后，推荐模块根据“学科方向+需求类型”或“学习阻力+学科领域+学习方式”的组合条件，在规则库中进行精确匹配，按优先级排序后返回对应的工具ID列表，随后从工具表中查询完整信息返回前端。若无精确匹配，则自动降级为同分类下的热门预设工具作为兜底推荐，确保每个引导流程都能获得可用的推荐结果。规则匹配的方式保证了推荐逻辑的透明可解释——教师能够清晰理解“为什么推荐这个工具”，增强了对推荐结果的信任感。</w:t>
      </w:r>
    </w:p>
    <w:p w14:paraId="5EAAB85C">
      <w:pPr>
        <w:bidi w:val="0"/>
      </w:pPr>
      <w:r>
        <w:rPr>
          <w:rFonts w:hint="eastAsia"/>
        </w:rPr>
        <w:t>审计模块为系统提供全链路可追溯的操作记录能力。该模块以AOP（面向切面编程）的方式无侵入地拦截所有关键操作，自动记录操作人、操作类型、操作时间、请求参数等上下文信息，形成不可篡改的审计日志。审计日志覆盖登录行为、工具创建/编辑/删除、权限变更、推荐规则修改等关键操作节点。管理员可通过该模块按用户、时间、操作类型等多维度检索日志，并支持导出为CSV报表，满足安全审计与问题追踪的双重需求</w:t>
      </w:r>
    </w:p>
    <w:p w14:paraId="156202FA">
      <w:pPr>
        <w:pStyle w:val="3"/>
      </w:pPr>
      <w:r>
        <w:t>三、接口设计</w:t>
      </w:r>
    </w:p>
    <w:p w14:paraId="77B390EA">
      <w:pPr>
        <w:pStyle w:val="4"/>
        <w:bidi w:val="0"/>
      </w:pPr>
      <w:r>
        <w:t>3.1 API设计原则</w:t>
      </w:r>
    </w:p>
    <w:p w14:paraId="09EF7072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在接口设计上，系统遵循标准化、规范化、易维护的总体原则，结合前后端分离架构的特点，制定统一的API设计规范，确保接口语义清晰、调用一致。</w:t>
      </w:r>
      <w:r>
        <w:rPr>
          <w:rFonts w:hint="eastAsia"/>
          <w:lang w:val="en-US" w:eastAsia="zh-CN"/>
        </w:rPr>
        <w:t>主要包含以下四项设计原则：</w:t>
      </w:r>
    </w:p>
    <w:p w14:paraId="478088D8">
      <w:pPr>
        <w:bidi w:val="0"/>
        <w:rPr>
          <w:rFonts w:hint="eastAsia"/>
        </w:rPr>
      </w:pPr>
      <w:r>
        <w:rPr>
          <w:rFonts w:hint="eastAsia"/>
        </w:rPr>
        <w:t>RESTful风格设计。 系统所有接口以资源为核心进行URL设计，通过HTTP方法表达操作语义——GET用于查询，POST用于创建，PUT用于更新，DELETE用于删除。版本号统一置于URL路径中（/api/v1/），便于后续升级时保持向下兼容。</w:t>
      </w:r>
    </w:p>
    <w:p w14:paraId="2311DBCE">
      <w:pPr>
        <w:bidi w:val="0"/>
        <w:rPr>
          <w:rFonts w:hint="eastAsia"/>
        </w:rPr>
      </w:pPr>
      <w:r>
        <w:rPr>
          <w:rFonts w:hint="eastAsia"/>
        </w:rPr>
        <w:t>统一响应格式。 所有接口遵循统一的JSON响应结构，包含code（业务状态码）、msg（提示信息）、data（业务数据）三个顶层字段，前端可通过拦截器统一处理响应，无需为不同接口编写差异化的解析逻辑。</w:t>
      </w:r>
    </w:p>
    <w:p w14:paraId="4BF7A84F">
      <w:pPr>
        <w:bidi w:val="0"/>
        <w:rPr>
          <w:rFonts w:hint="eastAsia"/>
        </w:rPr>
      </w:pPr>
      <w:r>
        <w:rPr>
          <w:rFonts w:hint="eastAsia"/>
        </w:rPr>
        <w:t>认证与授权方式。 系统采用JWT无状态认证机制，用户登录后服务端签发包含身份与角色信息的Token，后续请求需在请求头中携带Bearer Token进行身份验证，验证失败统一返回401状态码引导跳转登录页。</w:t>
      </w:r>
    </w:p>
    <w:p w14:paraId="592587EB">
      <w:pPr>
        <w:bidi w:val="0"/>
      </w:pPr>
      <w:r>
        <w:rPr>
          <w:rFonts w:hint="eastAsia"/>
        </w:rPr>
        <w:t>跨域资源共享（CORS）。 系统通过FastAPI内置的CORS中间件允许前端域名跨域访问API资源，生产环境严格限定允许的源域名，保障接口安全。</w:t>
      </w:r>
    </w:p>
    <w:p w14:paraId="6E61EB98">
      <w:pPr>
        <w:pStyle w:val="4"/>
        <w:bidi w:val="0"/>
      </w:pPr>
      <w:r>
        <w:t>3.2 主要接口</w:t>
      </w:r>
    </w:p>
    <w:p w14:paraId="4913FFA1">
      <w:pPr>
        <w:rPr>
          <w:rFonts w:hint="eastAsia" w:eastAsia="宋体"/>
          <w:lang w:eastAsia="zh-CN"/>
        </w:rPr>
      </w:pPr>
      <w:r>
        <w:rPr>
          <w:rFonts w:hint="eastAsia"/>
        </w:rPr>
        <w:t>基于上述API设计原则，系统核心接口按功能域进行归类，涵盖</w:t>
      </w:r>
      <w:r>
        <w:rPr>
          <w:rFonts w:hint="eastAsia"/>
          <w:lang w:val="en-US" w:eastAsia="zh-CN"/>
        </w:rPr>
        <w:t>注册登录</w:t>
      </w:r>
      <w:r>
        <w:rPr>
          <w:rFonts w:hint="eastAsia"/>
        </w:rPr>
        <w:t>、工具管理、AI对话、工具广场、收藏、数据洞察、推荐及后台管理等多个模块。各接口的路径前缀、请求方法、功能说明及认证要求如下表所示</w:t>
      </w:r>
      <w:r>
        <w:rPr>
          <w:rFonts w:hint="eastAsia"/>
          <w:lang w:eastAsia="zh-CN"/>
        </w:rPr>
        <w:t>：</w:t>
      </w:r>
    </w:p>
    <w:tbl>
      <w:tblPr>
        <w:tblStyle w:val="32"/>
        <w:tblW w:w="8313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2015"/>
        <w:gridCol w:w="2080"/>
        <w:gridCol w:w="1309"/>
      </w:tblGrid>
      <w:tr w14:paraId="63B04A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09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1008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接口前缀</w:t>
            </w:r>
          </w:p>
        </w:tc>
        <w:tc>
          <w:tcPr>
            <w:tcW w:w="2015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DBE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w="2080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9CB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  <w:tc>
          <w:tcPr>
            <w:tcW w:w="1309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7E9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认证要求</w:t>
            </w:r>
          </w:p>
        </w:tc>
      </w:tr>
      <w:tr w14:paraId="50C1E5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B6BA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/api/auth/register</w:t>
            </w:r>
          </w:p>
        </w:tc>
        <w:tc>
          <w:tcPr>
            <w:tcW w:w="20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2487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w="20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ABBF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用户注册</w:t>
            </w:r>
          </w:p>
        </w:tc>
        <w:tc>
          <w:tcPr>
            <w:tcW w:w="13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551A3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 w14:paraId="514C64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A635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/api/auth/login</w:t>
            </w:r>
          </w:p>
        </w:tc>
        <w:tc>
          <w:tcPr>
            <w:tcW w:w="20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418A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w="208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D8C91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用户登录</w:t>
            </w:r>
          </w:p>
        </w:tc>
        <w:tc>
          <w:tcPr>
            <w:tcW w:w="13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D254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 w14:paraId="1B4648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FF0F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/api/tools/</w:t>
            </w:r>
          </w:p>
        </w:tc>
        <w:tc>
          <w:tcPr>
            <w:tcW w:w="20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021B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w="20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22A9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创建工具</w:t>
            </w:r>
          </w:p>
        </w:tc>
        <w:tc>
          <w:tcPr>
            <w:tcW w:w="13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83E0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教师</w:t>
            </w:r>
          </w:p>
        </w:tc>
      </w:tr>
      <w:tr w14:paraId="0D7A1A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C76F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/api/tools/{id}</w:t>
            </w:r>
          </w:p>
        </w:tc>
        <w:tc>
          <w:tcPr>
            <w:tcW w:w="20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198C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PUT/DELETE</w:t>
            </w:r>
          </w:p>
        </w:tc>
        <w:tc>
          <w:tcPr>
            <w:tcW w:w="208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6D7E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编辑/删除工具</w:t>
            </w:r>
          </w:p>
        </w:tc>
        <w:tc>
          <w:tcPr>
            <w:tcW w:w="13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3550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教师</w:t>
            </w:r>
          </w:p>
        </w:tc>
      </w:tr>
      <w:tr w14:paraId="16C0EA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C4F4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/api/chat/</w:t>
            </w:r>
          </w:p>
        </w:tc>
        <w:tc>
          <w:tcPr>
            <w:tcW w:w="20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F278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w="20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F22D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AI对话（同步）</w:t>
            </w:r>
          </w:p>
        </w:tc>
        <w:tc>
          <w:tcPr>
            <w:tcW w:w="13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D7FE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学生</w:t>
            </w:r>
          </w:p>
        </w:tc>
      </w:tr>
      <w:tr w14:paraId="19C872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D27E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/api/chat/stream</w:t>
            </w:r>
          </w:p>
        </w:tc>
        <w:tc>
          <w:tcPr>
            <w:tcW w:w="20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531E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w="208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A000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AI对话（流式）</w:t>
            </w:r>
          </w:p>
        </w:tc>
        <w:tc>
          <w:tcPr>
            <w:tcW w:w="13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D157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学生</w:t>
            </w:r>
          </w:p>
        </w:tc>
      </w:tr>
      <w:tr w14:paraId="48E131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4988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/api/plaza/</w:t>
            </w:r>
          </w:p>
        </w:tc>
        <w:tc>
          <w:tcPr>
            <w:tcW w:w="20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80E9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w="20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0C0B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工具广场</w:t>
            </w:r>
          </w:p>
        </w:tc>
        <w:tc>
          <w:tcPr>
            <w:tcW w:w="13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F214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 w14:paraId="5EBBCA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9880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/api/favorites/</w:t>
            </w:r>
          </w:p>
        </w:tc>
        <w:tc>
          <w:tcPr>
            <w:tcW w:w="20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353C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GET/PUT/DELETE</w:t>
            </w:r>
          </w:p>
        </w:tc>
        <w:tc>
          <w:tcPr>
            <w:tcW w:w="208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BC39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收藏管理</w:t>
            </w:r>
          </w:p>
        </w:tc>
        <w:tc>
          <w:tcPr>
            <w:tcW w:w="13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AF23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学生</w:t>
            </w:r>
          </w:p>
        </w:tc>
      </w:tr>
      <w:tr w14:paraId="7F58D7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3B22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/api/usage/dashboard</w:t>
            </w:r>
          </w:p>
        </w:tc>
        <w:tc>
          <w:tcPr>
            <w:tcW w:w="20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A221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w="20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4387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数据洞察</w:t>
            </w:r>
          </w:p>
        </w:tc>
        <w:tc>
          <w:tcPr>
            <w:tcW w:w="13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3C9E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教师</w:t>
            </w:r>
          </w:p>
        </w:tc>
      </w:tr>
      <w:tr w14:paraId="498E8E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9B24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/api/recommend/</w:t>
            </w:r>
          </w:p>
        </w:tc>
        <w:tc>
          <w:tcPr>
            <w:tcW w:w="20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3401A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w="208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B0B6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工具推荐</w:t>
            </w:r>
          </w:p>
        </w:tc>
        <w:tc>
          <w:tcPr>
            <w:tcW w:w="13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2572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 w14:paraId="5921DC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284D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/api/admin/users</w:t>
            </w:r>
          </w:p>
        </w:tc>
        <w:tc>
          <w:tcPr>
            <w:tcW w:w="201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7CEF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GET/PATCH</w:t>
            </w:r>
          </w:p>
        </w:tc>
        <w:tc>
          <w:tcPr>
            <w:tcW w:w="208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4535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用户管理</w:t>
            </w:r>
          </w:p>
        </w:tc>
        <w:tc>
          <w:tcPr>
            <w:tcW w:w="130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A066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管理员</w:t>
            </w:r>
          </w:p>
        </w:tc>
      </w:tr>
      <w:tr w14:paraId="6A62B0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4161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/api/admin/audit-logs</w:t>
            </w:r>
          </w:p>
        </w:tc>
        <w:tc>
          <w:tcPr>
            <w:tcW w:w="201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A56C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w="208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E7D7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审计日志</w:t>
            </w:r>
          </w:p>
        </w:tc>
        <w:tc>
          <w:tcPr>
            <w:tcW w:w="130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691A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管理员</w:t>
            </w:r>
          </w:p>
        </w:tc>
      </w:tr>
    </w:tbl>
    <w:p w14:paraId="2CFD2BF8">
      <w:pPr>
        <w:pStyle w:val="3"/>
      </w:pPr>
      <w:r>
        <w:t>四、安全设计</w:t>
      </w:r>
    </w:p>
    <w:p w14:paraId="71E8A925">
      <w:pPr>
        <w:pStyle w:val="4"/>
        <w:bidi w:val="0"/>
      </w:pPr>
      <w:r>
        <w:t>4.1 用户认证</w:t>
      </w:r>
    </w:p>
    <w:p w14:paraId="0C24252F">
      <w:pPr>
        <w:bidi w:val="0"/>
        <w:rPr>
          <w:rFonts w:hint="eastAsia"/>
          <w:lang w:eastAsia="zh-CN"/>
        </w:rPr>
      </w:pPr>
      <w:r>
        <w:rPr>
          <w:rFonts w:hint="eastAsia"/>
        </w:rPr>
        <w:t>在用户认证安全方面，系统采取多重防护策略。密码存储环节使用bcrypt算法加盐哈希加密，确保即使数据库发生泄露，攻击者也无法逆向还原原始密码。用户登录成功后，服务端签发JWT Token，该令牌中除携带用户ID和角色信息外，还内嵌了会话唯一标识（JTI）和版本号字段，为后续的会话管理和主动失效提供支持。Token的有效期设置为12小时，若用户连续30分钟未进行任何操作，系统将自动延长会话并重置超时计时器，在保障安全的同时兼顾了长时间备课场景下的使用体验。为防止暴力破解，系统实施了登录失败保护机制——当同一账号连续5次输入错误密码时，该账号将被临时锁定15分钟，有效抵御自动化攻击，保障用户账号安全。</w:t>
      </w:r>
    </w:p>
    <w:p w14:paraId="0B0858A2">
      <w:pPr>
        <w:pStyle w:val="4"/>
        <w:bidi w:val="0"/>
      </w:pPr>
      <w:r>
        <w:t>4.2 数据安全</w:t>
      </w:r>
    </w:p>
    <w:p w14:paraId="1CA5A651">
      <w:pPr>
        <w:bidi w:val="0"/>
      </w:pPr>
      <w:r>
        <w:rPr>
          <w:rFonts w:hint="eastAsia"/>
        </w:rPr>
        <w:t>在数据安全方面，系统从</w:t>
      </w:r>
      <w:r>
        <w:rPr>
          <w:rFonts w:hint="eastAsia"/>
          <w:lang w:val="en-US" w:eastAsia="zh-CN"/>
        </w:rPr>
        <w:t>多个</w:t>
      </w:r>
      <w:r>
        <w:rPr>
          <w:rFonts w:hint="eastAsia"/>
        </w:rPr>
        <w:t>四个层面构建完整的数据防护体系。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输入校验</w:t>
      </w:r>
      <w:r>
        <w:rPr>
          <w:rFonts w:hint="eastAsia"/>
          <w:lang w:val="en-US" w:eastAsia="zh-CN"/>
        </w:rPr>
        <w:t>方面，</w:t>
      </w:r>
      <w:r>
        <w:rPr>
          <w:rFonts w:hint="eastAsia"/>
        </w:rPr>
        <w:t xml:space="preserve"> 系统使用Pydantic模型对所有API请求参数进行类型校验和长度限制，确保进入业务层的数据格式正确、内容合规，从源头阻断恶意数据注入的可能。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查询防护</w:t>
      </w:r>
      <w:r>
        <w:rPr>
          <w:rFonts w:hint="eastAsia"/>
          <w:lang w:val="en-US" w:eastAsia="zh-CN"/>
        </w:rPr>
        <w:t>方面，</w:t>
      </w:r>
      <w:r>
        <w:rPr>
          <w:rFonts w:hint="eastAsia"/>
        </w:rPr>
        <w:t xml:space="preserve"> 数据持久化层通过SQLAlchemy ORM的参数化查询机制操作数据库，所有用户输入均作为参数而非SQL语句的一部分进行传递，有效防止SQL注入攻击。ORM层面不拼接用户输入字符串，从根本上消除了SQL注入风险。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输出脱敏</w:t>
      </w:r>
      <w:r>
        <w:rPr>
          <w:rFonts w:hint="eastAsia"/>
          <w:lang w:val="en-US" w:eastAsia="zh-CN"/>
        </w:rPr>
        <w:t>方面，</w:t>
      </w:r>
      <w:r>
        <w:rPr>
          <w:rFonts w:hint="eastAsia"/>
        </w:rPr>
        <w:t xml:space="preserve"> 系统对公开接口的返回数据实施严格的敏感字段过滤，密码哈希值、工具提示词模板等核心敏感信息不会通过任何API返回前端，仅在服务端内部流转，降低信息泄露风险。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访问控制</w:t>
      </w:r>
      <w:r>
        <w:rPr>
          <w:rFonts w:hint="eastAsia"/>
          <w:lang w:val="en-US" w:eastAsia="zh-CN"/>
        </w:rPr>
        <w:t>方面</w:t>
      </w:r>
      <w:r>
        <w:rPr>
          <w:rFonts w:hint="eastAsia"/>
        </w:rPr>
        <w:t xml:space="preserve"> 系统通过CORS中间件配置跨域访问策略，严格限定允许访问API资源的域名白名单，仅允许部署在指定域名下的前端应用调用接口，阻止未知来源的请求访问系统资源。生产环境将白名单收紧至实际部署域名，最大限度降低跨域攻击风险。</w:t>
      </w:r>
    </w:p>
    <w:p w14:paraId="41C74A9C">
      <w:pPr>
        <w:pStyle w:val="3"/>
      </w:pPr>
      <w:r>
        <w:t>五、部署设计</w:t>
      </w:r>
    </w:p>
    <w:p w14:paraId="7C4A9766">
      <w:pPr>
        <w:pStyle w:val="4"/>
        <w:bidi w:val="0"/>
      </w:pPr>
      <w:r>
        <w:t>5.1 部署环境</w:t>
      </w:r>
    </w:p>
    <w:p w14:paraId="766D23BF">
      <w:pPr>
        <w:bidi w:val="0"/>
      </w:pPr>
      <w:bookmarkStart w:id="0" w:name="_GoBack"/>
      <w:r>
        <w:rPr>
          <w:rFonts w:hint="eastAsia"/>
          <w:lang w:val="en-US" w:eastAsia="zh-CN"/>
        </w:rPr>
        <w:t>本平台</w:t>
      </w:r>
      <w:r>
        <w:rPr>
          <w:rFonts w:hint="eastAsia"/>
        </w:rPr>
        <w:t>系统计划部署于校内服务器，操作系统兼容Linux与Windows双平台，推荐优先选用Linux环境以确保生产稳定性。前端静态资源由Nginx Web服务器承载，负责处理页面请求与静态文件分发；后端应用服务由uvicorn启动运行，支持异步并发处理。Nginx同时承担反向代理职责，将API请求转发至uvicorn服务，从而实现前后端流量的统一接入与管理，满足教学场景下的高可用部署需求。</w:t>
      </w:r>
      <w:bookmarkEnd w:id="0"/>
    </w:p>
    <w:p w14:paraId="152ADB7B">
      <w:pPr>
        <w:pStyle w:val="4"/>
        <w:bidi w:val="0"/>
      </w:pPr>
      <w:r>
        <w:t>5.2 部署架构</w:t>
      </w:r>
    </w:p>
    <w:p w14:paraId="03EF6D97">
      <w:pPr>
        <w:spacing w:line="360" w:lineRule="auto"/>
        <w:rPr>
          <w:rFonts w:ascii="宋体" w:hAnsi="宋体" w:eastAsia="宋体"/>
          <w:sz w:val="21"/>
        </w:rPr>
      </w:pPr>
      <w:r>
        <w:rPr>
          <w:rFonts w:hint="eastAsia"/>
          <w:sz w:val="21"/>
          <w:lang w:val="en-US" w:eastAsia="zh-CN"/>
        </w:rPr>
        <w:t>本</w:t>
      </w:r>
      <w:r>
        <w:rPr>
          <w:rFonts w:hint="eastAsia" w:ascii="宋体" w:hAnsi="宋体" w:eastAsia="宋体"/>
          <w:sz w:val="21"/>
        </w:rPr>
        <w:t>系统采用经典的三层部署架构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在</w:t>
      </w:r>
      <w:r>
        <w:rPr>
          <w:rFonts w:hint="eastAsia" w:ascii="宋体" w:hAnsi="宋体" w:eastAsia="宋体"/>
          <w:sz w:val="21"/>
        </w:rPr>
        <w:t>前端方面，Vue 3项目通过Vite构建打包生成静态资源，由Nginx Web服务器直接托管，负责快速响应用户的页面访问请求；</w:t>
      </w:r>
      <w:r>
        <w:rPr>
          <w:rFonts w:hint="eastAsia"/>
          <w:sz w:val="21"/>
          <w:lang w:val="en-US" w:eastAsia="zh-CN"/>
        </w:rPr>
        <w:t>在</w:t>
      </w:r>
      <w:r>
        <w:rPr>
          <w:rFonts w:hint="eastAsia" w:ascii="宋体" w:hAnsi="宋体" w:eastAsia="宋体"/>
          <w:sz w:val="21"/>
        </w:rPr>
        <w:t>后端方面，Nginx配置反向代理规则，将前端发起的API请求转发至uvicorn应用服务器，由uvicorn承载FastAPI应用的运行，处理认证授权、工具管理、AI对话等核心业务逻辑；</w:t>
      </w:r>
      <w:r>
        <w:rPr>
          <w:rFonts w:hint="eastAsia"/>
          <w:sz w:val="21"/>
          <w:lang w:val="en-US" w:eastAsia="zh-CN"/>
        </w:rPr>
        <w:t>在</w:t>
      </w:r>
      <w:r>
        <w:rPr>
          <w:rFonts w:hint="eastAsia" w:ascii="宋体" w:hAnsi="宋体" w:eastAsia="宋体"/>
          <w:sz w:val="21"/>
        </w:rPr>
        <w:t>数据层面，MySQL 8.0数据库独立运行，通过SQLAlchemy ORM与后端建立连接池，完成数据的持久化存储与读写操作。</w:t>
      </w:r>
    </w:p>
    <w:sectPr>
      <w:footerReference r:id="rId5" w:type="default"/>
      <w:pgSz w:w="11906" w:h="16838"/>
      <w:pgMar w:top="850" w:right="1797" w:bottom="85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32ACE">
    <w:pPr>
      <w:pStyle w:val="24"/>
      <w:jc w:val="center"/>
    </w:pPr>
    <w:r>
      <w:rPr>
        <w:rFonts w:ascii="宋体" w:hAnsi="宋体" w:eastAsia="宋体"/>
        <w:sz w:val="16"/>
      </w:rPr>
      <w:t>智教通 — 概要设计说明书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37ECD"/>
    <w:rsid w:val="073C349D"/>
    <w:rsid w:val="15BD3589"/>
    <w:rsid w:val="1E74103D"/>
    <w:rsid w:val="3138414C"/>
    <w:rsid w:val="3DFB09DB"/>
    <w:rsid w:val="475F77A3"/>
    <w:rsid w:val="4EDD2163"/>
    <w:rsid w:val="52755E54"/>
    <w:rsid w:val="539768AA"/>
    <w:rsid w:val="55287EB0"/>
    <w:rsid w:val="6390559E"/>
    <w:rsid w:val="67F02AB0"/>
    <w:rsid w:val="77B41AF2"/>
    <w:rsid w:val="7D6D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 w:firstLineChars="200"/>
      <w:jc w:val="both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spacing w:before="480" w:after="0"/>
      <w:ind w:firstLine="0" w:firstLineChars="0"/>
      <w:outlineLvl w:val="0"/>
    </w:pPr>
    <w:rPr>
      <w:rFonts w:eastAsia="黑体" w:asciiTheme="majorAscii" w:hAnsiTheme="majorAscii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36"/>
    <w:unhideWhenUsed/>
    <w:qFormat/>
    <w:uiPriority w:val="9"/>
    <w:pPr>
      <w:keepNext/>
      <w:keepLines/>
      <w:spacing w:before="200" w:after="0"/>
      <w:ind w:firstLine="0" w:firstLineChars="0"/>
      <w:outlineLvl w:val="2"/>
    </w:pPr>
    <w:rPr>
      <w:rFonts w:eastAsia="黑体" w:asciiTheme="majorAscii" w:hAnsiTheme="majorAscii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qFormat/>
    <w:uiPriority w:val="9"/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character" w:customStyle="1" w:styleId="136">
    <w:name w:val="Heading 3 Char"/>
    <w:basedOn w:val="132"/>
    <w:link w:val="5"/>
    <w:qFormat/>
    <w:uiPriority w:val="9"/>
    <w:rPr>
      <w:rFonts w:eastAsia="黑体" w:asciiTheme="majorAscii" w:hAnsiTheme="majorAscii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37">
    <w:name w:val="Heading 1 Char"/>
    <w:basedOn w:val="132"/>
    <w:link w:val="3"/>
    <w:qFormat/>
    <w:uiPriority w:val="9"/>
    <w:rPr>
      <w:rFonts w:eastAsia="黑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8">
    <w:name w:val="Header Char"/>
    <w:basedOn w:val="132"/>
    <w:link w:val="25"/>
    <w:qFormat/>
    <w:uiPriority w:val="99"/>
  </w:style>
  <w:style w:type="character" w:customStyle="1" w:styleId="139">
    <w:name w:val="Footer Char"/>
    <w:basedOn w:val="132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6794</Words>
  <Characters>7787</Characters>
  <Lines>0</Lines>
  <Paragraphs>0</Paragraphs>
  <TotalTime>8</TotalTime>
  <ScaleCrop>false</ScaleCrop>
  <LinksUpToDate>false</LinksUpToDate>
  <CharactersWithSpaces>7883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WPS_1727830264</cp:lastModifiedBy>
  <dcterms:modified xsi:type="dcterms:W3CDTF">2026-07-20T03:00:08Z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eyJoZGlkIjoiNmVkYzA1MDkxNjE5YTBhNTg2ZTBlN2FmZDE1YWY0ZjkiLCJ1c2VySWQiOiIxNjQxNTk4NDY5In0=</vt:lpwstr>
  </property>
  <property fmtid="{D5CDD505-2E9C-101B-9397-08002B2CF9AE}" pid="3" name="KSOProductBuildVer">
    <vt:lpwstr>2052-12.1.0.26375</vt:lpwstr>
  </property>
  <property fmtid="{D5CDD505-2E9C-101B-9397-08002B2CF9AE}" pid="4" name="ICV">
    <vt:lpwstr>DFEF3D09482E4EFEB501A292FD530B7D_13</vt:lpwstr>
  </property>
</Properties>
</file>