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EE"/>
        </w:rPr>
        <w:t>关于位置,then是副词,副词的位置是放在行为动词之前,助动词之后的,can属于情态动词助动词一类,be属于行为动词一类.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0EDD53FA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661666C"/>
    <w:rsid w:val="6991059B"/>
    <w:rsid w:val="6C2702D5"/>
    <w:rsid w:val="6E354B66"/>
    <w:rsid w:val="72737808"/>
    <w:rsid w:val="7D6D9D90"/>
    <w:rsid w:val="DCB6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sunqi</dc:creator>
  <cp:lastModifiedBy>sunqi</cp:lastModifiedBy>
  <dcterms:modified xsi:type="dcterms:W3CDTF">2020-04-12T10:10:43Z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