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A6B09C">
      <w:pPr>
        <w:widowControl/>
        <w:spacing w:after="30" w:line="240" w:lineRule="auto"/>
      </w:pPr>
      <w:bookmarkStart w:id="0" w:name="_GoBack"/>
      <w:bookmarkEnd w:id="0"/>
      <w:r>
        <w:rPr>
          <w:b/>
          <w:sz w:val="18"/>
        </w:rPr>
        <w:t>RESEARCH ARTICLE</w:t>
      </w:r>
    </w:p>
    <w:p w14:paraId="3626561D">
      <w:pPr>
        <w:widowControl/>
        <w:spacing w:after="30" w:line="240" w:lineRule="auto"/>
        <w:jc w:val="center"/>
      </w:pPr>
      <w:r>
        <w:rPr>
          <w:b/>
          <w:sz w:val="32"/>
        </w:rPr>
        <w:t>基于多层感知机的多层介质薄膜光谱预测与辅助设计</w:t>
      </w:r>
    </w:p>
    <w:p w14:paraId="20D8950D">
      <w:pPr>
        <w:widowControl/>
        <w:spacing w:after="30" w:line="240" w:lineRule="auto"/>
        <w:jc w:val="center"/>
      </w:pPr>
      <w:r>
        <w:rPr>
          <w:b/>
          <w:sz w:val="26"/>
        </w:rPr>
        <w:t>MLP-Based Spectral Prediction and Data-Driven Design of Multilayer Dielectric Thin Films</w:t>
      </w:r>
    </w:p>
    <w:p w14:paraId="67BEBC5E">
      <w:pPr>
        <w:widowControl/>
        <w:spacing w:after="30" w:line="240" w:lineRule="auto"/>
        <w:jc w:val="center"/>
        <w:rPr>
          <w:rFonts w:hint="eastAsia" w:eastAsia="宋体"/>
          <w:b w:val="0"/>
          <w:i w:val="0"/>
          <w:sz w:val="20"/>
          <w:lang w:eastAsia="zh-CN"/>
        </w:rPr>
      </w:pPr>
      <w:r>
        <w:rPr>
          <w:rFonts w:hint="eastAsia" w:eastAsia="宋体"/>
          <w:b w:val="0"/>
          <w:i w:val="0"/>
          <w:sz w:val="20"/>
          <w:lang w:eastAsia="zh-CN"/>
        </w:rPr>
        <w:t>姓名：_</w:t>
      </w:r>
      <w:r>
        <w:rPr>
          <w:rFonts w:hint="eastAsia" w:eastAsia="宋体"/>
          <w:b w:val="0"/>
          <w:i w:val="0"/>
          <w:sz w:val="20"/>
          <w:lang w:val="en-US" w:eastAsia="zh-CN"/>
        </w:rPr>
        <w:t>熊嘉玮</w:t>
      </w:r>
      <w:r>
        <w:rPr>
          <w:rFonts w:hint="eastAsia" w:eastAsia="宋体"/>
          <w:b w:val="0"/>
          <w:i w:val="0"/>
          <w:sz w:val="20"/>
          <w:lang w:eastAsia="zh-CN"/>
        </w:rPr>
        <w:t>_    学号：2024270256</w:t>
      </w:r>
    </w:p>
    <w:p w14:paraId="71E590B2">
      <w:pPr>
        <w:pStyle w:val="2"/>
        <w:keepNext/>
        <w:widowControl/>
        <w:rPr>
          <w:rFonts w:hint="eastAsia" w:eastAsia="宋体"/>
          <w:b w:val="0"/>
          <w:i w:val="0"/>
          <w:color w:val="auto"/>
          <w:sz w:val="20"/>
          <w:lang w:eastAsia="zh-CN"/>
        </w:rPr>
      </w:pPr>
      <w:r>
        <w:rPr>
          <w:rFonts w:hint="eastAsia" w:eastAsia="宋体"/>
          <w:b w:val="0"/>
          <w:i w:val="0"/>
          <w:color w:val="auto"/>
          <w:sz w:val="20"/>
          <w:lang w:eastAsia="zh-CN"/>
        </w:rPr>
        <w:t>Personal parameters: N=56; target=700 nm; NumPy data/split seed=270256; design_seed=270257; PyTorch model/shuffle seed=270256.</w:t>
      </w:r>
    </w:p>
    <w:p w14:paraId="0B52708E">
      <w:pPr>
        <w:pStyle w:val="2"/>
        <w:keepNext/>
        <w:widowControl/>
      </w:pPr>
      <w:r>
        <w:t>Abstract</w:t>
      </w:r>
    </w:p>
    <w:p w14:paraId="3F15FF3E">
      <w:pPr>
        <w:widowControl/>
        <w:spacing w:after="30" w:line="240" w:lineRule="auto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本研究针对四层薄膜光谱预测及候选筛选，采用正入射、无吸收传输矩阵法（TMM）生成 5,000 组结构及 41 点光谱，并按固定 4,000/500/500 划分训练 Linear 输出 MLP，作为光谱代理模型。以验证 MSE 选择模型：Linear 为 0.00016521，低于 Sigmoid 变体的 0.00025317；测试全谱 RMSE 为 0.011375。对同一 Linear 模型的 10,000 个随机候选逐一进行 TMM 复核，有限池内 R(700 nm) 最小值为 0.00020416604（候选 3405），最大值为 0.65699974（候选 2256）。MLP 与全池 TMM 排名存在差异，候选性能以 TMM 为准；结果不代表连续设计空间全局最优。小样本训练中两组达到 2,500 轮上限。</w:t>
      </w:r>
    </w:p>
    <w:p w14:paraId="6CC742D3">
      <w:pPr>
        <w:widowControl/>
        <w:spacing w:after="30" w:line="240" w:lineRule="auto"/>
      </w:pPr>
      <w:r>
        <w:t>Keywords: optical thin films; transfer matrix method; multilayer perceptron; surrogate model; candidate screening; physical verification</w:t>
      </w:r>
    </w:p>
    <w:p w14:paraId="41162DF9">
      <w:pPr>
        <w:pStyle w:val="2"/>
        <w:keepNext/>
        <w:widowControl/>
      </w:pPr>
      <w:r>
        <w:t>1. Introduction</w:t>
      </w:r>
    </w:p>
    <w:p w14:paraId="087C66BE">
      <w:pPr>
        <w:widowControl/>
        <w:spacing w:after="30" w:line="240" w:lineRule="auto"/>
        <w:rPr>
          <w:rFonts w:hint="eastAsia" w:eastAsia="宋体"/>
          <w:b w:val="0"/>
          <w:i w:val="0"/>
          <w:sz w:val="20"/>
          <w:lang w:eastAsia="zh-CN"/>
        </w:rPr>
      </w:pPr>
      <w:r>
        <w:rPr>
          <w:rFonts w:hint="eastAsia" w:eastAsia="宋体"/>
          <w:b w:val="0"/>
          <w:i w:val="0"/>
          <w:sz w:val="20"/>
          <w:lang w:eastAsia="zh-CN"/>
        </w:rPr>
        <w:t>多层薄膜光谱由材料、层序、厚度和波长决定，TMM提供前向计算基准 [1,2]；传统数值优化及机器学习逆向设计已有相关研究 [3–8]。本文评估TMM合成数据上的MLP光谱代理，并比较其对固定随机候选池的排序与全池TMM复核结果；不主张连续设计空间全局最优。</w:t>
      </w:r>
    </w:p>
    <w:p w14:paraId="28AA865F">
      <w:pPr>
        <w:pStyle w:val="2"/>
        <w:keepNext/>
        <w:widowControl/>
      </w:pPr>
      <w:r>
        <w:t>2. Materials and Methods</w:t>
      </w:r>
    </w:p>
    <w:p w14:paraId="396D59FA">
      <w:pPr>
        <w:pStyle w:val="3"/>
        <w:keepNext/>
        <w:widowControl/>
      </w:pPr>
      <w:r>
        <w:t>2.1 Optical model and transfer matrix method</w:t>
      </w:r>
    </w:p>
    <w:p w14:paraId="0A70E74B">
      <w:pPr>
        <w:widowControl/>
        <w:spacing w:after="30" w:line="240" w:lineRule="auto"/>
        <w:rPr>
          <w:rFonts w:hint="eastAsia" w:eastAsia="宋体"/>
          <w:b w:val="0"/>
          <w:i w:val="0"/>
          <w:sz w:val="20"/>
          <w:lang w:eastAsia="zh-CN"/>
        </w:rPr>
      </w:pPr>
      <w:r>
        <w:rPr>
          <w:rFonts w:hint="eastAsia" w:eastAsia="宋体"/>
          <w:b w:val="0"/>
          <w:i w:val="0"/>
          <w:sz w:val="20"/>
          <w:lang w:eastAsia="zh-CN"/>
        </w:rPr>
        <w:t>研究对象为正入射、无吸收的 Air/H/L/H/L/Glass 膜堆栈；n0=1.00、nH=2.30、nL=1.45、ns=1.52，四层膜厚各为 40–180 nm。学号 2024270256 对应 N=56，由 λtarget=450+10×(N mod 31) 得 700 nm，与仓库配置一致。种子 API 的实际使用见数据与模型小节。</w:t>
      </w:r>
    </w:p>
    <w:p w14:paraId="6C30BD74">
      <w:pPr>
        <w:widowControl/>
        <w:spacing w:after="30" w:line="240" w:lineRule="auto"/>
      </w:pPr>
      <w:r>
        <w:t>第</w:t>
      </w:r>
      <w:r>
        <w:rPr>
          <w:i/>
        </w:rPr>
        <w:t>j</w:t>
      </w:r>
      <w:r>
        <w:t>层在波长</w:t>
      </w:r>
      <w:r>
        <w:rPr>
          <w:i/>
        </w:rPr>
        <w:t>λ</w:t>
      </w:r>
      <w:r>
        <w:t>下的相位厚度为</w:t>
      </w:r>
    </w:p>
    <w:p w14:paraId="62592E14">
      <w:pPr>
        <w:widowControl/>
        <w:spacing w:before="40" w:after="30" w:line="240" w:lineRule="auto"/>
        <w:jc w:val="center"/>
      </w:pPr>
      <w:r>
        <w:t>δ_j=(2π n_jd_j)/(λ),</w:t>
      </w:r>
    </w:p>
    <w:p w14:paraId="6FBB2976">
      <w:pPr>
        <w:widowControl/>
        <w:spacing w:after="30" w:line="240" w:lineRule="auto"/>
      </w:pPr>
      <w:r>
        <w:t>其特征矩阵为 [1,2]</w:t>
      </w:r>
    </w:p>
    <w:p w14:paraId="03136DE4">
      <w:pPr>
        <w:widowControl/>
        <w:spacing w:before="40" w:after="30" w:line="240" w:lineRule="auto"/>
        <w:jc w:val="center"/>
      </w:pPr>
      <w:r>
        <w:t>M_j=[ cosδ_j &amp; isinδ_j/n_j; i n_jsinδ_j &amp; cosδ_j ].</w:t>
      </w:r>
    </w:p>
    <w:p w14:paraId="12B26B34">
      <w:pPr>
        <w:widowControl/>
        <w:spacing w:after="30" w:line="240" w:lineRule="auto"/>
      </w:pPr>
      <w:r>
        <w:t>总矩阵按光从入射侧到基底侧的顺序相乘，记为</w:t>
      </w:r>
      <w:r>
        <w:rPr>
          <w:i/>
        </w:rPr>
        <w:t>M=M_1M_2M_3M_4=[A&amp;B; C&amp;D]</w:t>
      </w:r>
      <w:r>
        <w:t>。振幅反射系数及功率反射率按实现中的公式计算 [1,2]：</w:t>
      </w:r>
    </w:p>
    <w:p w14:paraId="6CFB1DA4">
      <w:pPr>
        <w:widowControl/>
        <w:spacing w:before="40" w:after="30" w:line="240" w:lineRule="auto"/>
        <w:jc w:val="center"/>
      </w:pPr>
      <w:r>
        <w:t>r=(n_0A+n_0n_sB-C-n_sD)/(n_0A+n_0n_sB+C+n_sD), R(λ)=|r|^2.</w:t>
      </w:r>
    </w:p>
    <w:p w14:paraId="58B1FE24">
      <w:pPr>
        <w:widowControl/>
        <w:spacing w:after="30" w:line="240" w:lineRule="auto"/>
      </w:pPr>
      <w:r>
        <w:t>该 TMM 实现在tmm.py中。以上计算限定于仓库实现的正入射、实数折射率情形；色散、吸收、斜入射、偏振分辨或制造误差不在本研究范围内。</w:t>
      </w:r>
    </w:p>
    <w:p w14:paraId="60973DC9">
      <w:pPr>
        <w:pStyle w:val="3"/>
        <w:keepNext/>
        <w:widowControl/>
      </w:pPr>
      <w:r>
        <w:t>2.2 Dataset generation and fixed split</w:t>
      </w:r>
    </w:p>
    <w:p w14:paraId="2A7D9DEA">
      <w:pPr>
        <w:pStyle w:val="3"/>
        <w:keepNext/>
        <w:widowControl/>
        <w:rPr>
          <w:rFonts w:hint="eastAsia" w:eastAsia="宋体"/>
          <w:b w:val="0"/>
          <w:i w:val="0"/>
          <w:color w:val="auto"/>
          <w:sz w:val="20"/>
          <w:lang w:eastAsia="zh-CN"/>
        </w:rPr>
      </w:pPr>
      <w:r>
        <w:rPr>
          <w:rFonts w:hint="eastAsia" w:eastAsia="宋体"/>
          <w:b w:val="0"/>
          <w:i w:val="0"/>
          <w:color w:val="auto"/>
          <w:sz w:val="20"/>
          <w:lang w:eastAsia="zh-CN"/>
        </w:rPr>
        <w:t>数据集含 5,000 组四层膜厚（每层 40–180 nm）及 400–800 nm、步长 10 nm 的 41 点 TMM 光谱；固定划分为 4,000/500/500。数据生成与 split 使用 np.random.default_rng(270256)，候选生成使用 np.random.default_rng(270257)；训练使用 torch.manual_seed(270256) 和同 seed 的 torch.Generator。代码未调用 random.seed 或 np.random.seed。数据源：data/thinfilm_dataset.npz；配置：src/ai4s_thinfilm/config.py、dataset.py。</w:t>
      </w:r>
    </w:p>
    <w:p w14:paraId="1404A769">
      <w:pPr>
        <w:pStyle w:val="3"/>
        <w:keepNext/>
        <w:widowControl/>
      </w:pPr>
      <w:r>
        <w:t>2.3 MLP surrogate model and model selection</w:t>
      </w:r>
    </w:p>
    <w:p w14:paraId="40372A47">
      <w:pPr>
        <w:widowControl/>
        <w:spacing w:after="30" w:line="240" w:lineRule="auto"/>
      </w:pPr>
      <w:r>
        <w:t>MLP 将四个缩放后的膜厚作为输入，经由 128、128 和 64 个 ReLU 隐藏单元，输出 41 个波长点的反射率预测。输入膜厚按</w:t>
      </w:r>
      <w:r>
        <w:rPr>
          <w:i/>
        </w:rPr>
        <w:t>(d-40)/140</w:t>
      </w:r>
      <w:r>
        <w:t>映射到</w:t>
      </w:r>
      <w:r>
        <w:rPr>
          <w:i/>
        </w:rPr>
        <w:t>[0,1]</w:t>
      </w:r>
      <w:r>
        <w:t>；目标反射率使用数据集中的浮点反射率值。优化器为 Adam，学习率为 0.001，损失函数为 MSE，批大小为 128；4,000 样本的 Linear/Sigmoid 变体比较设置为最多 2,500 轮、早停耐心 100。线性主模型权重为mlp_train_4000.pt，对应指标见mlp_metrics.json。训练选择按 validation MSE；测试指标在 checkpoint 选择后计算，作为 held-out 诊断。指标和损失记录均在反射率数值尺度上。</w:t>
      </w:r>
    </w:p>
    <w:p w14:paraId="4025C590">
      <w:pPr>
        <w:widowControl/>
        <w:spacing w:after="30" w:line="240" w:lineRule="auto"/>
      </w:pPr>
      <w:r>
        <w:t>模型选择只使用 4,000 样本训练配置下的验证集 MSE。线性输出模型验证 MSE 为 0.0001652088104；Sigmoid 对照为 0.0002531729115，线性模型的验证 MSE 低约 34.74%。测试集指标仅作为留出诊断，不用于模型选择。比较记录见model_variant_comparison.json。</w:t>
      </w:r>
    </w:p>
    <w:p w14:paraId="56836771">
      <w:pPr>
        <w:pStyle w:val="3"/>
        <w:keepNext/>
        <w:widowControl/>
      </w:pPr>
      <w:r>
        <w:t>2.4 Training-size experiment</w:t>
      </w:r>
    </w:p>
    <w:p w14:paraId="31A6AD38">
      <w:pPr>
        <w:pStyle w:val="3"/>
        <w:keepNext/>
        <w:widowControl/>
        <w:rPr>
          <w:rFonts w:hint="eastAsia" w:eastAsia="宋体"/>
          <w:b w:val="0"/>
          <w:i w:val="0"/>
          <w:color w:val="auto"/>
          <w:sz w:val="20"/>
          <w:lang w:eastAsia="zh-CN"/>
        </w:rPr>
      </w:pPr>
      <w:r>
        <w:rPr>
          <w:rFonts w:hint="eastAsia" w:eastAsia="宋体"/>
          <w:b w:val="0"/>
          <w:i w:val="0"/>
          <w:color w:val="auto"/>
          <w:sz w:val="20"/>
          <w:lang w:eastAsia="zh-CN"/>
        </w:rPr>
        <w:t>训练规模实验使用固定 train split 的嵌套前缀（500/1,000/2,000/4,000），validation/test split 不变；500 与 2,000 样本组达到 2,500 轮上限。来源：outputs_convergence_linear/mlp_metrics.json。</w:t>
      </w:r>
    </w:p>
    <w:p w14:paraId="719FAB2F">
      <w:pPr>
        <w:pStyle w:val="3"/>
        <w:keepNext/>
        <w:widowControl/>
      </w:pPr>
      <w:r>
        <w:t>2.5 MLP-assisted candidate screening and TMM verification</w:t>
      </w:r>
    </w:p>
    <w:p w14:paraId="1C47DC3E">
      <w:pPr>
        <w:widowControl/>
        <w:spacing w:after="30" w:line="240" w:lineRule="auto"/>
      </w:pPr>
      <w:r>
        <w:t>候选膜厚由仓库保存的线性筛选文件outputs_convergence_linear/design_screening_predictions.npz提供，共 10,000 组，设计随机种子为 270257。本文没有重新生成候选，也没有使用根目录outputs/中另一套 Sigmoid 候选筛选结果。先按线性 MLP 的 700 nm 预测值分别形成最小化和最大化反射率的 MLP Top 10；随后对</w:t>
      </w:r>
      <w:r>
        <w:rPr>
          <w:b/>
        </w:rPr>
        <w:t>同一批 10,000 个候选</w:t>
      </w:r>
      <w:r>
        <w:t>逐一计算 41 点 TMM 光谱，并依 TMM 的</w:t>
      </w:r>
      <w:r>
        <w:rPr>
          <w:i/>
        </w:rPr>
        <w:t>R(700 nm)</w:t>
      </w:r>
      <w:r>
        <w:t>对全部候选排序。MLP 排名用于描述代理筛选，最终候选排名和反射率则来自全池 TMM 结果。</w:t>
      </w:r>
    </w:p>
    <w:p w14:paraId="711537FD">
      <w:pPr>
        <w:widowControl/>
        <w:spacing w:after="30" w:line="240" w:lineRule="auto"/>
      </w:pPr>
      <w:r>
        <w:t>全池审计是在有限随机候选集上的穷举复核，并非对连续膜厚空间进行优化。因此，本文中“最低”“最高”或“最佳”均指这 10,000 个候选中的极值。</w:t>
      </w:r>
    </w:p>
    <w:p w14:paraId="6793B6F1">
      <w:pPr>
        <w:keepNext/>
        <w:widowControl/>
        <w:spacing w:before="20" w:after="30" w:line="240" w:lineRule="auto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3749040" cy="4592955"/>
            <wp:effectExtent l="0" t="0" r="10160" b="4445"/>
            <wp:docPr id="4" name="圖片 4" descr="figure_panel_1_workflow_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4" descr="figure_panel_1_workflow_model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9040" cy="459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83567">
      <w:pPr>
        <w:keepNext w:val="0"/>
        <w:keepLines w:val="0"/>
        <w:widowControl/>
        <w:spacing w:after="20" w:line="200" w:lineRule="auto"/>
        <w:rPr>
          <w:rFonts w:hint="eastAsia" w:eastAsia="宋体"/>
          <w:b w:val="0"/>
          <w:i w:val="0"/>
          <w:color w:val="auto"/>
          <w:sz w:val="17"/>
          <w:u w:val="none"/>
          <w:lang w:eastAsia="zh-CN"/>
        </w:rPr>
      </w:pPr>
      <w:r>
        <w:rPr>
          <w:rFonts w:hint="eastAsia" w:eastAsia="宋体"/>
          <w:b w:val="0"/>
          <w:i w:val="0"/>
          <w:color w:val="auto"/>
          <w:sz w:val="17"/>
          <w:u w:val="none"/>
          <w:lang w:eastAsia="zh-CN"/>
        </w:rPr>
        <w:t>Figure 1. (a) Thin-film stack and TMM data-generation workflow; (b) MLP architecture and Linear/Sigmoid model comparison.</w:t>
      </w:r>
    </w:p>
    <w:p w14:paraId="7C070A10">
      <w:pPr>
        <w:pStyle w:val="2"/>
        <w:keepNext/>
        <w:widowControl/>
      </w:pPr>
      <w:r>
        <w:t>3. Results</w:t>
      </w:r>
    </w:p>
    <w:p w14:paraId="68D5B576">
      <w:pPr>
        <w:pStyle w:val="3"/>
        <w:keepNext/>
        <w:widowControl/>
      </w:pPr>
      <w:r>
        <w:t>3.1 Model selection and held-out spectral prediction</w:t>
      </w:r>
    </w:p>
    <w:p w14:paraId="5A598E9D">
      <w:pPr>
        <w:widowControl/>
        <w:spacing w:after="30" w:line="240" w:lineRule="auto"/>
      </w:pPr>
      <w:r>
        <w:t>4,000 样本线性模型在第 1,538 轮取得最佳验证 MSE，共训练 1,638 轮后停止。测试集全光谱 MSE 为 0.0001293907，RMSE 为 0.0113750，MAE 为 0.00829062，</w:t>
      </w:r>
      <w:r>
        <w:rPr>
          <w:i/>
        </w:rPr>
        <w:t>R^2</w:t>
      </w:r>
      <w:r>
        <w:t>为 0.996053。对应 Sigmoid 模型在第 2,314 轮取得最佳验证 MSE，测试 RMSE 为 0.0153590。根据预先采用的验证 MSE 选择规则，本文将线性输出模型作为主模型；测试指标仅描述其留出表现。</w:t>
      </w:r>
    </w:p>
    <w:p w14:paraId="2F83C75E">
      <w:pPr>
        <w:keepNext/>
        <w:widowControl/>
        <w:spacing w:before="20" w:after="30" w:line="240" w:lineRule="auto"/>
        <w:jc w:val="center"/>
      </w:pPr>
    </w:p>
    <w:p w14:paraId="0AB21369">
      <w:pPr>
        <w:keepNext/>
        <w:spacing w:before="0" w:after="30" w:line="240" w:lineRule="auto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3840480" cy="5467985"/>
            <wp:effectExtent l="0" t="0" r="7620" b="5715"/>
            <wp:docPr id="2" name="圖片 2" descr="figure_panel_2_candida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 descr="figure_panel_2_candidat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546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38CC4">
      <w:pPr>
        <w:keepNext w:val="0"/>
        <w:keepLines w:val="0"/>
        <w:widowControl/>
        <w:spacing w:before="20" w:after="30" w:line="240" w:lineRule="auto"/>
        <w:jc w:val="center"/>
        <w:rPr>
          <w:rFonts w:hint="eastAsia" w:eastAsia="宋体"/>
          <w:b w:val="0"/>
          <w:sz w:val="17"/>
          <w:lang w:eastAsia="zh-CN"/>
        </w:rPr>
      </w:pPr>
      <w:r>
        <w:rPr>
          <w:rFonts w:hint="eastAsia" w:eastAsia="宋体"/>
          <w:b w:val="0"/>
          <w:sz w:val="17"/>
          <w:lang w:eastAsia="zh-CN"/>
        </w:rPr>
        <w:t>Figure 2. (a) Full-pool Linear predictions and TMM verification; (b) MLP Top-10 shortlist and TMM-verified spectra. Table 1 reports shortlist-local Top-5 designs, not full-pool ranks.</w:t>
      </w:r>
    </w:p>
    <w:p w14:paraId="264CD0D3">
      <w:pPr>
        <w:keepNext/>
        <w:widowControl/>
        <w:spacing w:before="20" w:after="30" w:line="240" w:lineRule="auto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3474720" cy="6906895"/>
            <wp:effectExtent l="0" t="0" r="5080" b="1905"/>
            <wp:docPr id="3" name="圖片 3" descr="figure_panel_3_diagnost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 descr="figure_panel_3_diagnostic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690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DAD32">
      <w:pPr>
        <w:keepNext w:val="0"/>
        <w:keepLines w:val="0"/>
        <w:widowControl/>
        <w:spacing w:after="20" w:line="200" w:lineRule="auto"/>
        <w:jc w:val="center"/>
        <w:rPr>
          <w:rFonts w:hint="eastAsia" w:eastAsia="宋体"/>
          <w:b w:val="0"/>
          <w:i w:val="0"/>
          <w:sz w:val="17"/>
          <w:u w:val="none"/>
          <w:lang w:eastAsia="zh-CN"/>
        </w:rPr>
      </w:pPr>
      <w:r>
        <w:rPr>
          <w:rFonts w:hint="eastAsia" w:eastAsia="宋体"/>
          <w:b w:val="0"/>
          <w:i w:val="0"/>
          <w:sz w:val="17"/>
          <w:u w:val="none"/>
          <w:lang w:eastAsia="zh-CN"/>
        </w:rPr>
        <w:t>Figure 3. (a) First three fixed-test spectra (global rows 3758, 4346, 4153); (b) maximum-RMSE held-out case (sample 313, row 3477); (c) Linear 4,000 training/validation MSE; (d) held-out RMSE versus training size. Failure case selected by descending 41-point RMSE, not candidate screening. Sources: paper/heldout_test_case_row_3477_spectra.csv; outputs_convergence_linear/loss_history_train_4000.csv and mlp_metrics.json; checkpoint models_convergence_linear/mlp_train_4000.pt.</w:t>
      </w:r>
    </w:p>
    <w:p w14:paraId="0A0F8A4F">
      <w:pPr>
        <w:keepNext/>
        <w:widowControl/>
        <w:spacing w:before="20" w:after="30" w:line="240" w:lineRule="auto"/>
        <w:jc w:val="center"/>
        <w:rPr>
          <w:rFonts w:hint="eastAsia" w:eastAsia="宋体"/>
          <w:lang w:eastAsia="zh-CN"/>
        </w:rPr>
      </w:pPr>
    </w:p>
    <w:p w14:paraId="51436FAC">
      <w:pPr>
        <w:pStyle w:val="3"/>
        <w:keepNext/>
        <w:widowControl/>
      </w:pPr>
      <w:r>
        <w:t>3.2 Effect of training-set size</w:t>
      </w:r>
    </w:p>
    <w:p w14:paraId="3BFCECE4">
      <w:pPr>
        <w:widowControl/>
        <w:spacing w:after="30" w:line="240" w:lineRule="auto"/>
      </w:pPr>
      <w:r>
        <w:t>表 1 汇总 2,500 轮预算下的线性输出模型。训练规模增加时，记录到的验证 MSE 与测试 RMSE 均呈下降趋势，但 500 和 2,000 样本组达到轮数上限，不能据此断言各规模均已充分收敛。</w:t>
      </w:r>
    </w:p>
    <w:p w14:paraId="6A6B132E">
      <w:pPr>
        <w:widowControl/>
        <w:spacing w:before="0" w:after="30" w:line="240" w:lineRule="auto"/>
      </w:pPr>
    </w:p>
    <w:p w14:paraId="435CC8E2">
      <w:pPr>
        <w:keepNext/>
        <w:widowControl/>
        <w:spacing w:before="20" w:after="30" w:line="240" w:lineRule="auto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数据来源为outputs_convergence_linear/mlp_metrics.json及相应loss_history_train_*.csv。本表不包含单独的最多 250 轮 Sigmoid 消融；该实验结果文件不在当前仓库中，配置不同，不可合并解释。另有 2,500 轮预算下的 Sigmoid 模型变体比较：4000 样本结果见outputs_convergence_sigmoid/mlp_metrics.json；Figure 1 的小样本 Sigmoid 验证曲线点来自models_convergence_sigmoid/checkpoint，而非 Linear 主结果。图示源文件见figure_manifest.json。</w:t>
      </w:r>
    </w:p>
    <w:p w14:paraId="09043A5A">
      <w:pPr>
        <w:keepNext/>
        <w:widowControl/>
        <w:spacing w:before="20" w:after="30" w:line="240" w:lineRule="auto"/>
        <w:jc w:val="center"/>
        <w:rPr>
          <w:rFonts w:hint="eastAsia" w:eastAsia="宋体"/>
          <w:lang w:eastAsia="zh-CN"/>
        </w:rPr>
      </w:pPr>
    </w:p>
    <w:p w14:paraId="37F05E48">
      <w:pPr>
        <w:pStyle w:val="3"/>
        <w:keepNext/>
        <w:widowControl/>
      </w:pPr>
      <w:r>
        <w:t>3.3 Candidate screening and physical verification</w:t>
      </w:r>
    </w:p>
    <w:p w14:paraId="6EF9AC65">
      <w:pPr>
        <w:widowControl/>
        <w:spacing w:after="30" w:line="240" w:lineRule="auto"/>
        <w:rPr>
          <w:rFonts w:hint="eastAsia" w:eastAsia="宋体"/>
          <w:b w:val="0"/>
          <w:i w:val="0"/>
          <w:sz w:val="20"/>
          <w:lang w:eastAsia="zh-CN"/>
        </w:rPr>
      </w:pPr>
      <w:r>
        <w:rPr>
          <w:rFonts w:hint="eastAsia" w:eastAsia="宋体"/>
          <w:b w:val="0"/>
          <w:i w:val="0"/>
          <w:sz w:val="20"/>
          <w:lang w:eastAsia="zh-CN"/>
        </w:rPr>
        <w:t>Figure 2 compares full-pool Linear screening with TMM verification; Figure 3 groups held-out predictions and training diagnostics.</w:t>
      </w:r>
    </w:p>
    <w:p w14:paraId="0C6E37CD">
      <w:pPr>
        <w:widowControl/>
        <w:spacing w:after="30" w:line="240" w:lineRule="auto"/>
      </w:pPr>
      <w:r>
        <w:t>线性 MLP 在候选池 700 nm 处的预测值范围为 -0.0262941 至 0.6682479，其中 10,000 个候选中有 41 个（0.41%）落在</w:t>
      </w:r>
      <w:r>
        <w:rPr>
          <w:i/>
        </w:rPr>
        <w:t>[0,1]</w:t>
      </w:r>
      <w:r>
        <w:t>之外。负预测值不具物理意义，因此候选结构的物理反射率采用 TMM 复核值，而非 MLP 输出。预测范围及越界计数来自linear design screening report。</w:t>
      </w:r>
    </w:p>
    <w:p w14:paraId="364EBA45">
      <w:pPr>
        <w:widowControl/>
        <w:spacing w:before="0" w:after="30" w:line="240" w:lineRule="auto"/>
      </w:pPr>
    </w:p>
    <w:p w14:paraId="5A91D8F5">
      <w:pPr>
        <w:widowControl/>
        <w:spacing w:after="30" w:line="240" w:lineRule="auto"/>
      </w:pPr>
      <w:r>
        <w:t>全池 TMM Top 5 与线性 MLP Top 10 的重合数在最小化方向为 0/5，在最大化方向为 3/5（候选 2256、4011、7220）。这说明 MLP 初筛排名和全体候选 TMM 排名不能互换。审计报告、全量光谱与逐候选排序分别见linear_global_tmm_audit_report.json、linear_candidate_full_tmm.npz和linear_candidate_tmm_ranked.csv。</w:t>
      </w:r>
    </w:p>
    <w:p w14:paraId="307DB6AE">
      <w:pPr>
        <w:keepNext/>
        <w:widowControl/>
        <w:spacing w:before="20" w:after="30" w:line="240" w:lineRule="auto"/>
        <w:jc w:val="center"/>
      </w:pPr>
    </w:p>
    <w:p w14:paraId="53A1150A">
      <w:pPr>
        <w:widowControl/>
        <w:spacing w:before="0" w:after="30" w:line="240" w:lineRule="auto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Table 1. Top five TMM-verified candidates within each Linear-MLP Top-10 shortlist. Rank is within the shortlist, not the full pool. Source: outputs_convergence_linear/design_top10_{min,max}.csv and design_top10_tmm_spectra.npz.</w:t>
      </w:r>
    </w:p>
    <w:tbl>
      <w:tblPr>
        <w:tblStyle w:val="36"/>
        <w:tblW w:w="99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440"/>
        <w:gridCol w:w="1300"/>
        <w:gridCol w:w="3300"/>
        <w:gridCol w:w="1800"/>
      </w:tblGrid>
      <w:tr w14:paraId="3691F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</w:tcPr>
          <w:p w14:paraId="70C5D3EA">
            <w:pPr>
              <w:widowControl/>
              <w:spacing w:before="0" w:after="0" w:line="23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sz w:val="19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9"/>
                <w:vertAlign w:val="baseline"/>
                <w:lang w:eastAsia="zh-CN"/>
              </w:rPr>
              <w:t>Direction</w:t>
            </w:r>
          </w:p>
        </w:tc>
        <w:tc>
          <w:tcPr>
            <w:tcW w:w="1440" w:type="dxa"/>
          </w:tcPr>
          <w:p w14:paraId="0F4B1521">
            <w:pPr>
              <w:widowControl/>
              <w:spacing w:before="0" w:after="0" w:line="23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sz w:val="19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9"/>
                <w:vertAlign w:val="baseline"/>
                <w:lang w:eastAsia="zh-CN"/>
              </w:rPr>
              <w:t>Top-10 shortlist rank</w:t>
            </w:r>
          </w:p>
        </w:tc>
        <w:tc>
          <w:tcPr>
            <w:tcW w:w="1300" w:type="dxa"/>
          </w:tcPr>
          <w:p w14:paraId="081B6402">
            <w:pPr>
              <w:widowControl/>
              <w:spacing w:before="0" w:after="0" w:line="23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sz w:val="19"/>
                <w:vertAlign w:val="baseline"/>
                <w:lang w:eastAsia="zh-CN"/>
              </w:rPr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3300" w:type="dxa"/>
          </w:tcPr>
          <w:p w14:paraId="6267FFD0">
            <w:pPr>
              <w:widowControl/>
              <w:spacing w:before="0" w:after="0" w:line="23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sz w:val="19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9"/>
                <w:vertAlign w:val="baseline"/>
                <w:lang w:eastAsia="zh-CN"/>
              </w:rPr>
              <w:t>Four-layer thickness (nm)</w:t>
            </w:r>
          </w:p>
        </w:tc>
        <w:tc>
          <w:tcPr>
            <w:tcW w:w="1800" w:type="dxa"/>
          </w:tcPr>
          <w:p w14:paraId="4D512011">
            <w:pPr>
              <w:widowControl/>
              <w:spacing w:before="0" w:after="0" w:line="23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sz w:val="19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9"/>
                <w:vertAlign w:val="baseline"/>
                <w:lang w:eastAsia="zh-CN"/>
              </w:rPr>
              <w:t>TMM R(700 nm)</w:t>
            </w:r>
          </w:p>
        </w:tc>
      </w:tr>
      <w:tr w14:paraId="0DAED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</w:tcPr>
          <w:p w14:paraId="2FDFD036">
            <w:pPr>
              <w:widowControl/>
              <w:spacing w:before="0" w:after="0" w:line="23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  <w:t>Minimize</w:t>
            </w:r>
          </w:p>
        </w:tc>
        <w:tc>
          <w:tcPr>
            <w:tcW w:w="1440" w:type="dxa"/>
          </w:tcPr>
          <w:p w14:paraId="075939AC">
            <w:pPr>
              <w:widowControl/>
              <w:spacing w:before="0" w:after="0" w:line="23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  <w:t>1</w:t>
            </w:r>
          </w:p>
        </w:tc>
        <w:tc>
          <w:tcPr>
            <w:tcW w:w="1300" w:type="dxa"/>
          </w:tcPr>
          <w:p w14:paraId="20F0E352">
            <w:pPr>
              <w:widowControl/>
              <w:spacing w:before="0" w:after="0" w:line="23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  <w:t>7207</w:t>
            </w:r>
          </w:p>
        </w:tc>
        <w:tc>
          <w:tcPr>
            <w:tcW w:w="3300" w:type="dxa"/>
          </w:tcPr>
          <w:p w14:paraId="01388C7E">
            <w:pPr>
              <w:widowControl/>
              <w:spacing w:before="0" w:after="0" w:line="23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  <w:t>(162.5, 44.8, 134.5, 57.8)</w:t>
            </w:r>
          </w:p>
        </w:tc>
        <w:tc>
          <w:tcPr>
            <w:tcW w:w="1800" w:type="dxa"/>
          </w:tcPr>
          <w:p w14:paraId="69E72391">
            <w:pPr>
              <w:widowControl/>
              <w:spacing w:before="0" w:after="0" w:line="23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  <w:t>0.001913</w:t>
            </w:r>
          </w:p>
        </w:tc>
      </w:tr>
      <w:tr w14:paraId="1F836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</w:tcPr>
          <w:p w14:paraId="1B1BEAE0">
            <w:pPr>
              <w:widowControl/>
              <w:spacing w:before="0" w:after="0" w:line="23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  <w:t>Minimize</w:t>
            </w:r>
          </w:p>
        </w:tc>
        <w:tc>
          <w:tcPr>
            <w:tcW w:w="1440" w:type="dxa"/>
          </w:tcPr>
          <w:p w14:paraId="277F74AF">
            <w:pPr>
              <w:widowControl/>
              <w:spacing w:before="0" w:after="0" w:line="23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  <w:t>2</w:t>
            </w:r>
          </w:p>
        </w:tc>
        <w:tc>
          <w:tcPr>
            <w:tcW w:w="1300" w:type="dxa"/>
          </w:tcPr>
          <w:p w14:paraId="437D7ECE">
            <w:pPr>
              <w:widowControl/>
              <w:spacing w:before="0" w:after="0" w:line="23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  <w:t>2898</w:t>
            </w:r>
          </w:p>
        </w:tc>
        <w:tc>
          <w:tcPr>
            <w:tcW w:w="3300" w:type="dxa"/>
          </w:tcPr>
          <w:p w14:paraId="0242BF1E">
            <w:pPr>
              <w:widowControl/>
              <w:spacing w:before="0" w:after="0" w:line="23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  <w:t>(161.3, 55.9, 126.9, 66.7)</w:t>
            </w:r>
          </w:p>
        </w:tc>
        <w:tc>
          <w:tcPr>
            <w:tcW w:w="1800" w:type="dxa"/>
          </w:tcPr>
          <w:p w14:paraId="46904EDC">
            <w:pPr>
              <w:widowControl/>
              <w:spacing w:before="0" w:after="0" w:line="23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  <w:t>0.002115</w:t>
            </w:r>
          </w:p>
        </w:tc>
      </w:tr>
      <w:tr w14:paraId="0B887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</w:tcPr>
          <w:p w14:paraId="4FFB1EB6">
            <w:pPr>
              <w:widowControl/>
              <w:spacing w:before="0" w:after="0" w:line="23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  <w:t>Minimize</w:t>
            </w:r>
          </w:p>
        </w:tc>
        <w:tc>
          <w:tcPr>
            <w:tcW w:w="1440" w:type="dxa"/>
          </w:tcPr>
          <w:p w14:paraId="42AE0086">
            <w:pPr>
              <w:widowControl/>
              <w:spacing w:before="0" w:after="0" w:line="23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  <w:t>3</w:t>
            </w:r>
          </w:p>
        </w:tc>
        <w:tc>
          <w:tcPr>
            <w:tcW w:w="1300" w:type="dxa"/>
          </w:tcPr>
          <w:p w14:paraId="05621259">
            <w:pPr>
              <w:widowControl/>
              <w:spacing w:before="0" w:after="0" w:line="23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  <w:t>531</w:t>
            </w:r>
          </w:p>
        </w:tc>
        <w:tc>
          <w:tcPr>
            <w:tcW w:w="3300" w:type="dxa"/>
          </w:tcPr>
          <w:p w14:paraId="43AA41FF">
            <w:pPr>
              <w:widowControl/>
              <w:spacing w:before="0" w:after="0" w:line="23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  <w:t>(159.4, 62.6, 128.4, 53.3)</w:t>
            </w:r>
          </w:p>
        </w:tc>
        <w:tc>
          <w:tcPr>
            <w:tcW w:w="1800" w:type="dxa"/>
          </w:tcPr>
          <w:p w14:paraId="6EE09B77">
            <w:pPr>
              <w:widowControl/>
              <w:spacing w:before="0" w:after="0" w:line="23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  <w:t>0.002221</w:t>
            </w:r>
          </w:p>
        </w:tc>
      </w:tr>
      <w:tr w14:paraId="7572D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</w:tcPr>
          <w:p w14:paraId="6AA3FFE1">
            <w:pPr>
              <w:widowControl/>
              <w:spacing w:before="0" w:after="0" w:line="23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  <w:t>Minimize</w:t>
            </w:r>
          </w:p>
        </w:tc>
        <w:tc>
          <w:tcPr>
            <w:tcW w:w="1440" w:type="dxa"/>
          </w:tcPr>
          <w:p w14:paraId="3D73DC80">
            <w:pPr>
              <w:widowControl/>
              <w:spacing w:before="0" w:after="0" w:line="23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  <w:t>4</w:t>
            </w:r>
          </w:p>
        </w:tc>
        <w:tc>
          <w:tcPr>
            <w:tcW w:w="1300" w:type="dxa"/>
          </w:tcPr>
          <w:p w14:paraId="78960D97">
            <w:pPr>
              <w:widowControl/>
              <w:spacing w:before="0" w:after="0" w:line="23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  <w:t>3612</w:t>
            </w:r>
          </w:p>
        </w:tc>
        <w:tc>
          <w:tcPr>
            <w:tcW w:w="3300" w:type="dxa"/>
          </w:tcPr>
          <w:p w14:paraId="6F80D37D">
            <w:pPr>
              <w:widowControl/>
              <w:spacing w:before="0" w:after="0" w:line="23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  <w:t>(163.8, 47.1, 129.5, 105.0)</w:t>
            </w:r>
          </w:p>
        </w:tc>
        <w:tc>
          <w:tcPr>
            <w:tcW w:w="1800" w:type="dxa"/>
          </w:tcPr>
          <w:p w14:paraId="2CB1E279">
            <w:pPr>
              <w:widowControl/>
              <w:spacing w:before="0" w:after="0" w:line="23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  <w:t>0.003081</w:t>
            </w:r>
          </w:p>
        </w:tc>
      </w:tr>
      <w:tr w14:paraId="3766F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</w:tcPr>
          <w:p w14:paraId="0FC23A7F">
            <w:pPr>
              <w:widowControl/>
              <w:spacing w:before="0" w:after="0" w:line="23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  <w:t>Minimize</w:t>
            </w:r>
          </w:p>
        </w:tc>
        <w:tc>
          <w:tcPr>
            <w:tcW w:w="1440" w:type="dxa"/>
          </w:tcPr>
          <w:p w14:paraId="7DA01AC8">
            <w:pPr>
              <w:widowControl/>
              <w:spacing w:before="0" w:after="0" w:line="23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  <w:t>5</w:t>
            </w:r>
          </w:p>
        </w:tc>
        <w:tc>
          <w:tcPr>
            <w:tcW w:w="1300" w:type="dxa"/>
          </w:tcPr>
          <w:p w14:paraId="31A1E4CF">
            <w:pPr>
              <w:widowControl/>
              <w:spacing w:before="0" w:after="0" w:line="23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  <w:t>5085</w:t>
            </w:r>
          </w:p>
        </w:tc>
        <w:tc>
          <w:tcPr>
            <w:tcW w:w="3300" w:type="dxa"/>
          </w:tcPr>
          <w:p w14:paraId="2D8ECBB1">
            <w:pPr>
              <w:widowControl/>
              <w:spacing w:before="0" w:after="0" w:line="23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  <w:t>(164.0, 40.4, 122.2, 108.5)</w:t>
            </w:r>
          </w:p>
        </w:tc>
        <w:tc>
          <w:tcPr>
            <w:tcW w:w="1800" w:type="dxa"/>
          </w:tcPr>
          <w:p w14:paraId="1B5DA482">
            <w:pPr>
              <w:widowControl/>
              <w:spacing w:before="0" w:after="0" w:line="23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  <w:t>0.003327</w:t>
            </w:r>
          </w:p>
        </w:tc>
      </w:tr>
      <w:tr w14:paraId="44805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</w:tcPr>
          <w:p w14:paraId="720664AB">
            <w:pPr>
              <w:widowControl/>
              <w:spacing w:before="0" w:after="0" w:line="23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  <w:t>Maximize</w:t>
            </w:r>
          </w:p>
        </w:tc>
        <w:tc>
          <w:tcPr>
            <w:tcW w:w="1440" w:type="dxa"/>
          </w:tcPr>
          <w:p w14:paraId="237B9EB4">
            <w:pPr>
              <w:widowControl/>
              <w:spacing w:before="0" w:after="0" w:line="23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  <w:t>1</w:t>
            </w:r>
          </w:p>
        </w:tc>
        <w:tc>
          <w:tcPr>
            <w:tcW w:w="1300" w:type="dxa"/>
          </w:tcPr>
          <w:p w14:paraId="3E7B5222">
            <w:pPr>
              <w:widowControl/>
              <w:spacing w:before="0" w:after="0" w:line="23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  <w:t>2256</w:t>
            </w:r>
          </w:p>
        </w:tc>
        <w:tc>
          <w:tcPr>
            <w:tcW w:w="3300" w:type="dxa"/>
          </w:tcPr>
          <w:p w14:paraId="51174F6F">
            <w:pPr>
              <w:widowControl/>
              <w:spacing w:before="0" w:after="0" w:line="23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  <w:t>(72.4, 129.6, 75.5, 117.7)</w:t>
            </w:r>
          </w:p>
        </w:tc>
        <w:tc>
          <w:tcPr>
            <w:tcW w:w="1800" w:type="dxa"/>
          </w:tcPr>
          <w:p w14:paraId="2B59F5F3">
            <w:pPr>
              <w:widowControl/>
              <w:spacing w:before="0" w:after="0" w:line="23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  <w:t>0.657000</w:t>
            </w:r>
          </w:p>
        </w:tc>
      </w:tr>
      <w:tr w14:paraId="7CA97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</w:tcPr>
          <w:p w14:paraId="3F3BCF59">
            <w:pPr>
              <w:widowControl/>
              <w:spacing w:before="0" w:after="0" w:line="23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  <w:t>Maximize</w:t>
            </w:r>
          </w:p>
        </w:tc>
        <w:tc>
          <w:tcPr>
            <w:tcW w:w="1440" w:type="dxa"/>
          </w:tcPr>
          <w:p w14:paraId="622D1BA2">
            <w:pPr>
              <w:widowControl/>
              <w:spacing w:before="0" w:after="0" w:line="23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  <w:t>2</w:t>
            </w:r>
          </w:p>
        </w:tc>
        <w:tc>
          <w:tcPr>
            <w:tcW w:w="1300" w:type="dxa"/>
          </w:tcPr>
          <w:p w14:paraId="0E3AB33C">
            <w:pPr>
              <w:widowControl/>
              <w:spacing w:before="0" w:after="0" w:line="23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  <w:t>4011</w:t>
            </w:r>
          </w:p>
        </w:tc>
        <w:tc>
          <w:tcPr>
            <w:tcW w:w="3300" w:type="dxa"/>
          </w:tcPr>
          <w:p w14:paraId="009E84B2">
            <w:pPr>
              <w:widowControl/>
              <w:spacing w:before="0" w:after="0" w:line="23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  <w:t>(71.5, 120.7, 81.0, 115.2)</w:t>
            </w:r>
          </w:p>
        </w:tc>
        <w:tc>
          <w:tcPr>
            <w:tcW w:w="1800" w:type="dxa"/>
          </w:tcPr>
          <w:p w14:paraId="1E7E0B53">
            <w:pPr>
              <w:widowControl/>
              <w:spacing w:before="0" w:after="0" w:line="23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  <w:t>0.656284</w:t>
            </w:r>
          </w:p>
        </w:tc>
      </w:tr>
      <w:tr w14:paraId="1B0AE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</w:tcPr>
          <w:p w14:paraId="66FF0F25">
            <w:pPr>
              <w:widowControl/>
              <w:spacing w:before="0" w:after="0" w:line="23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  <w:t>Maximize</w:t>
            </w:r>
          </w:p>
        </w:tc>
        <w:tc>
          <w:tcPr>
            <w:tcW w:w="1440" w:type="dxa"/>
          </w:tcPr>
          <w:p w14:paraId="76B0FB20">
            <w:pPr>
              <w:widowControl/>
              <w:spacing w:before="0" w:after="0" w:line="23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  <w:t>3</w:t>
            </w:r>
          </w:p>
        </w:tc>
        <w:tc>
          <w:tcPr>
            <w:tcW w:w="1300" w:type="dxa"/>
          </w:tcPr>
          <w:p w14:paraId="4DD90724">
            <w:pPr>
              <w:widowControl/>
              <w:spacing w:before="0" w:after="0" w:line="23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  <w:t>7220</w:t>
            </w:r>
          </w:p>
        </w:tc>
        <w:tc>
          <w:tcPr>
            <w:tcW w:w="3300" w:type="dxa"/>
          </w:tcPr>
          <w:p w14:paraId="04D606F7">
            <w:pPr>
              <w:widowControl/>
              <w:spacing w:before="0" w:after="0" w:line="23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  <w:t>(73.0, 113.8, 78.0, 138.8)</w:t>
            </w:r>
          </w:p>
        </w:tc>
        <w:tc>
          <w:tcPr>
            <w:tcW w:w="1800" w:type="dxa"/>
          </w:tcPr>
          <w:p w14:paraId="42067745">
            <w:pPr>
              <w:widowControl/>
              <w:spacing w:before="0" w:after="0" w:line="23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  <w:t>0.654467</w:t>
            </w:r>
          </w:p>
        </w:tc>
      </w:tr>
      <w:tr w14:paraId="5F2AF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</w:tcPr>
          <w:p w14:paraId="6CB9882D">
            <w:pPr>
              <w:widowControl/>
              <w:spacing w:before="0" w:after="0" w:line="23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  <w:t>Maximize</w:t>
            </w:r>
          </w:p>
        </w:tc>
        <w:tc>
          <w:tcPr>
            <w:tcW w:w="1440" w:type="dxa"/>
          </w:tcPr>
          <w:p w14:paraId="01FE6715">
            <w:pPr>
              <w:widowControl/>
              <w:spacing w:before="0" w:after="0" w:line="23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  <w:t>4</w:t>
            </w:r>
          </w:p>
        </w:tc>
        <w:tc>
          <w:tcPr>
            <w:tcW w:w="1300" w:type="dxa"/>
          </w:tcPr>
          <w:p w14:paraId="60B2BE53">
            <w:pPr>
              <w:widowControl/>
              <w:spacing w:before="0" w:after="0" w:line="23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  <w:t>39</w:t>
            </w:r>
          </w:p>
        </w:tc>
        <w:tc>
          <w:tcPr>
            <w:tcW w:w="3300" w:type="dxa"/>
          </w:tcPr>
          <w:p w14:paraId="38DDAF61">
            <w:pPr>
              <w:widowControl/>
              <w:spacing w:before="0" w:after="0" w:line="23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  <w:t>(69.4, 133.4, 73.8, 109.5)</w:t>
            </w:r>
          </w:p>
        </w:tc>
        <w:tc>
          <w:tcPr>
            <w:tcW w:w="1800" w:type="dxa"/>
          </w:tcPr>
          <w:p w14:paraId="2E378CEB">
            <w:pPr>
              <w:widowControl/>
              <w:spacing w:before="0" w:after="0" w:line="23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  <w:t>0.654322</w:t>
            </w:r>
          </w:p>
        </w:tc>
      </w:tr>
      <w:tr w14:paraId="729C0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</w:tcPr>
          <w:p w14:paraId="0CFA232A">
            <w:pPr>
              <w:widowControl/>
              <w:spacing w:before="0" w:after="0" w:line="23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  <w:t>Maximize</w:t>
            </w:r>
          </w:p>
        </w:tc>
        <w:tc>
          <w:tcPr>
            <w:tcW w:w="1440" w:type="dxa"/>
          </w:tcPr>
          <w:p w14:paraId="38AD7915">
            <w:pPr>
              <w:widowControl/>
              <w:spacing w:before="0" w:after="0" w:line="23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  <w:t>5</w:t>
            </w:r>
          </w:p>
        </w:tc>
        <w:tc>
          <w:tcPr>
            <w:tcW w:w="1300" w:type="dxa"/>
          </w:tcPr>
          <w:p w14:paraId="074BEE2F">
            <w:pPr>
              <w:widowControl/>
              <w:spacing w:before="0" w:after="0" w:line="23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  <w:t>5660</w:t>
            </w:r>
          </w:p>
        </w:tc>
        <w:tc>
          <w:tcPr>
            <w:tcW w:w="3300" w:type="dxa"/>
          </w:tcPr>
          <w:p w14:paraId="2871092D">
            <w:pPr>
              <w:widowControl/>
              <w:spacing w:before="0" w:after="0" w:line="23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  <w:t>(79.6, 116.3, 73.3, 151.0)</w:t>
            </w:r>
          </w:p>
        </w:tc>
        <w:tc>
          <w:tcPr>
            <w:tcW w:w="1800" w:type="dxa"/>
          </w:tcPr>
          <w:p w14:paraId="291D9462">
            <w:pPr>
              <w:widowControl/>
              <w:spacing w:before="0" w:after="0" w:line="23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9"/>
                <w:vertAlign w:val="baseline"/>
                <w:lang w:eastAsia="zh-CN"/>
              </w:rPr>
              <w:t>0.654308</w:t>
            </w:r>
          </w:p>
        </w:tc>
      </w:tr>
    </w:tbl>
    <w:p w14:paraId="64AAF8AF">
      <w:pPr>
        <w:widowControl/>
        <w:spacing w:before="0" w:after="30" w:line="240" w:lineRule="auto"/>
        <w:rPr>
          <w:rFonts w:hint="eastAsia" w:eastAsia="宋体"/>
          <w:lang w:eastAsia="zh-CN"/>
        </w:rPr>
      </w:pPr>
    </w:p>
    <w:p w14:paraId="24AF6FFC">
      <w:pPr>
        <w:pStyle w:val="3"/>
        <w:keepNext/>
        <w:widowControl/>
        <w:rPr>
          <w:rFonts w:hint="eastAsia" w:eastAsia="宋体"/>
          <w:b w:val="0"/>
          <w:i w:val="0"/>
          <w:color w:val="auto"/>
          <w:sz w:val="20"/>
          <w:lang w:eastAsia="zh-CN"/>
        </w:rPr>
      </w:pPr>
      <w:r>
        <w:rPr>
          <w:rFonts w:hint="eastAsia" w:eastAsia="宋体"/>
          <w:b w:val="0"/>
          <w:i w:val="0"/>
          <w:color w:val="auto"/>
          <w:sz w:val="20"/>
          <w:lang w:eastAsia="zh-CN"/>
        </w:rPr>
        <w:t>Table 1 reports TMM values for the proxy-selected shortlist; ranks are shortlist-local, not full-pool ranks.</w:t>
      </w:r>
    </w:p>
    <w:p w14:paraId="617EAB5C">
      <w:pPr>
        <w:pStyle w:val="3"/>
        <w:keepNext/>
        <w:widowControl/>
      </w:pPr>
      <w:r>
        <w:t>3.4 Representative high-error held-out test case</w:t>
      </w:r>
    </w:p>
    <w:p w14:paraId="3C312968">
      <w:pPr>
        <w:widowControl/>
        <w:spacing w:after="30" w:line="240" w:lineRule="auto"/>
        <w:rPr>
          <w:rFonts w:hint="eastAsia" w:eastAsia="宋体"/>
          <w:b w:val="0"/>
          <w:i w:val="0"/>
          <w:sz w:val="20"/>
          <w:lang w:eastAsia="zh-CN"/>
        </w:rPr>
      </w:pPr>
      <w:r>
        <w:rPr>
          <w:rFonts w:hint="eastAsia" w:eastAsia="宋体"/>
          <w:b w:val="0"/>
          <w:i w:val="0"/>
          <w:sz w:val="20"/>
          <w:lang w:eastAsia="zh-CN"/>
        </w:rPr>
        <w:t>失败案例为固定 held-out test 集按 41 点全谱 RMSE 降序选出的最大值：测试集第 313 个样本（test_indices[312]），数据集零起始全局行 3477；Linear 4000 checkpoint 的 RMSE=0.0295357、MAE=0.0186762。420 nm 处 TMM=0.2366349、预测=0.1465764，绝对误差=0.0900585。该样本来自 test split，不是候选池筛选。</w:t>
      </w:r>
    </w:p>
    <w:p w14:paraId="4D574990">
      <w:pPr>
        <w:widowControl/>
        <w:spacing w:after="30" w:line="240" w:lineRule="auto"/>
      </w:pPr>
      <w:r>
        <w:t>课程和仓库均未定义数值失败阈值，因此本文称其为代表性高误差案例，不定义为阈值型失败。逐波长数据见 paper/heldout_test_case_row_3477_spectra.csv；来源为 data/thinfilm_dataset.npz、Linear 4000 checkpoint 及模型实现。</w:t>
      </w:r>
    </w:p>
    <w:p w14:paraId="2929995C">
      <w:pPr>
        <w:keepNext/>
        <w:widowControl/>
        <w:spacing w:before="20" w:after="30" w:line="240" w:lineRule="auto"/>
        <w:jc w:val="center"/>
      </w:pPr>
    </w:p>
    <w:p w14:paraId="6876C594">
      <w:pPr>
        <w:pStyle w:val="2"/>
        <w:keepNext/>
        <w:widowControl/>
      </w:pPr>
      <w:r>
        <w:t>4. Discussion</w:t>
      </w:r>
    </w:p>
    <w:p w14:paraId="72A5C9C8">
      <w:pPr>
        <w:widowControl/>
        <w:spacing w:after="30" w:line="240" w:lineRule="auto"/>
        <w:rPr>
          <w:rFonts w:hint="eastAsia" w:eastAsia="宋体"/>
          <w:b w:val="0"/>
          <w:i w:val="0"/>
          <w:sz w:val="20"/>
          <w:lang w:eastAsia="zh-CN"/>
        </w:rPr>
      </w:pPr>
      <w:r>
        <w:rPr>
          <w:rFonts w:hint="eastAsia" w:eastAsia="宋体"/>
          <w:b w:val="0"/>
          <w:i w:val="0"/>
          <w:sz w:val="20"/>
          <w:lang w:eastAsia="zh-CN"/>
        </w:rPr>
        <w:t>训练规模增加时观测到验证误差和测试 RMSE 下降；但 500 与 2,000 样本组达到 2,500 轮预算上限，趋势不代表充分收敛。</w:t>
      </w:r>
    </w:p>
    <w:p w14:paraId="33D3EE91">
      <w:pPr>
        <w:widowControl/>
        <w:spacing w:after="30" w:line="240" w:lineRule="auto"/>
        <w:rPr>
          <w:rFonts w:hint="eastAsia" w:eastAsia="宋体"/>
          <w:b w:val="0"/>
          <w:i w:val="0"/>
          <w:sz w:val="20"/>
          <w:lang w:eastAsia="zh-CN"/>
        </w:rPr>
      </w:pPr>
      <w:r>
        <w:rPr>
          <w:rFonts w:hint="eastAsia" w:eastAsia="宋体"/>
          <w:b w:val="0"/>
          <w:i w:val="0"/>
          <w:sz w:val="20"/>
          <w:lang w:eastAsia="zh-CN"/>
        </w:rPr>
        <w:t>按验证 MSE 选择，4,000 样本 Linear 优于 Sigmoid 变体；线性输出可产生越界预测，故代理值只用于排序，候选物理反射率以 TMM 复核为准。</w:t>
      </w:r>
    </w:p>
    <w:p w14:paraId="5196176D">
      <w:pPr>
        <w:pStyle w:val="3"/>
        <w:keepNext/>
        <w:widowControl/>
        <w:rPr>
          <w:rFonts w:hint="eastAsia" w:eastAsia="宋体"/>
          <w:b w:val="0"/>
          <w:i w:val="0"/>
          <w:color w:val="auto"/>
          <w:sz w:val="20"/>
          <w:lang w:eastAsia="zh-CN"/>
        </w:rPr>
      </w:pPr>
      <w:r>
        <w:rPr>
          <w:rFonts w:hint="eastAsia" w:eastAsia="宋体"/>
          <w:b w:val="0"/>
          <w:i w:val="0"/>
          <w:color w:val="auto"/>
          <w:sz w:val="20"/>
          <w:lang w:eastAsia="zh-CN"/>
        </w:rPr>
        <w:t>本候选池内，最小化的 MLP Top 10 与全池 TMM Top 5 无候选重合；最大化时重合 3/5。仅复核代理短名单可能遗漏池内更优候选，故结论限定于该候选池和模型设置。</w:t>
      </w:r>
    </w:p>
    <w:p w14:paraId="4D81D670">
      <w:pPr>
        <w:pStyle w:val="3"/>
        <w:keepNext/>
        <w:widowControl/>
      </w:pPr>
      <w:r>
        <w:t>4.1 Limitations</w:t>
      </w:r>
    </w:p>
    <w:p w14:paraId="68E0B951">
      <w:pPr>
        <w:widowControl/>
        <w:spacing w:after="30" w:line="240" w:lineRule="auto"/>
        <w:rPr>
          <w:rFonts w:hint="eastAsia" w:eastAsia="宋体"/>
          <w:b w:val="0"/>
          <w:i w:val="0"/>
          <w:sz w:val="20"/>
          <w:lang w:eastAsia="zh-CN"/>
        </w:rPr>
      </w:pPr>
      <w:r>
        <w:rPr>
          <w:rFonts w:hint="eastAsia" w:eastAsia="宋体"/>
          <w:b w:val="0"/>
          <w:i w:val="0"/>
          <w:sz w:val="20"/>
          <w:lang w:eastAsia="zh-CN"/>
        </w:rPr>
        <w:t>局限性：结果来自固定折射率、无吸收、正入射的合成数据，不含材料色散、实验误差或制造偏差；仅考察一个固定划分和有限训练预算。独立的 250-epoch Sigmoid 消融没有可核对的结果文件，未并入本文。</w:t>
      </w:r>
    </w:p>
    <w:p w14:paraId="21F01DBA">
      <w:pPr>
        <w:pStyle w:val="2"/>
        <w:keepNext/>
        <w:widowControl/>
      </w:pPr>
      <w:r>
        <w:t>5. Conclusions</w:t>
      </w:r>
    </w:p>
    <w:p w14:paraId="4B3557EF">
      <w:pPr>
        <w:widowControl/>
        <w:spacing w:after="30" w:line="240" w:lineRule="auto"/>
        <w:rPr>
          <w:rFonts w:hint="eastAsia" w:eastAsia="宋体"/>
          <w:b w:val="0"/>
          <w:i w:val="0"/>
          <w:sz w:val="20"/>
          <w:lang w:eastAsia="zh-CN"/>
        </w:rPr>
      </w:pPr>
      <w:r>
        <w:rPr>
          <w:rFonts w:hint="eastAsia" w:eastAsia="宋体"/>
          <w:b w:val="0"/>
          <w:i w:val="0"/>
          <w:sz w:val="20"/>
          <w:lang w:eastAsia="zh-CN"/>
        </w:rPr>
        <w:t>本文以 TMM 合成数据训练并按验证 MSE 选择 Linear MLP；4,000 样本配置的 held-out RMSE 为 0.011375。增加训练样本时观测误差下降，但两组达到轮数上限。对 10,000 个候选全池 TMM 复核后，MLP 与 TMM 排名存在差异；池内 R(700 nm) 极值为 0.00020416604 和 0.65699974。结果仅适用于给定物理假设与随机候选池。</w:t>
      </w:r>
    </w:p>
    <w:p w14:paraId="7A08BE57">
      <w:pPr>
        <w:pStyle w:val="2"/>
        <w:keepNext/>
        <w:widowControl/>
      </w:pPr>
      <w:r>
        <w:t>Data and Code Availability</w:t>
      </w:r>
    </w:p>
    <w:p w14:paraId="5B1F2695">
      <w:pPr>
        <w:pStyle w:val="2"/>
        <w:keepNext/>
        <w:widowControl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The source data and fixed split are in data/thinfilm_dataset.npz; model definitions and TMM implementation are in src/ai4s_thinfilm/model.py and src/ai4s_thinfilm/tmm.py. Main Linear metrics and histories are in outputs_convergence_linear/mlp_metrics.json and loss_history_train_500,1000,2000,4000.csv; the main checkpoint is models_convergence_linear/mlp_train_4000.pt. Candidate screening is in outputs_convergence_linear/design_screening_predictions.npz; full-pool TMM ranking and report are in outputs_convergence_linear/global_tmm_audit/linear_candidate_tmm_ranked.csv and linear_global_tmm_audit_report.json. Held-out example values are in paper/heldout_test_case_row_3477_spectra.csv. Repository: https://github.com/xiong1971511-maker/ai4s-thinfilm-project. The source code, data, cited results, manuscript, and PDF are included in this repository.</w:t>
      </w:r>
    </w:p>
    <w:p w14:paraId="7CAEC494">
      <w:pPr>
        <w:pStyle w:val="2"/>
        <w:keepNext/>
        <w:widowControl/>
      </w:pPr>
      <w:r>
        <w:t>References</w:t>
      </w:r>
    </w:p>
    <w:p w14:paraId="1E1766EC">
      <w:pPr>
        <w:keepLines/>
        <w:widowControl/>
        <w:spacing w:after="0" w:line="190" w:lineRule="auto"/>
        <w:ind w:left="317" w:hanging="317"/>
        <w:rPr>
          <w:sz w:val="17"/>
        </w:rPr>
      </w:pPr>
      <w:r>
        <w:rPr>
          <w:i w:val="0"/>
        </w:rPr>
        <w:t xml:space="preserve">1. MacLeod, H. A. </w:t>
      </w:r>
      <w:r>
        <w:rPr>
          <w:i/>
        </w:rPr>
        <w:t>Thin-Film Optical Filters</w:t>
      </w:r>
      <w:r>
        <w:rPr>
          <w:i w:val="0"/>
        </w:rPr>
        <w:t>, 4th ed. Boca Raton, FL: CRC Press, 2010. doi:10.1201/9781420073034.</w:t>
      </w:r>
    </w:p>
    <w:p w14:paraId="56131885">
      <w:pPr>
        <w:keepLines/>
        <w:widowControl/>
        <w:spacing w:after="0" w:line="190" w:lineRule="auto"/>
        <w:ind w:left="317" w:hanging="317"/>
        <w:rPr>
          <w:sz w:val="17"/>
        </w:rPr>
      </w:pPr>
      <w:r>
        <w:rPr>
          <w:i w:val="0"/>
        </w:rPr>
        <w:t xml:space="preserve">2. Byrnes, S. J. “Multilayer optical calculations.” </w:t>
      </w:r>
      <w:r>
        <w:rPr>
          <w:i/>
        </w:rPr>
        <w:t>arXiv</w:t>
      </w:r>
      <w:r>
        <w:rPr>
          <w:i w:val="0"/>
        </w:rPr>
        <w:t>, arXiv:1603.02720 (2016). doi:10.48550/arXiv.1603.02720.</w:t>
      </w:r>
    </w:p>
    <w:p w14:paraId="332B93AE">
      <w:pPr>
        <w:keepLines/>
        <w:widowControl/>
        <w:spacing w:after="0" w:line="190" w:lineRule="auto"/>
        <w:ind w:left="317" w:hanging="317"/>
        <w:rPr>
          <w:sz w:val="17"/>
        </w:rPr>
      </w:pPr>
      <w:r>
        <w:rPr>
          <w:i w:val="0"/>
        </w:rPr>
        <w:t xml:space="preserve">3. Tikhonravov, A. V., Trubetskov, M. K., &amp; DeBell, G. W. “Application of the needle optimization technique to the design of optical coatings.” </w:t>
      </w:r>
      <w:r>
        <w:rPr>
          <w:i/>
        </w:rPr>
        <w:t>Applied Optics</w:t>
      </w:r>
      <w:r>
        <w:rPr>
          <w:i w:val="0"/>
        </w:rPr>
        <w:t>, 35(28), 5493–5508 (1996). doi:10.1364/AO.35.005493.</w:t>
      </w:r>
    </w:p>
    <w:p w14:paraId="284239DC">
      <w:pPr>
        <w:keepLines/>
        <w:widowControl/>
        <w:spacing w:after="0" w:line="190" w:lineRule="auto"/>
        <w:ind w:left="317" w:hanging="317"/>
        <w:rPr>
          <w:sz w:val="17"/>
        </w:rPr>
      </w:pPr>
      <w:r>
        <w:rPr>
          <w:i w:val="0"/>
        </w:rPr>
        <w:t xml:space="preserve">4. Schubert, M. F., Mont, F. W., Chhajed, S., Poxson, D. J., Kim, J. K., &amp; Schubert, E. F. “Design of multilayer antireflection coatings made from co-sputtered and low-refractive-index materials by genetic algorithm.” </w:t>
      </w:r>
      <w:r>
        <w:rPr>
          <w:i/>
        </w:rPr>
        <w:t>Optics Express</w:t>
      </w:r>
      <w:r>
        <w:rPr>
          <w:i w:val="0"/>
        </w:rPr>
        <w:t>, 16(8), 5290–5298 (2008). doi:10.1364/OE.16.005290.</w:t>
      </w:r>
    </w:p>
    <w:p w14:paraId="2B29907D">
      <w:pPr>
        <w:keepLines/>
        <w:widowControl/>
        <w:spacing w:after="0" w:line="190" w:lineRule="auto"/>
        <w:ind w:left="317" w:hanging="317"/>
        <w:rPr>
          <w:sz w:val="17"/>
        </w:rPr>
      </w:pPr>
      <w:r>
        <w:rPr>
          <w:i w:val="0"/>
        </w:rPr>
        <w:t xml:space="preserve">5. Liu, Z., Zhu, D., Raju, L., &amp; Cai, W. “Tackling photonic inverse design with machine learning.” </w:t>
      </w:r>
      <w:r>
        <w:rPr>
          <w:i/>
        </w:rPr>
        <w:t>Advanced Science</w:t>
      </w:r>
      <w:r>
        <w:rPr>
          <w:i w:val="0"/>
        </w:rPr>
        <w:t>, 8(5), 2002923 (2021). doi:10.1002/advs.202002923.</w:t>
      </w:r>
    </w:p>
    <w:p w14:paraId="1A1F0498">
      <w:pPr>
        <w:keepLines/>
        <w:widowControl/>
        <w:spacing w:after="0" w:line="190" w:lineRule="auto"/>
        <w:ind w:left="317" w:hanging="317"/>
        <w:rPr>
          <w:sz w:val="17"/>
        </w:rPr>
      </w:pPr>
      <w:r>
        <w:rPr>
          <w:i w:val="0"/>
        </w:rPr>
        <w:t xml:space="preserve">6. Unni, R., Yao, K., Han, X., Zhou, M., &amp; Zheng, Y. “A mixture-density-based tandem optimization network for on-demand inverse design of thin-film high reflectors.” </w:t>
      </w:r>
      <w:r>
        <w:rPr>
          <w:i/>
        </w:rPr>
        <w:t>Nanophotonics</w:t>
      </w:r>
      <w:r>
        <w:rPr>
          <w:i w:val="0"/>
        </w:rPr>
        <w:t>, 10(16), 4057–4065 (2021). doi:10.1515/nanoph-2021-0392.</w:t>
      </w:r>
    </w:p>
    <w:p w14:paraId="438FDA61">
      <w:pPr>
        <w:keepLines/>
        <w:widowControl/>
        <w:spacing w:after="0" w:line="190" w:lineRule="auto"/>
        <w:ind w:left="317" w:hanging="317"/>
        <w:rPr>
          <w:sz w:val="17"/>
        </w:rPr>
      </w:pPr>
      <w:r>
        <w:rPr>
          <w:i w:val="0"/>
        </w:rPr>
        <w:t xml:space="preserve">7. Ma, T., Tobah, M., Wang, H., &amp; Guo, L. J. “Benchmarking deep learning-based models on nanophotonic inverse design problems.” </w:t>
      </w:r>
      <w:r>
        <w:rPr>
          <w:i/>
        </w:rPr>
        <w:t>Opto-Electronic Science</w:t>
      </w:r>
      <w:r>
        <w:rPr>
          <w:i w:val="0"/>
        </w:rPr>
        <w:t>, 1(1), 210012 (2022). doi:10.29026/oes.2022.210012.</w:t>
      </w:r>
    </w:p>
    <w:p w14:paraId="419A333D">
      <w:pPr>
        <w:keepLines/>
        <w:widowControl/>
        <w:spacing w:after="0" w:line="190" w:lineRule="auto"/>
        <w:ind w:left="317" w:hanging="317"/>
        <w:rPr>
          <w:sz w:val="17"/>
        </w:rPr>
      </w:pPr>
      <w:r>
        <w:rPr>
          <w:i w:val="0"/>
        </w:rPr>
        <w:t xml:space="preserve">8. Ma, T., Ma, M., &amp; Guo, L. J. “Optical multilayer thin film structure inverse design: From optimization to deep learning.” </w:t>
      </w:r>
      <w:r>
        <w:rPr>
          <w:i/>
        </w:rPr>
        <w:t>iScience</w:t>
      </w:r>
      <w:r>
        <w:rPr>
          <w:i w:val="0"/>
        </w:rPr>
        <w:t>, 28(4), 112222 (2025). doi:10.1016/j.isci.2025.112222.</w:t>
      </w:r>
    </w:p>
    <w:sectPr>
      <w:headerReference r:id="rId5" w:type="default"/>
      <w:footerReference r:id="rId6" w:type="default"/>
      <w:pgSz w:w="12240" w:h="15840"/>
      <w:pgMar w:top="1020" w:right="1134" w:bottom="102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altName w:val="PMingLiU-ExtB"/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EE2157">
    <w:pPr>
      <w:pStyle w:val="32"/>
      <w:jc w:val="center"/>
    </w:pPr>
    <w:r>
      <w:rPr>
        <w:color w:val="888888"/>
        <w:sz w:val="15"/>
      </w:rPr>
      <w:t>Course Research Article Template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3" w:lineRule="auto"/>
      </w:pPr>
      <w:r>
        <w:separator/>
      </w:r>
    </w:p>
  </w:footnote>
  <w:footnote w:type="continuationSeparator" w:id="1">
    <w:p>
      <w:pPr>
        <w:spacing w:before="0" w:after="0" w:line="283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520FB4">
    <w:pPr>
      <w:pStyle w:val="17"/>
      <w:jc w:val="right"/>
      <w:rPr>
        <w:lang w:eastAsia="zh-CN"/>
      </w:rPr>
    </w:pPr>
    <w:r>
      <w:rPr>
        <w:color w:val="888888"/>
        <w:sz w:val="15"/>
        <w:lang w:eastAsia="zh-CN"/>
      </w:rPr>
      <w:t>薄膜技术 · AI4S课程大作业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6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6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4363"/>
    <w:rsid w:val="0083133A"/>
    <w:rsid w:val="00AA1D8D"/>
    <w:rsid w:val="00B47730"/>
    <w:rsid w:val="00BE00AF"/>
    <w:rsid w:val="00CB0664"/>
    <w:rsid w:val="00FA6E5F"/>
    <w:rsid w:val="00FC693F"/>
    <w:rsid w:val="04247949"/>
    <w:rsid w:val="096421CD"/>
    <w:rsid w:val="1B3E4B1C"/>
    <w:rsid w:val="285943F6"/>
    <w:rsid w:val="2CF42D4D"/>
    <w:rsid w:val="30A75F69"/>
    <w:rsid w:val="43F93818"/>
    <w:rsid w:val="4E996F0F"/>
    <w:rsid w:val="646F65F2"/>
    <w:rsid w:val="6C197C7E"/>
    <w:rsid w:val="77775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283" w:lineRule="auto"/>
      <w:ind w:firstLine="420"/>
      <w:jc w:val="both"/>
    </w:pPr>
    <w:rPr>
      <w:rFonts w:ascii="Times New Roman" w:hAnsi="Times New Roman" w:eastAsia="Noto Sans CJK SC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140" w:after="40"/>
      <w:outlineLvl w:val="0"/>
    </w:pPr>
    <w:rPr>
      <w:rFonts w:asciiTheme="majorHAnsi" w:hAnsiTheme="majorHAnsi" w:eastAsiaTheme="majorEastAsia" w:cstheme="majorBidi"/>
      <w:b/>
      <w:bCs/>
      <w:color w:val="1F4E79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140" w:after="40"/>
      <w:outlineLvl w:val="1"/>
    </w:pPr>
    <w:rPr>
      <w:rFonts w:asciiTheme="majorHAnsi" w:hAnsiTheme="majorHAnsi" w:eastAsiaTheme="majorEastAsia" w:cstheme="majorBidi"/>
      <w:b/>
      <w:bCs/>
      <w:color w:val="2F75B5"/>
      <w:sz w:val="23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Bullet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6">
    <w:name w:val="List Number 3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7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8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19">
    <w:name w:val="List Number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0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1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4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5">
    <w:name w:val="List Bullet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6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7">
    <w:name w:val="Subtitle"/>
    <w:basedOn w:val="1"/>
    <w:next w:val="1"/>
    <w:link w:val="142"/>
    <w:qFormat/>
    <w:uiPriority w:val="11"/>
    <w:pPr>
      <w:ind w:firstLine="420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9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30">
    <w:name w:val="Body Text"/>
    <w:basedOn w:val="1"/>
    <w:link w:val="144"/>
    <w:unhideWhenUsed/>
    <w:qFormat/>
    <w:uiPriority w:val="99"/>
    <w:pPr>
      <w:spacing w:after="120"/>
    </w:pPr>
  </w:style>
  <w:style w:type="paragraph" w:styleId="31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32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35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页眉 字符"/>
    <w:basedOn w:val="11"/>
    <w:link w:val="17"/>
    <w:qFormat/>
    <w:uiPriority w:val="99"/>
  </w:style>
  <w:style w:type="character" w:customStyle="1" w:styleId="136">
    <w:name w:val="页脚 字符"/>
    <w:basedOn w:val="11"/>
    <w:link w:val="32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1"/>
    <w:link w:val="28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1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1"/>
    <w:link w:val="30"/>
    <w:qFormat/>
    <w:uiPriority w:val="99"/>
  </w:style>
  <w:style w:type="character" w:customStyle="1" w:styleId="145">
    <w:name w:val="正文文本 2 字符"/>
    <w:basedOn w:val="11"/>
    <w:link w:val="21"/>
    <w:qFormat/>
    <w:uiPriority w:val="99"/>
  </w:style>
  <w:style w:type="character" w:customStyle="1" w:styleId="146">
    <w:name w:val="正文文本 3 字符"/>
    <w:basedOn w:val="11"/>
    <w:link w:val="31"/>
    <w:qFormat/>
    <w:uiPriority w:val="99"/>
    <w:rPr>
      <w:sz w:val="16"/>
      <w:szCs w:val="16"/>
    </w:rPr>
  </w:style>
  <w:style w:type="character" w:customStyle="1" w:styleId="147">
    <w:name w:val="宏文本 字符"/>
    <w:basedOn w:val="11"/>
    <w:link w:val="20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2759</Words>
  <Characters>8435</Characters>
  <Lines>109</Lines>
  <Paragraphs>93</Paragraphs>
  <TotalTime>12</TotalTime>
  <ScaleCrop>false</ScaleCrop>
  <LinksUpToDate>false</LinksUpToDate>
  <CharactersWithSpaces>9264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ASUS</dc:creator>
  <dc:description>generated by python-docx</dc:description>
  <cp:lastModifiedBy>ASUS</cp:lastModifiedBy>
  <dcterms:modified xsi:type="dcterms:W3CDTF">2026-10-07T01:43:40Z</dcterms:modified>
  <dc:subject>AI4S research article submission</dc:subject>
  <dc:title>MLP-Based Spectral Prediction and Data-Driven Design of Multilayer Dielectric Thin Films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3076-12.1.0.28485</vt:lpwstr>
  </property>
  <property fmtid="{D5CDD505-2E9C-101B-9397-08002B2CF9AE}" pid="3" name="ICV">
    <vt:lpwstr>6464B632FB1F42C582F016C92046AF07_12</vt:lpwstr>
  </property>
  <property fmtid="{D5CDD505-2E9C-101B-9397-08002B2CF9AE}" pid="4" name="KSOTemplateDocerSaveRecord">
    <vt:lpwstr>eyJoZGlkIjoiMDA3MThlZTIzYTAwNmYzODk2ZGZmOTJkODZkNTFkZTgiLCJ1c2VySWQiOiIxNTUxNjUzNjE3NjMifQ==</vt:lpwstr>
  </property>
</Properties>
</file>