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firstLine="0"/>
        <w:snapToGrid w:val="0"/>
      </w:pPr>
      <w:r>
        <w:rPr>
          <w:b/>
          <w:sz w:val="18"/>
        </w:rPr>
        <w:t>RESEARCH ARTICLE</w:t>
      </w:r>
    </w:p>
    <w:p>
      <w:pPr>
        <w:pStyle w:val="aa"/>
        <w:spacing w:after="80"/>
        <w:jc w:val="center"/>
        <w:snapToGrid w:val="0"/>
      </w:pPr>
      <w:r>
        <w:rPr>
          <w:b/>
          <w:color w:val="000000"/>
          <w:sz w:val="32"/>
        </w:rPr>
        <w:t>基于多层感知机的多层介质薄膜光谱预测与辅助设计</w:t>
      </w:r>
    </w:p>
    <w:p>
      <w:pPr>
        <w:ind w:firstLine="0"/>
        <w:jc w:val="center"/>
        <w:snapToGrid w:val="0"/>
      </w:pPr>
      <w:r>
        <w:rPr>
          <w:b/>
          <w:sz w:val="24"/>
        </w:rPr>
        <w:t>MLP-Based Spectral Prediction and Data-Driven Design of Multilayer Dielectric Thin Films</w:t>
      </w:r>
    </w:p>
    <w:p>
      <w:pPr>
        <w:ind w:firstLine="0"/>
        <w:jc w:val="center"/>
        <w:snapToGrid w:val="0"/>
      </w:pPr>
      <w:r>
        <w:t>公开版本 · 课程提交版另附身份信息</w:t>
      </w:r>
    </w:p>
    <w:p>
      <w:pPr>
        <w:ind w:firstLine="0"/>
        <w:jc w:val="center"/>
        <w:snapToGrid w:val="0"/>
      </w:pPr>
      <w:r>
        <w:t>λtarget = 700 nm    seed = 270256    design_seed = 270257</w:t>
      </w:r>
    </w:p>
    <w:p>
      <w:pPr>
        <w:pStyle w:val="1"/>
        <w:snapToGrid w:val="0"/>
      </w:pPr>
      <w:r>
        <w:t>Abstract</w:t>
      </w:r>
    </w:p>
    <w:p>
      <w:pPr>
        <w:snapToGrid w:val="0"/>
      </w:pPr>
      <w:r>
        <w:t>本研究以四层介质薄膜为对象，利用传输矩阵法生成5,000组膜厚与41点反射光谱，固定划分4,000/500/500训练、验证和测试集。采用4–128–128–64–41线性输出MLP，按验证误差选择训练检查点，测试全谱RMSE为0.011375。训练样本由500增至4,000时，测试RMSE由0.027351降至0.011375。对10,000组新候选进行代理筛选和TMM复核，有限池内R(700 nm)最小值为0.000204166、最大值为0.657000。低误差预测仍可能改变候选排名，最终设计应以TMM为准。</w:t>
      </w:r>
    </w:p>
    <w:p>
      <w:pPr>
        <w:snapToGrid w:val="0"/>
      </w:pPr>
      <w:r>
        <w:t>Keywords: optical thin films; transfer matrix method; multilayer perceptron; surrogate model; AI for Science</w:t>
      </w:r>
    </w:p>
    <w:p>
      <w:pPr>
        <w:pStyle w:val="1"/>
        <w:snapToGrid w:val="0"/>
      </w:pPr>
      <w:r>
        <w:t>1. Introduction</w:t>
      </w:r>
    </w:p>
    <w:p>
      <w:pPr>
        <w:snapToGrid w:val="0"/>
      </w:pPr>
      <w:r>
        <w:t>多层介质薄膜利用界面反射与相干干涉调控光谱，是减反膜和高反射膜的重要基础。材料折射率、层序与膜厚共同决定反射响应，传输矩阵法（TMM）能够直接建立结构到光谱的物理映射[1,2]。传统薄膜设计可借助针式优化和遗传算法寻找目标结构[3,4]。</w:t>
      </w:r>
    </w:p>
    <w:p>
      <w:pPr>
        <w:snapToGrid w:val="0"/>
      </w:pPr>
      <w:r>
        <w:t>机器学习代理模型通过样本学习结构与光谱的非线性关系，为批量预测和候选筛选提供另一种途径[5–8]。本研究依次回答三个问题：MLP能否准确预测41点反射光谱；训练样本增加后误差如何变化；代理模型能否帮助筛选700 nm目标膜系。研究采用统一的四层结构，并对筛选候选进行TMM验证。</w:t>
      </w:r>
    </w:p>
    <w:p>
      <w:pPr>
        <w:pStyle w:val="1"/>
        <w:snapToGrid w:val="0"/>
      </w:pPr>
      <w:r>
        <w:t>2. Materials and Methods</w:t>
      </w:r>
    </w:p>
    <w:p>
      <w:pPr>
        <w:pStyle w:val="21"/>
        <w:snapToGrid w:val="0"/>
      </w:pPr>
      <w:r>
        <w:t>2.1 Optical model and transfer matrix method</w:t>
      </w:r>
    </w:p>
    <w:p>
      <w:pPr>
        <w:snapToGrid w:val="0"/>
      </w:pPr>
      <w:r>
        <w:t>研究对象为正入射、无吸收且忽略色散的Air/H/L/H/L/Glass膜系。n0=1.00、nH=2.30、nL=1.45、ns=1.52；四层膜厚均为40–180 nm。第j层相位厚度及特征矩阵为[1,2]：</w:t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1371600" cy="2821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_ph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8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017520" cy="4732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473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</w:pPr>
      <w:r>
        <w:t>按入射侧至基底侧连乘M=M1M2M3M4，记四个矩阵元素为A、B、C、D，振幅反射系数及功率反射率为：</w:t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297680" cy="420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_refl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</w:pPr>
      <w:r>
        <w:br w:type="page"/>
      </w:r>
    </w:p>
    <w:p>
      <w:pPr>
        <w:pStyle w:val="21"/>
        <w:snapToGrid w:val="0"/>
      </w:pPr>
      <w:r>
        <w:t>2.2 Personal parameters and fixed dataset</w:t>
      </w:r>
    </w:p>
    <w:p>
      <w:pPr>
        <w:snapToGrid w:val="0"/>
      </w:pPr>
      <w:r>
        <w:t>本研究采用N=56，由λtarget=450+10×(N mod 31)得到700 nm；基准seed=270256，design_seed=seed+1=270257。数据生成与划分使用显式设种的np.random.default_rng；模型初始化使用torch.manual_seed，批次打乱使用同种子的torch.Generator。</w:t>
      </w:r>
    </w:p>
    <w:p>
      <w:pPr>
        <w:snapToGrid w:val="0"/>
      </w:pPr>
      <w:r>
        <w:t>以seed均匀独立生成5,000组四层膜厚，在400–800 nm、每10 nm一个点的41点网格上计算TMM反射率。一次固定随机排列形成4,000/500/500划分。数据、光谱和划分共同保存于data/thinfilm_dataset.npz，后续实验始终使用相同的验证和测试集。</w:t>
      </w:r>
    </w:p>
    <w:p>
      <w:pPr>
        <w:pStyle w:val="21"/>
        <w:snapToGrid w:val="0"/>
      </w:pPr>
      <w:r>
        <w:t>2.3 MLP and training-size experiment</w:t>
      </w:r>
    </w:p>
    <w:p>
      <w:pPr>
        <w:snapToGrid w:val="0"/>
      </w:pPr>
      <w:r>
        <w:t>MLP结构为4–128–128–64–41，隐藏层使用ReLU，输出层为Linear。膜厚按(d−40)/140缩放至[0,1]，反射率保持原数值尺度。训练使用CPU、Adam、学习率0.001、MSE损失和128批大小；最多2,500轮，验证MSE改善阈值为10⁻⁸，连续100轮未改善时早停并恢复最佳权重。测试集仅在检查点选择后评估。</w:t>
      </w:r>
    </w:p>
    <w:p>
      <w:pPr>
        <w:snapToGrid w:val="0"/>
      </w:pPr>
      <w:r>
        <w:t>从同一4,000组训练池中依次取前500、1,000、2,000和4,000组形成嵌套前缀，其他训练设置保持一致。本文报告已保存的线性输出实验；检查点、训练历史和测试指标对应同一固定划分。</w:t>
      </w:r>
    </w:p>
    <w:p>
      <w:pPr>
        <w:pStyle w:val="21"/>
        <w:snapToGrid w:val="0"/>
      </w:pPr>
      <w:r>
        <w:t>2.4 MLP-assisted screening and TMM verification</w:t>
      </w:r>
    </w:p>
    <w:p>
      <w:pPr>
        <w:snapToGrid w:val="0"/>
      </w:pPr>
      <w:r>
        <w:t>用design_seed生成10,000组新候选，按MLP预测的R(700 nm)分别形成最小化和最大化Top 10；以TMM重算这两个短名单，得到各自Top 5。另对同一10,000组候选的全光谱进行TMM复核，用于评估短名单与全池排名差异。全池极值仅指有限随机池，不能推断连续膜厚空间的全局最优。</w:t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029200" cy="33740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workflow_and_tm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74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00"/>
        <w:ind w:firstLine="0"/>
        <w:jc w:val="center"/>
        <w:snapToGrid w:val="0"/>
      </w:pPr>
      <w:r>
        <w:rPr>
          <w:sz w:val="18"/>
        </w:rPr>
        <w:t>Figure 1. (a) Optical stack and TMM data generation; (b) Linear MLP architecture; (c) validation MSE versus training size; (d) main-model loss histories. All panels use the published Linear artifacts.</w:t>
      </w:r>
    </w:p>
    <w:p>
      <w:pPr>
        <w:snapToGrid w:val="0"/>
      </w:pPr>
      <w:r>
        <w:br w:type="page"/>
      </w:r>
    </w:p>
    <w:p>
      <w:pPr>
        <w:pStyle w:val="1"/>
        <w:snapToGrid w:val="0"/>
      </w:pPr>
      <w:r>
        <w:t>3. Results</w:t>
      </w:r>
    </w:p>
    <w:p>
      <w:pPr>
        <w:pStyle w:val="21"/>
        <w:snapToGrid w:val="0"/>
      </w:pPr>
      <w:r>
        <w:t>3.1 Training and held-out prediction</w:t>
      </w:r>
    </w:p>
    <w:p>
      <w:pPr>
        <w:snapToGrid w:val="0"/>
      </w:pPr>
      <w:r>
        <w:t>4,000样本模型在第1,538轮取得最佳验证MSE=0.000165209，训练至第1,638轮后停止。测试集全谱MSE=0.000129391、RMSE=0.0113750、MAE=0.00829062、R²=0.996053。Figure 3a给出固定测试集前三个样本（全局行3758、4346、4153）的光谱对比；主谱峰及谷的位置与TMM结果接近。</w:t>
      </w:r>
    </w:p>
    <w:p>
      <w:pPr>
        <w:pStyle w:val="21"/>
        <w:snapToGrid w:val="0"/>
      </w:pPr>
      <w:r>
        <w:t>3.2 Candidate pool and surrogate ranking</w:t>
      </w:r>
    </w:p>
    <w:p>
      <w:pPr>
        <w:snapToGrid w:val="0"/>
      </w:pPr>
      <w:r>
        <w:t>候选池700 nm预测值为−0.0262941至0.6682479，其中41个（0.41%）越出[0,1]。这些预测可用于代理排序，但不构成物理反射率。全池TMM最低值为0.00020416604（候选3405），最高值为0.65699974（候选2256），其预测与真实光谱见Figure 2a。</w:t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623560" cy="52971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prediction_and_desig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2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00"/>
        <w:ind w:firstLine="0"/>
        <w:jc w:val="center"/>
        <w:snapToGrid w:val="0"/>
      </w:pPr>
      <w:r>
        <w:rPr>
          <w:sz w:val="18"/>
        </w:rPr>
        <w:t>Figure 2. (a) Linear predictions against full-pool TMM values and spectra of the pool extrema; (b) TMM verification of each MLP Top-10 shortlist and its best verified spectrum. Shortlist ranks and full-pool ranks are distinct.</w:t>
      </w:r>
    </w:p>
    <w:p>
      <w:pPr>
        <w:snapToGrid w:val="0"/>
      </w:pPr>
      <w:r>
        <w:br w:type="page"/>
      </w:r>
    </w:p>
    <w:p>
      <w:pPr>
        <w:pStyle w:val="21"/>
        <w:snapToGrid w:val="0"/>
      </w:pPr>
      <w:r>
        <w:t>3.3 Effect of training-set size</w:t>
      </w:r>
    </w:p>
    <w:p>
      <w:pPr>
        <w:snapToGrid w:val="0"/>
      </w:pPr>
      <w:r>
        <w:t>500、1,000、2,000和4,000组训练的测试RMSE分别为0.027351、0.019207、0.012742和0.011375（Figure 3d）。样本量从500增至4,000时误差下降约58.41%，后期增益减小。500和2,000组达到2,500轮上限；这说明有限预算下误差改善，但不能断言各规模均已充分收敛。</w:t>
      </w:r>
    </w:p>
    <w:p>
      <w:pPr>
        <w:spacing w:after="40"/>
        <w:ind w:firstLine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623560" cy="52971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training_and_fail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2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00"/>
        <w:ind w:firstLine="0"/>
        <w:jc w:val="center"/>
        <w:snapToGrid w:val="0"/>
      </w:pPr>
      <w:r>
        <w:rPr>
          <w:sz w:val="18"/>
        </w:rPr>
        <w:t>Figure 3. (a1–a3) First three fixed-test spectra; (b) highest-RMSE held-out case and its absolute error; (c) training/validation MSE; (d) test RMSE versus training size. The failure case is test item 313, global row 3477, selected by 41-point RMSE.</w:t>
      </w:r>
    </w:p>
    <w:p>
      <w:pPr>
        <w:pStyle w:val="21"/>
        <w:snapToGrid w:val="0"/>
      </w:pPr>
      <w:r>
        <w:t>3.4 Representative failure case</w:t>
      </w:r>
    </w:p>
    <w:p>
      <w:pPr>
        <w:snapToGrid w:val="0"/>
      </w:pPr>
      <w:r>
        <w:t>固定测试集中最大全谱RMSE来自第313个样本（test_indices[312]，全局行3477）：RMSE=0.0295357、MAE=0.0186762。420 nm处TMM=0.2366349、预测=0.1465764，绝对误差0.0900585。它是测试集高误差案例，不是设计候选；本文未设定数值失败阈值。</w:t>
      </w:r>
    </w:p>
    <w:p>
      <w:pPr>
        <w:snapToGrid w:val="0"/>
      </w:pPr>
      <w:r>
        <w:br w:type="page"/>
      </w:r>
    </w:p>
    <w:p>
      <w:pPr>
        <w:pStyle w:val="21"/>
        <w:snapToGrid w:val="0"/>
      </w:pPr>
      <w:r>
        <w:t>3.5 TMM-verified final shortlists</w:t>
      </w:r>
    </w:p>
    <w:p>
      <w:pPr>
        <w:snapToGrid w:val="0"/>
      </w:pPr>
      <w:r>
        <w:t>Table 1按TMM真实反射率给出每个MLP Top-10短名单内的Top 5。最小化短名单最优为候选7207，R(700 nm)=0.001913；最大化短名单最优为候选2256，R=0.657000。全池TMM Top 5与MLP Top 10的重合数分别为0/5和3/5，最大化方向重合候选为2256、4011、7220。</w:t>
      </w:r>
    </w:p>
    <w:p>
      <w:pPr>
        <w:spacing w:line="240" w:lineRule="auto" w:after="100"/>
        <w:ind w:firstLine="0"/>
        <w:jc w:val="center"/>
        <w:snapToGrid w:val="0"/>
      </w:pPr>
      <w:r>
        <w:rPr>
          <w:sz w:val="18"/>
        </w:rPr>
        <w:t>Table 1. Top five TMM-verified designs within each MLP Top-10 shortlist. IDs are zero-based candidate indices; ranks apply within the shortlist. Thicknesses are rounded to 0.1 nm for display.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1440"/>
        <w:gridCol w:w="648"/>
        <w:gridCol w:w="864"/>
        <w:gridCol w:w="4176"/>
        <w:gridCol w:w="1584"/>
      </w:tblGrid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Four-layer thickness (nm)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b/>
                <w:sz w:val="18"/>
              </w:rPr>
              <w:t>TMM R(700 nm)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Minimize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1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7207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(162.5, 44.8, 134.5, 57.8)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0.001913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Minimize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2898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(161.3, 55.9, 126.9, 66.7)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0.002115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Minimize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3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531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(159.4, 62.6, 128.4, 53.3)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0.002221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Minimize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4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3612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(163.8, 47.1, 129.5, 105.0)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0.003081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Minimize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5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5085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(164.0, 40.4, 122.2, 108.5)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0.003327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Maximize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1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2256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(72.4, 129.6, 75.5, 117.7)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0.657000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Maximize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4011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(71.5, 120.7, 81.0, 115.2)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0.656284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Maximize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3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7220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(73.0, 113.8, 78.0, 138.8)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0.654467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Maximize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4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39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(69.4, 133.4, 73.8, 109.5)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0.654322</w:t>
            </w:r>
          </w:p>
        </w:tc>
      </w:tr>
      <w:tr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Maximize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5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5660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(79.6, 116.3, 73.3, 151.0)</w:t>
            </w:r>
          </w:p>
        </w:tc>
        <w:tc>
          <w:tcPr>
            <w:tcW w:type="dxa" w:w="2033"/>
          </w:tcPr>
          <w:p>
            <w:pPr>
              <w:spacing w:line="252" w:lineRule="auto" w:after="60" w:before="60"/>
              <w:ind w:firstLine="0"/>
              <w:jc w:val="center"/>
              <w:snapToGrid w:val="0"/>
            </w:pPr>
            <w:r>
              <w:rPr>
                <w:sz w:val="18"/>
              </w:rPr>
              <w:t>0.654308</w:t>
            </w:r>
          </w:p>
        </w:tc>
      </w:tr>
    </w:tbl>
    <w:p>
      <w:pPr>
        <w:pStyle w:val="1"/>
        <w:snapToGrid w:val="0"/>
      </w:pPr>
      <w:r>
        <w:t>4. Discussion</w:t>
      </w:r>
    </w:p>
    <w:p>
      <w:pPr>
        <w:snapToGrid w:val="0"/>
      </w:pPr>
      <w:r>
        <w:t>Q1：在给定物理假设和固定测试集上，MLP能够近似四层膜厚到光谱的映射，全谱RMSE约为0.0114。然而平均误差无法保证每个谱谷都准确，测试高误差案例在420 nm处存在约0.0901的偏差。对局部快速变化光谱的不足是可能解释，仍需更广泛实验验证。</w:t>
      </w:r>
    </w:p>
    <w:p>
      <w:pPr>
        <w:snapToGrid w:val="0"/>
      </w:pPr>
      <w:r>
        <w:t>Q2：增加训练样本可降低本次固定划分上的预测误差，但误差下降幅度逐渐减小，且小样本实验受训练轮数上限影响。该结果支持扩大数据覆盖的价值，尚不能推广至不同材料、层数或随机划分。</w:t>
      </w:r>
    </w:p>
    <w:p>
      <w:pPr>
        <w:snapToGrid w:val="0"/>
      </w:pPr>
      <w:r>
        <w:t>Q3：MLP可以批量产生候选排名，帮助定位需物理复核的结构。最大化短名单保留了全池最优候选，最小化短名单则遗漏全池Top 5。即使全谱平均误差较低，近零反射率候选的排序仍可能受影响，最终膜系应依据TMM确认。本文没有进行相同硬件上的速度基准测试，不给出加速倍数。</w:t>
      </w:r>
    </w:p>
    <w:p>
      <w:pPr>
        <w:pStyle w:val="21"/>
        <w:snapToGrid w:val="0"/>
      </w:pPr>
      <w:r>
        <w:t>4.1 Limitations</w:t>
      </w:r>
    </w:p>
    <w:p>
      <w:pPr>
        <w:snapToGrid w:val="0"/>
      </w:pPr>
      <w:r>
        <w:t>研究只考虑固定实数折射率、无吸收、正入射的TMM合成数据；不含色散、偏振、实验噪声和制造误差。仅使用一个固定数据划分和有限训练预算。候选池极值属于离散随机样本，不代表连续设计空间全局最优；线性输出的越界结果也表明需保留物理验证步骤。</w:t>
      </w:r>
    </w:p>
    <w:p>
      <w:pPr>
        <w:snapToGrid w:val="0"/>
      </w:pPr>
      <w:r>
        <w:br w:type="page"/>
      </w:r>
    </w:p>
    <w:p>
      <w:pPr>
        <w:pStyle w:val="1"/>
        <w:snapToGrid w:val="0"/>
      </w:pPr>
      <w:r>
        <w:t>5. Conclusions</w:t>
      </w:r>
    </w:p>
    <w:p>
      <w:pPr>
        <w:snapToGrid w:val="0"/>
      </w:pPr>
      <w:r>
        <w:t>本研究完成了TMM数据生成、MLP光谱预测、训练规模实验和候选设计验证。4,000组训练的测试RMSE为0.011375，较500组下降约58.41%。MLP能辅助筛选，但低反射率短名单遗漏全池Top 5；全池R(700 nm)极值为0.000204166和0.657000。增加样本改善本次预测表现，最终设计仍需TMM验证。</w:t>
      </w:r>
    </w:p>
    <w:p>
      <w:pPr>
        <w:pStyle w:val="1"/>
        <w:snapToGrid w:val="0"/>
      </w:pPr>
      <w:r>
        <w:t>Data and Code Availability</w:t>
      </w:r>
    </w:p>
    <w:p>
      <w:pPr>
        <w:snapToGrid w:val="0"/>
      </w:pPr>
      <w:r>
        <w:t>All source code, the fixed TMM dataset, published Linear checkpoint, loss histories, candidate spectra, ranked design tables and final article are available in the public repository:</w:t>
      </w:r>
    </w:p>
    <w:p>
      <w:pPr>
        <w:ind w:firstLine="0"/>
        <w:snapToGrid w:val="0"/>
      </w:pPr>
      <w:r>
        <w:t>https://github.com/xiong1971511-maker/ai4s-thinfilm-project</w:t>
      </w:r>
    </w:p>
    <w:p>
      <w:pPr>
        <w:snapToGrid w:val="0"/>
      </w:pPr>
      <w:r>
        <w:t>The README reports target=700 nm, seed=270256 and design_seed=270257, with commands for data generation, training, screening, verification and figure reproduction. The dataset is data/thinfilm_dataset.npz; the main checkpoint is models_convergence_linear/mlp_train_4000.pt. Training and design results are in outputs_convergence_linear/. Figure sources and their manifest are in paper/figures/. The held-out case is provided as paper/heldout_test_case_row_3477_spectra.csv.</w:t>
      </w:r>
    </w:p>
    <w:p>
      <w:pPr>
        <w:snapToGrid w:val="0"/>
      </w:pPr>
      <w:r>
        <w:t>Published numerical results can be verified using scripts/verify_submission.py and all three figures regenerated using scripts/make_submission_figures.py. Training from scratch uses the recorded settings; floating-point differences across operating systems and Python versions can change optimization trajectories. The repository should remain accessible throughout the semester.</w:t>
      </w:r>
    </w:p>
    <w:p>
      <w:pPr>
        <w:pStyle w:val="1"/>
        <w:snapToGrid w:val="0"/>
      </w:pPr>
      <w:r>
        <w:t>References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1. MacLeod, H. A. Thin-Film Optical Filters, 4th ed. Boca Raton, FL: CRC Press, 2010. doi:10.1201/9781420073034.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2. Byrnes, S. J. “Multilayer optical calculations.” arXiv, arXiv:1603.02720 (2016). doi:10.48550/arXiv.1603.02720.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3. Tikhonravov, A. V., Trubetskov, M. K., &amp; DeBell, G. W. “Application of the needle optimization technique to the design of optical coatings.” Applied Optics, 35(28), 5493–5508 (1996). doi:10.1364/AO.35.005493.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4. Schubert, M. F., Mont, F. W., Chhajed, S., Poxson, D. J., Kim, J. K., &amp; Schubert, E. F. “Design of multilayer antireflection coatings made from co-sputtered and low-refractive-index materials by genetic algorithm.” Optics Express, 16(8), 5290–5298 (2008). doi:10.1364/OE.16.005290.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5. Liu, Z., Zhu, D., Raju, L., &amp; Cai, W. “Tackling photonic inverse design with machine learning.” Advanced Science, 8(5), 2002923 (2021). doi:10.1002/advs.202002923.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6. Unni, R., Yao, K., Han, X., Zhou, M., &amp; Zheng, Y. “A mixture-density-based tandem optimization network for on-demand inverse design of thin-film high reflectors.” Nanophotonics, 10(16), 4057–4065 (2021). doi:10.1515/nanoph-2021-0392.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7. Ma, T., Tobah, M., Wang, H., &amp; Guo, L. J. “Benchmarking deep learning-based models on nanophotonic inverse design problems.” Opto-Electronic Science, 1(1), 210012 (2022). doi:10.29026/oes.2022.210012.</w:t>
      </w:r>
    </w:p>
    <w:p>
      <w:pPr>
        <w:spacing w:line="252" w:lineRule="auto" w:after="100"/>
        <w:ind w:hanging="260" w:left="260"/>
        <w:snapToGrid w:val="0"/>
      </w:pPr>
      <w:r>
        <w:rPr>
          <w:sz w:val="19"/>
        </w:rPr>
        <w:t>8. Ma, T., Ma, M., &amp; Guo, L. J. “Optical multilayer thin film structure inverse design: From optimization to deep learning.” iScience, 28(4), 112222 (2025). doi:10.1016/j.isci.2025.112222.</w:t>
      </w:r>
    </w:p>
    <w:sectPr w:rsidR="00FA6E5F" w:rsidSect="00034616">
      <w:headerReference w:type="default" r:id="rId11"/>
      <w:footerReference w:type="default" r:id="rId12"/>
      <w:pgSz w:w="12240" w:h="15840"/>
      <w:pgMar w:top="893" w:right="1037" w:bottom="893" w:left="103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ind w:firstLine="0"/>
      <w:jc w:val="center"/>
    </w:pPr>
    <w:r>
      <w:rPr>
        <w:color w:val="777777"/>
        <w:sz w:val="16"/>
      </w:rPr>
      <w:t xml:space="preserve">AI4S Thin-Film Research Article  |  </w:t>
    </w:r>
    <w:fldSimple w:instr="PAGE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ind w:firstLine="0"/>
      <w:jc w:val="right"/>
      <w:rPr>
        <w:lang w:eastAsia="zh-CN"/>
      </w:rPr>
    </w:pPr>
    <w:r>
      <w:rPr>
        <w:color w:val="777777"/>
        <w:sz w:val="16"/>
      </w:rPr>
      <w:t>薄膜技术 · AI4S 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9" w:lineRule="auto"/>
      <w:ind w:firstLine="420"/>
      <w:jc w:val="both"/>
    </w:pPr>
    <w:rPr>
      <w:rFonts w:ascii="Times New Roman" w:eastAsia="Noto Serif CJK SC" w:hAnsi="Times New Roman"/>
      <w:color w:val="111111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Noto Serif CJK SC"/>
      <w:b/>
      <w:bCs/>
      <w:color w:val="235789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Noto Serif CJK SC"/>
      <w:b/>
      <w:bCs/>
      <w:color w:val="235789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Noto Serif CJK SC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Noto Serif CJK SC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Noto Serif CJK SC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Noto Serif CJK SC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Noto Serif CJK SC"/>
    </w:r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Noto Serif CJK SC"/>
    </w:r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Noto Serif CJK SC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Noto Serif CJK SC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 w:ascii="Times New Roman" w:hAnsi="Times New Roman" w:eastAsia="Noto Serif CJK SC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rFonts w:ascii="Times New Roman" w:hAnsi="Times New Roman" w:eastAsia="Noto Serif CJK SC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  <w:rPr>
      <w:rFonts w:ascii="Times New Roman" w:hAnsi="Times New Roman" w:eastAsia="Noto Serif CJK SC"/>
    </w:r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ascii="Times New Roman" w:hAnsi="Times New Roman" w:eastAsia="Noto Serif CJK SC"/>
    </w:r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rFonts w:ascii="Times New Roman" w:hAnsi="Times New Roman" w:eastAsia="Noto Serif CJK SC"/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Noto Serif CJK SC"/>
    </w:r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Noto Serif CJK SC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Noto Serif CJK SC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Noto Serif CJK SC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Noto Serif CJK SC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Noto Serif CJK SC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Noto Serif CJK SC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Noto Serif CJK SC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Noto Serif CJK SC"/>
    </w:r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Noto Serif CJK SC"/>
    </w:r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Noto Serif CJK SC"/>
    </w:r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Noto Serif CJK SC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Noto Serif CJK SC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rFonts w:ascii="Times New Roman" w:hAnsi="Times New Roman" w:eastAsia="Noto Serif CJK SC"/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Noto Serif CJK SC"/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Noto Serif CJK SC"/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Times New Roman" w:hAnsi="Times New Roman" w:eastAsia="Noto Serif CJK SC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基于多层感知机的多层介质薄膜光谱预测与辅助设计</dc:title>
  <dc:subject/>
  <dc:creator>AI4S Thin-Film Study</dc:creator>
  <cp:keywords/>
  <dc:description/>
  <cp:lastModifiedBy/>
  <cp:revision>2</cp:revision>
  <dcterms:created xsi:type="dcterms:W3CDTF">2013-12-23T23:15:00Z</dcterms:created>
  <dcterms:modified xsi:type="dcterms:W3CDTF">2026-09-27T04:28:00Z</dcterms:modified>
  <cp:category/>
</cp:coreProperties>
</file>