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1277A82">
      <w:pPr>
        <w:spacing w:line="240" w:lineRule="auto"/>
        <w:ind w:firstLine="480"/>
        <w:jc w:val="center"/>
        <w:rPr>
          <w:rFonts w:eastAsia="黑体"/>
          <w:sz w:val="52"/>
        </w:rPr>
      </w:pPr>
      <w:bookmarkStart w:id="0" w:name="_Toc24121186"/>
      <w:r>
        <w:drawing>
          <wp:inline distT="0" distB="0" distL="114300" distR="114300">
            <wp:extent cx="3724910" cy="1084580"/>
            <wp:effectExtent l="0" t="0" r="0" b="1270"/>
            <wp:docPr id="8" name="图片 4" descr="校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descr="校名"/>
                    <pic:cNvPicPr>
                      <a:picLocks noChangeAspect="1"/>
                    </pic:cNvPicPr>
                  </pic:nvPicPr>
                  <pic:blipFill>
                    <a:blip r:embed="rId17">
                      <a:clrChange>
                        <a:clrFrom>
                          <a:srgbClr val="FFFFFD"/>
                        </a:clrFrom>
                        <a:clrTo>
                          <a:srgbClr val="FFFFFD">
                            <a:alpha val="0"/>
                          </a:srgbClr>
                        </a:clrTo>
                      </a:clrChange>
                      <a:lum contrast="100000"/>
                    </a:blip>
                    <a:srcRect t="6021" b="48166"/>
                    <a:stretch>
                      <a:fillRect/>
                    </a:stretch>
                  </pic:blipFill>
                  <pic:spPr>
                    <a:xfrm>
                      <a:off x="0" y="0"/>
                      <a:ext cx="3724910" cy="1084580"/>
                    </a:xfrm>
                    <a:prstGeom prst="rect">
                      <a:avLst/>
                    </a:prstGeom>
                    <a:noFill/>
                    <a:ln>
                      <a:noFill/>
                    </a:ln>
                  </pic:spPr>
                </pic:pic>
              </a:graphicData>
            </a:graphic>
          </wp:inline>
        </w:drawing>
      </w:r>
    </w:p>
    <w:p w14:paraId="42E0658F">
      <w:pPr>
        <w:spacing w:line="240" w:lineRule="auto"/>
        <w:ind w:firstLine="1040"/>
        <w:jc w:val="center"/>
        <w:rPr>
          <w:rFonts w:eastAsia="黑体"/>
          <w:sz w:val="52"/>
          <w:szCs w:val="52"/>
        </w:rPr>
      </w:pPr>
    </w:p>
    <w:p w14:paraId="338582A5">
      <w:pPr>
        <w:spacing w:line="240" w:lineRule="auto"/>
        <w:ind w:firstLine="0" w:firstLineChars="0"/>
        <w:jc w:val="center"/>
        <w:rPr>
          <w:rFonts w:eastAsia="黑体" w:cs="Times New Roman"/>
          <w:b/>
          <w:sz w:val="52"/>
          <w:szCs w:val="24"/>
        </w:rPr>
      </w:pPr>
      <w:r>
        <w:rPr>
          <w:rFonts w:hint="eastAsia" w:eastAsia="黑体" w:cs="Times New Roman"/>
          <w:b/>
          <w:sz w:val="52"/>
          <w:szCs w:val="24"/>
        </w:rPr>
        <w:t>本 科 毕 业 设 计（论文）</w:t>
      </w:r>
    </w:p>
    <w:p w14:paraId="3D25755C">
      <w:pPr>
        <w:spacing w:line="240" w:lineRule="auto"/>
        <w:ind w:firstLine="0" w:firstLineChars="0"/>
        <w:jc w:val="center"/>
        <w:rPr>
          <w:rFonts w:ascii="黑体" w:hAnsi="黑体" w:eastAsia="黑体" w:cs="黑体"/>
          <w:sz w:val="52"/>
          <w:szCs w:val="52"/>
        </w:rPr>
      </w:pPr>
    </w:p>
    <w:p w14:paraId="29876E41">
      <w:pPr>
        <w:spacing w:line="240" w:lineRule="auto"/>
        <w:ind w:firstLine="0" w:firstLineChars="0"/>
        <w:jc w:val="center"/>
        <w:rPr>
          <w:rFonts w:cs="Times New Roman"/>
          <w:sz w:val="52"/>
          <w:szCs w:val="24"/>
        </w:rPr>
      </w:pPr>
      <w:r>
        <w:rPr>
          <w:rFonts w:cs="Times New Roman"/>
          <w:sz w:val="21"/>
          <w:szCs w:val="24"/>
        </w:rPr>
        <w:drawing>
          <wp:inline distT="0" distB="0" distL="114300" distR="114300">
            <wp:extent cx="1410335" cy="1379220"/>
            <wp:effectExtent l="0" t="0" r="12065" b="17780"/>
            <wp:docPr id="10" name="图片 6" descr="校徽"/>
            <wp:cNvGraphicFramePr/>
            <a:graphic xmlns:a="http://schemas.openxmlformats.org/drawingml/2006/main">
              <a:graphicData uri="http://schemas.openxmlformats.org/drawingml/2006/picture">
                <pic:pic xmlns:pic="http://schemas.openxmlformats.org/drawingml/2006/picture">
                  <pic:nvPicPr>
                    <pic:cNvPr id="10" name="图片 6" descr="校徽"/>
                    <pic:cNvPicPr/>
                  </pic:nvPicPr>
                  <pic:blipFill>
                    <a:blip r:embed="rId18"/>
                    <a:stretch>
                      <a:fillRect/>
                    </a:stretch>
                  </pic:blipFill>
                  <pic:spPr>
                    <a:xfrm>
                      <a:off x="0" y="0"/>
                      <a:ext cx="1410335" cy="1379220"/>
                    </a:xfrm>
                    <a:prstGeom prst="rect">
                      <a:avLst/>
                    </a:prstGeom>
                    <a:noFill/>
                    <a:ln>
                      <a:noFill/>
                    </a:ln>
                  </pic:spPr>
                </pic:pic>
              </a:graphicData>
            </a:graphic>
          </wp:inline>
        </w:drawing>
      </w:r>
      <w:bookmarkStart w:id="131" w:name="_GoBack"/>
      <w:bookmarkEnd w:id="131"/>
    </w:p>
    <w:p w14:paraId="79E2A770">
      <w:pPr>
        <w:spacing w:line="240" w:lineRule="auto"/>
        <w:ind w:firstLine="0" w:firstLineChars="0"/>
        <w:rPr>
          <w:rFonts w:ascii="黑体" w:hAnsi="黑体" w:eastAsia="黑体" w:cs="黑体"/>
          <w:bCs/>
          <w:sz w:val="52"/>
          <w:szCs w:val="52"/>
        </w:rPr>
      </w:pPr>
    </w:p>
    <w:p w14:paraId="021AABD3">
      <w:pPr>
        <w:spacing w:line="240" w:lineRule="auto"/>
        <w:ind w:firstLine="1281" w:firstLineChars="400"/>
        <w:rPr>
          <w:rFonts w:ascii="黑体" w:eastAsia="黑体" w:cs="Times New Roman"/>
          <w:b/>
          <w:sz w:val="32"/>
          <w:szCs w:val="21"/>
          <w:u w:val="single"/>
        </w:rPr>
      </w:pPr>
      <w:r>
        <w:rPr>
          <w:rFonts w:hint="eastAsia" w:ascii="黑体" w:eastAsia="黑体" w:cs="Times New Roman"/>
          <w:b/>
          <w:sz w:val="32"/>
          <w:szCs w:val="21"/>
        </w:rPr>
        <w:t xml:space="preserve">题目: </w:t>
      </w:r>
      <w:r>
        <w:rPr>
          <w:rFonts w:hint="eastAsia" w:ascii="黑体" w:eastAsia="黑体" w:cs="Times New Roman"/>
          <w:b/>
          <w:sz w:val="32"/>
          <w:szCs w:val="21"/>
          <w:u w:val="single"/>
        </w:rPr>
        <w:t>基于大模型提示注入的攻击与防御技术研究</w:t>
      </w:r>
    </w:p>
    <w:p w14:paraId="77D953F1">
      <w:pPr>
        <w:spacing w:line="240" w:lineRule="auto"/>
        <w:ind w:firstLine="1281" w:firstLineChars="400"/>
        <w:rPr>
          <w:rFonts w:ascii="黑体" w:eastAsia="黑体" w:cs="Times New Roman"/>
          <w:b/>
          <w:sz w:val="32"/>
          <w:szCs w:val="32"/>
        </w:rPr>
      </w:pPr>
    </w:p>
    <w:p w14:paraId="40AC06C4">
      <w:pPr>
        <w:spacing w:line="240" w:lineRule="auto"/>
        <w:ind w:firstLine="2547" w:firstLineChars="795"/>
        <w:rPr>
          <w:rFonts w:ascii="黑体" w:hAnsi="黑体" w:eastAsia="黑体" w:cs="黑体"/>
          <w:b/>
          <w:bCs/>
          <w:sz w:val="32"/>
          <w:szCs w:val="24"/>
        </w:rPr>
      </w:pPr>
    </w:p>
    <w:p w14:paraId="67B6D4A6">
      <w:pPr>
        <w:ind w:firstLine="2864" w:firstLineChars="894"/>
        <w:rPr>
          <w:rFonts w:cs="宋体"/>
          <w:b/>
          <w:bCs/>
          <w:sz w:val="32"/>
          <w:szCs w:val="32"/>
          <w:u w:val="single"/>
        </w:rPr>
      </w:pPr>
      <w:r>
        <w:rPr>
          <w:rFonts w:hint="eastAsia" w:cs="宋体"/>
          <w:b/>
          <w:bCs/>
          <w:sz w:val="32"/>
          <w:szCs w:val="32"/>
        </w:rPr>
        <w:t>姓    名</w:t>
      </w:r>
      <w:r>
        <w:rPr>
          <w:rFonts w:hint="eastAsia" w:cs="宋体"/>
          <w:b/>
          <w:bCs/>
          <w:sz w:val="32"/>
          <w:szCs w:val="32"/>
          <w:u w:val="single"/>
        </w:rPr>
        <w:t xml:space="preserve">      龚礼盛      </w:t>
      </w:r>
    </w:p>
    <w:p w14:paraId="14506157">
      <w:pPr>
        <w:ind w:firstLine="2864" w:firstLineChars="894"/>
        <w:rPr>
          <w:rFonts w:cs="宋体"/>
          <w:b/>
          <w:bCs/>
          <w:sz w:val="32"/>
          <w:szCs w:val="32"/>
        </w:rPr>
      </w:pPr>
      <w:r>
        <w:rPr>
          <w:rFonts w:hint="eastAsia" w:cs="宋体"/>
          <w:b/>
          <w:bCs/>
          <w:sz w:val="32"/>
          <w:szCs w:val="32"/>
        </w:rPr>
        <w:t>学    院</w:t>
      </w:r>
      <w:r>
        <w:rPr>
          <w:rFonts w:hint="eastAsia" w:ascii="宋体" w:hAnsi="宋体" w:cs="宋体"/>
          <w:b/>
          <w:bCs/>
          <w:sz w:val="32"/>
          <w:szCs w:val="32"/>
          <w:u w:val="thick"/>
        </w:rPr>
        <w:t xml:space="preserve">    人工智能学院  </w:t>
      </w:r>
    </w:p>
    <w:p w14:paraId="49B58565">
      <w:pPr>
        <w:ind w:firstLine="2864" w:firstLineChars="894"/>
        <w:rPr>
          <w:rFonts w:cs="宋体"/>
          <w:b/>
          <w:bCs/>
          <w:sz w:val="32"/>
          <w:szCs w:val="32"/>
        </w:rPr>
      </w:pPr>
      <w:r>
        <w:rPr>
          <w:rFonts w:hint="eastAsia" w:cs="宋体"/>
          <w:b/>
          <w:bCs/>
          <w:sz w:val="32"/>
          <w:szCs w:val="32"/>
        </w:rPr>
        <w:t>专    业</w:t>
      </w:r>
      <w:r>
        <w:rPr>
          <w:rFonts w:hint="eastAsia" w:cs="宋体"/>
          <w:b/>
          <w:bCs/>
          <w:sz w:val="32"/>
          <w:szCs w:val="32"/>
          <w:u w:val="single"/>
        </w:rPr>
        <w:t xml:space="preserve">     人工智能     </w:t>
      </w:r>
    </w:p>
    <w:p w14:paraId="71C59DB2">
      <w:pPr>
        <w:ind w:firstLine="2864" w:firstLineChars="894"/>
        <w:rPr>
          <w:rFonts w:cs="宋体"/>
          <w:b/>
          <w:bCs/>
          <w:sz w:val="32"/>
          <w:szCs w:val="32"/>
          <w:u w:val="single"/>
        </w:rPr>
      </w:pPr>
      <w:r>
        <w:rPr>
          <w:rFonts w:hint="eastAsia" w:cs="宋体"/>
          <w:b/>
          <w:bCs/>
          <w:sz w:val="32"/>
          <w:szCs w:val="32"/>
        </w:rPr>
        <w:t>班    级</w:t>
      </w:r>
      <w:r>
        <w:rPr>
          <w:rFonts w:hint="eastAsia" w:cs="宋体"/>
          <w:b/>
          <w:bCs/>
          <w:sz w:val="32"/>
          <w:szCs w:val="32"/>
          <w:u w:val="single"/>
        </w:rPr>
        <w:t xml:space="preserve">     2021219112   </w:t>
      </w:r>
    </w:p>
    <w:p w14:paraId="665114C0">
      <w:pPr>
        <w:ind w:firstLine="2864" w:firstLineChars="894"/>
        <w:rPr>
          <w:rFonts w:cs="宋体"/>
          <w:b/>
          <w:bCs/>
          <w:sz w:val="32"/>
          <w:szCs w:val="32"/>
        </w:rPr>
      </w:pPr>
      <w:r>
        <w:rPr>
          <w:rFonts w:hint="eastAsia" w:cs="宋体"/>
          <w:b/>
          <w:bCs/>
          <w:sz w:val="32"/>
          <w:szCs w:val="32"/>
        </w:rPr>
        <w:t>学    号</w:t>
      </w:r>
      <w:r>
        <w:rPr>
          <w:rFonts w:hint="eastAsia" w:cs="宋体"/>
          <w:b/>
          <w:bCs/>
          <w:sz w:val="32"/>
          <w:szCs w:val="32"/>
          <w:u w:val="single"/>
        </w:rPr>
        <w:t xml:space="preserve">     2021213523   </w:t>
      </w:r>
    </w:p>
    <w:p w14:paraId="7AB78433">
      <w:pPr>
        <w:ind w:firstLine="2864" w:firstLineChars="894"/>
        <w:rPr>
          <w:rFonts w:cs="宋体"/>
          <w:b/>
          <w:bCs/>
          <w:sz w:val="32"/>
          <w:szCs w:val="32"/>
          <w:u w:val="single"/>
        </w:rPr>
      </w:pPr>
      <w:r>
        <w:rPr>
          <w:rFonts w:hint="eastAsia" w:cs="宋体"/>
          <w:b/>
          <w:bCs/>
          <w:sz w:val="32"/>
          <w:szCs w:val="32"/>
        </w:rPr>
        <w:t>指导教师</w:t>
      </w:r>
      <w:r>
        <w:rPr>
          <w:rFonts w:hint="eastAsia" w:cs="宋体"/>
          <w:b/>
          <w:bCs/>
          <w:sz w:val="32"/>
          <w:szCs w:val="32"/>
          <w:u w:val="single"/>
        </w:rPr>
        <w:t xml:space="preserve">      赵志</w:t>
      </w:r>
      <w:r>
        <w:rPr>
          <w:rFonts w:hint="eastAsia" w:ascii="Cambria" w:hAnsi="Cambria" w:cs="Cambria"/>
          <w:b/>
          <w:bCs/>
          <w:sz w:val="32"/>
          <w:szCs w:val="32"/>
          <w:u w:val="single"/>
        </w:rPr>
        <w:t>诚</w:t>
      </w:r>
      <w:r>
        <w:rPr>
          <w:rFonts w:hint="eastAsia" w:cs="宋体"/>
          <w:b/>
          <w:bCs/>
          <w:sz w:val="32"/>
          <w:szCs w:val="32"/>
          <w:u w:val="single"/>
        </w:rPr>
        <w:t xml:space="preserve">      </w:t>
      </w:r>
    </w:p>
    <w:p w14:paraId="7AE970F6">
      <w:pPr>
        <w:spacing w:line="240" w:lineRule="auto"/>
        <w:ind w:firstLine="2864" w:firstLineChars="894"/>
        <w:rPr>
          <w:rFonts w:ascii="黑体" w:hAnsi="黑体" w:eastAsia="黑体" w:cs="黑体"/>
          <w:b/>
          <w:bCs/>
          <w:sz w:val="32"/>
          <w:szCs w:val="32"/>
        </w:rPr>
      </w:pPr>
    </w:p>
    <w:p w14:paraId="32FBCACE">
      <w:pPr>
        <w:pStyle w:val="2"/>
        <w:spacing w:before="240" w:after="240" w:line="360" w:lineRule="auto"/>
        <w:ind w:firstLine="653"/>
        <w:rPr>
          <w:b w:val="0"/>
          <w:szCs w:val="32"/>
        </w:rPr>
      </w:pPr>
      <w:bookmarkStart w:id="1" w:name="_Toc197274507"/>
      <w:r>
        <w:rPr>
          <w:rFonts w:ascii="宋体" w:hAnsi="宋体" w:eastAsia="宋体" w:cs="宋体"/>
          <w:bCs/>
          <w:szCs w:val="32"/>
        </w:rPr>
        <w:t>2025</w:t>
      </w:r>
      <w:r>
        <w:rPr>
          <w:rFonts w:hint="eastAsia" w:ascii="宋体" w:hAnsi="宋体" w:eastAsia="宋体" w:cs="宋体"/>
          <w:bCs/>
          <w:szCs w:val="32"/>
        </w:rPr>
        <w:t xml:space="preserve"> </w:t>
      </w:r>
      <w:bookmarkStart w:id="2" w:name="_Toc196337744"/>
      <w:bookmarkStart w:id="3" w:name="_Toc196336425"/>
      <w:bookmarkStart w:id="4" w:name="_Toc196934372"/>
      <w:bookmarkStart w:id="5" w:name="_Toc196683974"/>
      <w:r>
        <w:rPr>
          <w:rFonts w:hint="eastAsia" w:ascii="宋体" w:hAnsi="宋体" w:eastAsia="宋体" w:cs="宋体"/>
          <w:bCs/>
          <w:szCs w:val="32"/>
        </w:rPr>
        <w:t>年</w:t>
      </w:r>
      <w:r>
        <w:rPr>
          <w:rFonts w:hint="eastAsia" w:ascii="宋体" w:hAnsi="宋体" w:eastAsia="宋体" w:cs="宋体"/>
          <w:szCs w:val="32"/>
        </w:rPr>
        <w:t xml:space="preserve">  </w:t>
      </w:r>
      <w:r>
        <w:rPr>
          <w:rFonts w:ascii="宋体" w:hAnsi="宋体" w:eastAsia="宋体" w:cs="宋体"/>
          <w:szCs w:val="32"/>
        </w:rPr>
        <w:t>5</w:t>
      </w:r>
      <w:r>
        <w:rPr>
          <w:rFonts w:hint="eastAsia" w:ascii="宋体" w:hAnsi="宋体" w:eastAsia="宋体" w:cs="宋体"/>
          <w:bCs/>
          <w:szCs w:val="32"/>
        </w:rPr>
        <w:t xml:space="preserve">  月</w:t>
      </w:r>
      <w:bookmarkEnd w:id="1"/>
      <w:bookmarkEnd w:id="2"/>
      <w:bookmarkEnd w:id="3"/>
      <w:bookmarkEnd w:id="4"/>
      <w:bookmarkEnd w:id="5"/>
      <w:r>
        <w:rPr>
          <w:sz w:val="30"/>
          <w:szCs w:val="30"/>
        </w:rPr>
        <w:br w:type="page"/>
      </w:r>
    </w:p>
    <w:bookmarkEnd w:id="0"/>
    <w:p w14:paraId="0C6DB19C">
      <w:pPr>
        <w:ind w:firstLine="612"/>
        <w:jc w:val="center"/>
        <w:rPr>
          <w:b/>
          <w:sz w:val="30"/>
          <w:szCs w:val="30"/>
        </w:rPr>
      </w:pPr>
    </w:p>
    <w:p w14:paraId="7D592555">
      <w:pPr>
        <w:ind w:firstLine="0" w:firstLineChars="0"/>
        <w:jc w:val="center"/>
        <w:rPr>
          <w:rFonts w:cs="Times New Roman"/>
          <w:b/>
          <w:sz w:val="30"/>
          <w:szCs w:val="30"/>
        </w:rPr>
      </w:pPr>
      <w:r>
        <w:rPr>
          <w:rFonts w:hint="eastAsia" w:cs="Times New Roman"/>
          <w:b/>
          <w:sz w:val="30"/>
          <w:szCs w:val="30"/>
        </w:rPr>
        <w:t>北 京 邮 电 大 学</w:t>
      </w:r>
    </w:p>
    <w:p w14:paraId="6030CE62">
      <w:pPr>
        <w:ind w:firstLine="0" w:firstLineChars="0"/>
        <w:jc w:val="center"/>
        <w:rPr>
          <w:rFonts w:cs="Times New Roman"/>
          <w:b/>
          <w:sz w:val="30"/>
          <w:szCs w:val="30"/>
        </w:rPr>
      </w:pPr>
      <w:r>
        <w:rPr>
          <w:rFonts w:hint="eastAsia" w:cs="Times New Roman"/>
          <w:b/>
          <w:sz w:val="30"/>
          <w:szCs w:val="30"/>
        </w:rPr>
        <w:t>本科毕业设计（论文）诚信声明</w:t>
      </w:r>
    </w:p>
    <w:p w14:paraId="5C613E14">
      <w:pPr>
        <w:ind w:firstLine="480"/>
        <w:rPr>
          <w:rFonts w:cs="Times New Roman"/>
          <w:szCs w:val="20"/>
        </w:rPr>
      </w:pPr>
      <w:r>
        <w:rPr>
          <w:rFonts w:hint="eastAsia" w:cs="Times New Roman"/>
          <w:szCs w:val="20"/>
        </w:rPr>
        <w:t>本人声明所呈交的毕业设计（论文），题目《基于大模型提示注入的攻击与防御技术研究》是本人在指导教师的指导下，独立进行研究工作所取得的成果。尽我所知，除了文中特别加以标注和致谢中所罗列的内容以外，论文中不包含其他人已经发表或撰写过的研究成果，也不包含为获得北京邮电大学或其他教育机构的学位或证书而使用过的材料。</w:t>
      </w:r>
    </w:p>
    <w:p w14:paraId="2A032339">
      <w:pPr>
        <w:ind w:firstLine="480"/>
        <w:rPr>
          <w:rFonts w:cs="Times New Roman"/>
          <w:szCs w:val="20"/>
        </w:rPr>
      </w:pPr>
      <w:r>
        <w:rPr>
          <w:rFonts w:hint="eastAsia" w:cs="Times New Roman"/>
          <w:szCs w:val="24"/>
        </w:rPr>
        <w:t>申请学位论文与资料若有不实之处，本人承担一切相关责任</w:t>
      </w:r>
      <w:r>
        <w:rPr>
          <w:rFonts w:hint="eastAsia" w:cs="Times New Roman"/>
          <w:szCs w:val="20"/>
        </w:rPr>
        <w:t>。</w:t>
      </w:r>
    </w:p>
    <w:p w14:paraId="55F94EE4">
      <w:pPr>
        <w:ind w:firstLine="480"/>
        <w:rPr>
          <w:rFonts w:cs="Times New Roman"/>
          <w:szCs w:val="24"/>
        </w:rPr>
      </w:pPr>
    </w:p>
    <w:p w14:paraId="3472CEDE">
      <w:pPr>
        <w:ind w:firstLine="480"/>
        <w:rPr>
          <w:rFonts w:cs="Times New Roman"/>
          <w:szCs w:val="24"/>
        </w:rPr>
      </w:pPr>
      <w:r>
        <w:rPr>
          <w:rFonts w:hint="eastAsia" w:cs="Times New Roman"/>
          <w:szCs w:val="24"/>
        </w:rPr>
        <w:t>本人签名：</w:t>
      </w:r>
      <w:r>
        <w:rPr>
          <w:rFonts w:hint="eastAsia" w:cs="Times New Roman"/>
          <w:szCs w:val="24"/>
          <w:u w:val="single"/>
        </w:rPr>
        <w:t xml:space="preserve">                    </w:t>
      </w:r>
      <w:r>
        <w:rPr>
          <w:rFonts w:hint="eastAsia" w:cs="Times New Roman"/>
          <w:szCs w:val="24"/>
        </w:rPr>
        <w:t xml:space="preserve">     日期：</w:t>
      </w:r>
      <w:r>
        <w:rPr>
          <w:rFonts w:hint="eastAsia" w:cs="Times New Roman"/>
          <w:szCs w:val="24"/>
          <w:u w:val="single"/>
        </w:rPr>
        <w:t xml:space="preserve">                       </w:t>
      </w:r>
      <w:r>
        <w:rPr>
          <w:rFonts w:hint="eastAsia" w:cs="Times New Roman"/>
          <w:szCs w:val="24"/>
        </w:rPr>
        <w:t xml:space="preserve">   </w:t>
      </w:r>
    </w:p>
    <w:p w14:paraId="1A2EB6EF">
      <w:pPr>
        <w:ind w:firstLine="480"/>
        <w:rPr>
          <w:rFonts w:cs="Times New Roman"/>
          <w:szCs w:val="24"/>
        </w:rPr>
      </w:pPr>
    </w:p>
    <w:p w14:paraId="5CFD3F72">
      <w:pPr>
        <w:ind w:firstLine="480"/>
        <w:rPr>
          <w:rFonts w:cs="Times New Roman"/>
          <w:szCs w:val="24"/>
        </w:rPr>
      </w:pPr>
    </w:p>
    <w:p w14:paraId="571E970C">
      <w:pPr>
        <w:ind w:firstLine="480"/>
        <w:rPr>
          <w:rFonts w:cs="Times New Roman"/>
          <w:szCs w:val="24"/>
        </w:rPr>
      </w:pPr>
    </w:p>
    <w:p w14:paraId="6C5BC211">
      <w:pPr>
        <w:ind w:firstLine="480"/>
        <w:rPr>
          <w:rFonts w:cs="Times New Roman"/>
          <w:szCs w:val="24"/>
        </w:rPr>
      </w:pPr>
    </w:p>
    <w:p w14:paraId="164B1C6C">
      <w:pPr>
        <w:ind w:firstLine="0" w:firstLineChars="0"/>
        <w:jc w:val="center"/>
        <w:rPr>
          <w:rFonts w:cs="Times New Roman"/>
          <w:b/>
          <w:sz w:val="30"/>
          <w:szCs w:val="30"/>
        </w:rPr>
      </w:pPr>
      <w:r>
        <w:rPr>
          <w:rFonts w:hint="eastAsia" w:cs="Times New Roman"/>
          <w:b/>
          <w:sz w:val="30"/>
          <w:szCs w:val="30"/>
        </w:rPr>
        <w:t>关于论文使用授权的说明</w:t>
      </w:r>
    </w:p>
    <w:p w14:paraId="04E1D290">
      <w:pPr>
        <w:ind w:firstLine="480"/>
        <w:rPr>
          <w:rFonts w:cs="Times New Roman"/>
          <w:szCs w:val="24"/>
        </w:rPr>
      </w:pPr>
      <w:r>
        <w:rPr>
          <w:rFonts w:hint="eastAsia" w:cs="Times New Roman"/>
          <w:szCs w:val="20"/>
        </w:rPr>
        <w:t xml:space="preserve">本人完全了解并同意北京邮电大学有关保留、使用学位论文的规定，即：北京邮电大学拥有以下关于学位论文的无偿使用权，具体包括：学校有权保留并向国家有关部门或机构送交学位论文，有权允许学位论文被查阅和借阅；学校可以公布学位论文的全部或部分内容，有权允许采用影印、缩印或其它复制手段保存。汇编学位论文，将学位论文的全部或部分内容编入有关数据库进行检索。（保密的学位论文在解密后遵守此规定）    </w:t>
      </w:r>
      <w:r>
        <w:rPr>
          <w:rFonts w:hint="eastAsia" w:cs="Times New Roman"/>
          <w:szCs w:val="24"/>
        </w:rPr>
        <w:t xml:space="preserve">      </w:t>
      </w:r>
    </w:p>
    <w:p w14:paraId="16EB8F52">
      <w:pPr>
        <w:ind w:firstLine="480"/>
        <w:rPr>
          <w:rFonts w:cs="Times New Roman"/>
          <w:szCs w:val="24"/>
        </w:rPr>
      </w:pPr>
    </w:p>
    <w:p w14:paraId="317747E0">
      <w:pPr>
        <w:ind w:firstLine="480"/>
        <w:rPr>
          <w:rFonts w:cs="Times New Roman"/>
          <w:szCs w:val="24"/>
        </w:rPr>
      </w:pPr>
      <w:r>
        <w:rPr>
          <w:rFonts w:hint="eastAsia" w:cs="Times New Roman"/>
          <w:szCs w:val="24"/>
        </w:rPr>
        <w:t>本人签名：</w:t>
      </w:r>
      <w:r>
        <w:rPr>
          <w:rFonts w:hint="eastAsia" w:cs="Times New Roman"/>
          <w:szCs w:val="24"/>
          <w:u w:val="single"/>
        </w:rPr>
        <w:t xml:space="preserve">                    </w:t>
      </w:r>
      <w:r>
        <w:rPr>
          <w:rFonts w:hint="eastAsia" w:cs="Times New Roman"/>
          <w:szCs w:val="24"/>
        </w:rPr>
        <w:t xml:space="preserve">     日期：</w:t>
      </w:r>
      <w:r>
        <w:rPr>
          <w:rFonts w:hint="eastAsia" w:cs="Times New Roman"/>
          <w:szCs w:val="24"/>
          <w:u w:val="single"/>
        </w:rPr>
        <w:t xml:space="preserve">                       </w:t>
      </w:r>
      <w:r>
        <w:rPr>
          <w:rFonts w:hint="eastAsia" w:cs="Times New Roman"/>
          <w:szCs w:val="24"/>
        </w:rPr>
        <w:t xml:space="preserve">   </w:t>
      </w:r>
    </w:p>
    <w:p w14:paraId="2C8AA828">
      <w:pPr>
        <w:ind w:firstLine="480"/>
        <w:rPr>
          <w:rFonts w:cs="Times New Roman"/>
          <w:szCs w:val="24"/>
        </w:rPr>
      </w:pPr>
      <w:r>
        <w:rPr>
          <w:rFonts w:hint="eastAsia" w:cs="Times New Roman"/>
          <w:szCs w:val="24"/>
        </w:rPr>
        <w:t>导师签名：</w:t>
      </w:r>
      <w:r>
        <w:rPr>
          <w:rFonts w:hint="eastAsia" w:cs="Times New Roman"/>
          <w:szCs w:val="24"/>
          <w:u w:val="single"/>
        </w:rPr>
        <w:t xml:space="preserve">                    </w:t>
      </w:r>
      <w:r>
        <w:rPr>
          <w:rFonts w:hint="eastAsia" w:cs="Times New Roman"/>
          <w:szCs w:val="24"/>
        </w:rPr>
        <w:t xml:space="preserve">     日期：</w:t>
      </w:r>
      <w:r>
        <w:rPr>
          <w:rFonts w:hint="eastAsia" w:cs="Times New Roman"/>
          <w:szCs w:val="24"/>
          <w:u w:val="single"/>
        </w:rPr>
        <w:t xml:space="preserve">                       </w:t>
      </w:r>
      <w:r>
        <w:rPr>
          <w:rFonts w:hint="eastAsia" w:cs="Times New Roman"/>
          <w:szCs w:val="24"/>
        </w:rPr>
        <w:t xml:space="preserve">   </w:t>
      </w:r>
    </w:p>
    <w:p w14:paraId="733BADF2">
      <w:pPr>
        <w:ind w:firstLine="1040"/>
        <w:rPr>
          <w:rFonts w:eastAsia="黑体"/>
          <w:sz w:val="52"/>
        </w:rPr>
      </w:pPr>
      <w:r>
        <w:rPr>
          <w:rFonts w:eastAsia="黑体"/>
          <w:sz w:val="52"/>
        </w:rPr>
        <w:br w:type="page"/>
      </w:r>
    </w:p>
    <w:p w14:paraId="2EB8B054">
      <w:pPr>
        <w:ind w:firstLine="612"/>
        <w:jc w:val="center"/>
        <w:rPr>
          <w:b/>
          <w:sz w:val="30"/>
          <w:szCs w:val="30"/>
        </w:rPr>
        <w:sectPr>
          <w:headerReference r:id="rId7" w:type="first"/>
          <w:footerReference r:id="rId10" w:type="first"/>
          <w:headerReference r:id="rId5" w:type="default"/>
          <w:footerReference r:id="rId8" w:type="default"/>
          <w:headerReference r:id="rId6" w:type="even"/>
          <w:footerReference r:id="rId9" w:type="even"/>
          <w:pgSz w:w="11906" w:h="16838"/>
          <w:pgMar w:top="1417" w:right="1417" w:bottom="1417" w:left="1417" w:header="850" w:footer="850" w:gutter="0"/>
          <w:pgNumType w:start="1"/>
          <w:cols w:space="0" w:num="1"/>
          <w:docGrid w:linePitch="312" w:charSpace="0"/>
        </w:sectPr>
      </w:pPr>
    </w:p>
    <w:p w14:paraId="58A588BC">
      <w:pPr>
        <w:ind w:firstLine="0" w:firstLineChars="0"/>
        <w:jc w:val="center"/>
        <w:rPr>
          <w:szCs w:val="21"/>
        </w:rPr>
      </w:pPr>
      <w:r>
        <w:rPr>
          <w:rFonts w:ascii="黑体" w:hAnsi="黑体" w:eastAsia="黑体" w:cs="黑体"/>
          <w:b/>
          <w:bCs/>
          <w:sz w:val="32"/>
          <w:szCs w:val="24"/>
        </w:rPr>
        <w:t>基于大模型提示注入的攻击与防御技术研究</w:t>
      </w:r>
    </w:p>
    <w:p w14:paraId="16F1A46C">
      <w:pPr>
        <w:snapToGrid w:val="0"/>
        <w:spacing w:before="240" w:beforeLines="100" w:after="240" w:afterLines="100"/>
        <w:ind w:firstLine="480"/>
        <w:jc w:val="center"/>
        <w:rPr>
          <w:szCs w:val="21"/>
        </w:rPr>
      </w:pPr>
    </w:p>
    <w:p w14:paraId="30569E36">
      <w:pPr>
        <w:snapToGrid w:val="0"/>
        <w:ind w:firstLine="0" w:firstLineChars="0"/>
        <w:jc w:val="center"/>
        <w:rPr>
          <w:szCs w:val="21"/>
        </w:rPr>
      </w:pPr>
      <w:r>
        <w:rPr>
          <w:rFonts w:hint="eastAsia" w:ascii="黑体" w:hAnsi="黑体" w:eastAsia="黑体"/>
          <w:b/>
          <w:bCs/>
          <w:sz w:val="30"/>
          <w:szCs w:val="30"/>
        </w:rPr>
        <w:t>摘要</w:t>
      </w:r>
    </w:p>
    <w:p w14:paraId="0E9A20BF">
      <w:pPr>
        <w:snapToGrid w:val="0"/>
        <w:ind w:firstLine="480"/>
        <w:jc w:val="center"/>
        <w:rPr>
          <w:szCs w:val="21"/>
        </w:rPr>
      </w:pPr>
    </w:p>
    <w:p w14:paraId="0095900F">
      <w:pPr>
        <w:snapToGrid w:val="0"/>
        <w:ind w:firstLine="480"/>
        <w:jc w:val="left"/>
        <w:rPr>
          <w:szCs w:val="24"/>
        </w:rPr>
      </w:pPr>
      <w:r>
        <w:rPr>
          <w:rFonts w:hint="eastAsia"/>
          <w:szCs w:val="24"/>
        </w:rPr>
        <w:t>近年来，大型语言模型</w:t>
      </w:r>
      <w:r>
        <w:rPr>
          <w:szCs w:val="24"/>
        </w:rPr>
        <w:t>(</w:t>
      </w:r>
      <w:r>
        <w:rPr>
          <w:rFonts w:hint="eastAsia"/>
          <w:szCs w:val="24"/>
        </w:rPr>
        <w:t>Large Language Models, LLMs</w:t>
      </w:r>
      <w:r>
        <w:rPr>
          <w:szCs w:val="24"/>
        </w:rPr>
        <w:t>)</w:t>
      </w:r>
      <w:r>
        <w:rPr>
          <w:rFonts w:hint="eastAsia"/>
          <w:szCs w:val="24"/>
        </w:rPr>
        <w:t>在自然语言处理任务中展现出卓越能力，广泛应用于生成式对话、文本摘要与智能问答等场景。然而，其开放式生成特性也使其暴露于越狱提示</w:t>
      </w:r>
      <w:r>
        <w:rPr>
          <w:szCs w:val="24"/>
        </w:rPr>
        <w:t>(</w:t>
      </w:r>
      <w:r>
        <w:rPr>
          <w:rFonts w:hint="eastAsia"/>
          <w:szCs w:val="24"/>
          <w:lang w:val="en-US" w:eastAsia="zh-CN"/>
        </w:rPr>
        <w:t>J</w:t>
      </w:r>
      <w:r>
        <w:rPr>
          <w:rFonts w:hint="eastAsia"/>
          <w:szCs w:val="24"/>
        </w:rPr>
        <w:t xml:space="preserve">ailbreak </w:t>
      </w:r>
      <w:r>
        <w:rPr>
          <w:rFonts w:hint="eastAsia"/>
          <w:szCs w:val="24"/>
          <w:lang w:val="en-US" w:eastAsia="zh-CN"/>
        </w:rPr>
        <w:t>P</w:t>
      </w:r>
      <w:r>
        <w:rPr>
          <w:rFonts w:hint="eastAsia"/>
          <w:szCs w:val="24"/>
        </w:rPr>
        <w:t>rompt</w:t>
      </w:r>
      <w:r>
        <w:rPr>
          <w:szCs w:val="24"/>
        </w:rPr>
        <w:t>)</w:t>
      </w:r>
      <w:r>
        <w:rPr>
          <w:rFonts w:hint="eastAsia"/>
          <w:szCs w:val="24"/>
        </w:rPr>
        <w:t>攻击的风险之下。攻击者通过精心设计输入，引导模型绕过安全限制，输出敏感或有害内容。这类攻击具备高度隐蔽性与语义复杂性，严重威胁大模型的安全可控性，急需高效且鲁棒的检测方法加以应对。</w:t>
      </w:r>
    </w:p>
    <w:p w14:paraId="6545F969">
      <w:pPr>
        <w:snapToGrid w:val="0"/>
        <w:ind w:firstLine="480"/>
        <w:jc w:val="left"/>
        <w:rPr>
          <w:szCs w:val="24"/>
        </w:rPr>
      </w:pPr>
      <w:r>
        <w:rPr>
          <w:rFonts w:hint="eastAsia"/>
          <w:szCs w:val="24"/>
        </w:rPr>
        <w:t>现有的部分越狱提示检测技术虽然能应对自动化生成的前后缀对抗提示，但在识别结构复杂、语义隐蔽的人类精心设计的攻击时效果有限，且普遍存在检测效率低、对基座模型依赖强、误报与漏报难以平衡的问题。</w:t>
      </w:r>
    </w:p>
    <w:p w14:paraId="035D9A53">
      <w:pPr>
        <w:snapToGrid w:val="0"/>
        <w:ind w:firstLine="480"/>
        <w:jc w:val="both"/>
        <w:rPr>
          <w:szCs w:val="24"/>
        </w:rPr>
      </w:pPr>
      <w:r>
        <w:rPr>
          <w:rFonts w:hint="eastAsia"/>
          <w:szCs w:val="24"/>
        </w:rPr>
        <w:t>为此，本文首先基于JailBench数据集对目前主流的大型语言模型进行了较为全面的越狱防御评测，总结了现有模型在面对隐蔽提示时普遍存在的防御短板。随后，本文设计了规则过滤、情感分析、基于困惑度检测等多种启发式的检测方法，进一步梳理出现有方案的局限。在此基础上，本文扩展并构建了更具有均衡性和代表性的数据集JailBench++，提出了一种高效的轻量化越狱提示检测器LEAD</w:t>
      </w:r>
      <w:r>
        <w:rPr>
          <w:szCs w:val="24"/>
        </w:rPr>
        <w:t xml:space="preserve"> (</w:t>
      </w:r>
      <w:r>
        <w:rPr>
          <w:rFonts w:hint="eastAsia"/>
          <w:b/>
          <w:bCs/>
          <w:szCs w:val="24"/>
        </w:rPr>
        <w:t>L</w:t>
      </w:r>
      <w:r>
        <w:rPr>
          <w:rFonts w:hint="eastAsia"/>
          <w:szCs w:val="24"/>
        </w:rPr>
        <w:t xml:space="preserve">ightweight </w:t>
      </w:r>
      <w:r>
        <w:rPr>
          <w:rFonts w:hint="eastAsia"/>
          <w:b/>
          <w:bCs/>
          <w:szCs w:val="24"/>
        </w:rPr>
        <w:t>E</w:t>
      </w:r>
      <w:r>
        <w:rPr>
          <w:rFonts w:hint="eastAsia"/>
          <w:szCs w:val="24"/>
        </w:rPr>
        <w:t xml:space="preserve">fficient </w:t>
      </w:r>
      <w:r>
        <w:rPr>
          <w:rFonts w:hint="eastAsia"/>
          <w:b/>
          <w:bCs/>
          <w:szCs w:val="24"/>
        </w:rPr>
        <w:t>A</w:t>
      </w:r>
      <w:r>
        <w:rPr>
          <w:rFonts w:hint="eastAsia"/>
          <w:szCs w:val="24"/>
        </w:rPr>
        <w:t xml:space="preserve">nti-Jailbreak </w:t>
      </w:r>
      <w:r>
        <w:rPr>
          <w:rFonts w:hint="eastAsia"/>
          <w:b/>
          <w:bCs/>
          <w:szCs w:val="24"/>
        </w:rPr>
        <w:t>D</w:t>
      </w:r>
      <w:r>
        <w:rPr>
          <w:rFonts w:hint="eastAsia"/>
          <w:szCs w:val="24"/>
        </w:rPr>
        <w:t>etector</w:t>
      </w:r>
      <w:r>
        <w:rPr>
          <w:szCs w:val="24"/>
        </w:rPr>
        <w:t>)</w:t>
      </w:r>
      <w:r>
        <w:rPr>
          <w:rFonts w:hint="eastAsia"/>
          <w:szCs w:val="24"/>
        </w:rPr>
        <w:t>。LEAD基于Qwen2-1.5B-Instruct，通过引入LoRA指令微调技术实现了低成本适配，显著提升了对复杂越狱提示的识别能力。实验结果显示，在JailBench++测试集上，本文提出的LEAD在F1 得分、准确率与召回率等核心指标上均优于主流检测方法，且推理延迟极低，展现出良好的实际应用潜力。</w:t>
      </w:r>
    </w:p>
    <w:p w14:paraId="54509682">
      <w:pPr>
        <w:snapToGrid w:val="0"/>
        <w:ind w:firstLine="480"/>
        <w:jc w:val="left"/>
        <w:rPr>
          <w:szCs w:val="21"/>
        </w:rPr>
      </w:pPr>
    </w:p>
    <w:p w14:paraId="4D765622">
      <w:pPr>
        <w:snapToGrid w:val="0"/>
        <w:ind w:firstLine="489"/>
        <w:rPr>
          <w:rFonts w:ascii="黑体" w:hAnsi="黑体"/>
          <w:szCs w:val="24"/>
        </w:rPr>
      </w:pPr>
      <w:r>
        <w:rPr>
          <w:rFonts w:hint="eastAsia" w:ascii="黑体" w:hAnsi="黑体" w:eastAsia="黑体"/>
          <w:b/>
          <w:bCs/>
          <w:szCs w:val="24"/>
        </w:rPr>
        <w:t>关键词</w:t>
      </w:r>
      <w:r>
        <w:rPr>
          <w:rFonts w:hint="eastAsia"/>
          <w:szCs w:val="21"/>
        </w:rPr>
        <w:t xml:space="preserve"> </w:t>
      </w:r>
      <w:r>
        <w:rPr>
          <w:rFonts w:hint="eastAsia"/>
          <w:szCs w:val="24"/>
        </w:rPr>
        <w:t xml:space="preserve">大型语言模型 </w:t>
      </w:r>
      <w:r>
        <w:rPr>
          <w:rFonts w:hint="eastAsia" w:cs="宋体"/>
          <w:szCs w:val="24"/>
        </w:rPr>
        <w:t>越狱提示检测 LoRA微调 高效轻量检测器</w:t>
      </w:r>
    </w:p>
    <w:p w14:paraId="0B0A02C8">
      <w:pPr>
        <w:widowControl/>
        <w:ind w:firstLine="480"/>
        <w:jc w:val="left"/>
      </w:pPr>
      <w:r>
        <w:br w:type="page"/>
      </w:r>
    </w:p>
    <w:p w14:paraId="5B126DE1">
      <w:pPr>
        <w:snapToGrid w:val="0"/>
        <w:ind w:firstLine="0" w:firstLineChars="0"/>
        <w:jc w:val="center"/>
        <w:rPr>
          <w:b/>
          <w:bCs/>
          <w:sz w:val="32"/>
          <w:szCs w:val="32"/>
        </w:rPr>
      </w:pPr>
      <w:r>
        <w:rPr>
          <w:b/>
          <w:bCs/>
          <w:sz w:val="32"/>
          <w:szCs w:val="32"/>
        </w:rPr>
        <w:t>Research on Attack and Defense Techniques Based on Large Model Prompt Injection</w:t>
      </w:r>
    </w:p>
    <w:p w14:paraId="0EF338E5">
      <w:pPr>
        <w:snapToGrid w:val="0"/>
        <w:spacing w:before="240" w:beforeLines="100" w:after="240" w:afterLines="100"/>
        <w:ind w:firstLine="480"/>
        <w:jc w:val="center"/>
        <w:rPr>
          <w:szCs w:val="21"/>
        </w:rPr>
      </w:pPr>
    </w:p>
    <w:p w14:paraId="536D386D">
      <w:pPr>
        <w:snapToGrid w:val="0"/>
        <w:ind w:firstLine="0" w:firstLineChars="0"/>
        <w:jc w:val="center"/>
        <w:rPr>
          <w:szCs w:val="21"/>
        </w:rPr>
      </w:pPr>
      <w:r>
        <w:rPr>
          <w:rFonts w:cs="Times New Roman"/>
          <w:b/>
          <w:bCs/>
          <w:sz w:val="30"/>
          <w:szCs w:val="30"/>
        </w:rPr>
        <w:t>ABSTRACT</w:t>
      </w:r>
    </w:p>
    <w:p w14:paraId="57A0A11A">
      <w:pPr>
        <w:snapToGrid w:val="0"/>
        <w:ind w:firstLine="480"/>
        <w:jc w:val="center"/>
        <w:rPr>
          <w:szCs w:val="21"/>
        </w:rPr>
      </w:pPr>
    </w:p>
    <w:p w14:paraId="1A14091D">
      <w:pPr>
        <w:ind w:firstLine="480"/>
      </w:pPr>
      <w:r>
        <w:t>In recent years, Large Language Models (LLMs) have demonstrated remarkable capabilities in natural language processing tasks such as dialogue generation, summarization, and question answering. However, their open-ended generation also exposes them to jailbreak prompt attacks, where adversarial inputs bypass safety mechanisms to induce harmful or sensitive content. These attacks are often covert and semantically complex, posing serious threats to the controllability and safety of LLMs and calling for efficient and robust detection methods.</w:t>
      </w:r>
    </w:p>
    <w:p w14:paraId="065ECD9A">
      <w:pPr>
        <w:ind w:firstLine="480"/>
      </w:pPr>
      <w:r>
        <w:t>Although some existing jailbreak detection techniques are effective against automatically generated prefix- and suffix-based adversarial prompts, they remain limited in detecting human-crafted attacks characterized by complex structures and implicit semantics. In addition, these methods often suffer from low detection efficiency, heavy reliance on the underlying base models, and a persistent challenge in balancing false positives and false negatives.</w:t>
      </w:r>
    </w:p>
    <w:p w14:paraId="0DC5AB78">
      <w:pPr>
        <w:snapToGrid w:val="0"/>
        <w:ind w:firstLine="480"/>
        <w:rPr>
          <w:rFonts w:cs="Times New Roman"/>
          <w:szCs w:val="24"/>
        </w:rPr>
      </w:pPr>
      <w:r>
        <w:rPr>
          <w:rFonts w:cs="Times New Roman"/>
          <w:szCs w:val="24"/>
        </w:rPr>
        <w:t>To address these challenges, this thesis first performs a comprehensive jailbreak defense evaluation of mainstream LLMs using the JailBench dataset, uncovering their common weaknesses in handling stealthy prompts. It then investigates several heuristic detection methods—including rule-based filtering, sentiment analysis, and perplexity filtering—and summarizes their limitations. Building on this analysis, a more balanced and representative dataset, JailBench++, is constructed. Furthermore, this thesis proposes LEAD (</w:t>
      </w:r>
      <w:r>
        <w:rPr>
          <w:rFonts w:cs="Times New Roman"/>
          <w:b/>
          <w:bCs/>
          <w:szCs w:val="24"/>
        </w:rPr>
        <w:t>L</w:t>
      </w:r>
      <w:r>
        <w:rPr>
          <w:rFonts w:cs="Times New Roman"/>
          <w:szCs w:val="24"/>
        </w:rPr>
        <w:t xml:space="preserve">ightweight </w:t>
      </w:r>
      <w:r>
        <w:rPr>
          <w:rFonts w:cs="Times New Roman"/>
          <w:b/>
          <w:bCs/>
          <w:szCs w:val="24"/>
        </w:rPr>
        <w:t>E</w:t>
      </w:r>
      <w:r>
        <w:rPr>
          <w:rFonts w:cs="Times New Roman"/>
          <w:szCs w:val="24"/>
        </w:rPr>
        <w:t xml:space="preserve">fficient </w:t>
      </w:r>
      <w:r>
        <w:rPr>
          <w:rFonts w:cs="Times New Roman"/>
          <w:b/>
          <w:bCs/>
          <w:szCs w:val="24"/>
        </w:rPr>
        <w:t>A</w:t>
      </w:r>
      <w:r>
        <w:rPr>
          <w:rFonts w:cs="Times New Roman"/>
          <w:szCs w:val="24"/>
        </w:rPr>
        <w:t xml:space="preserve">nti-Jailbreak </w:t>
      </w:r>
      <w:r>
        <w:rPr>
          <w:rFonts w:cs="Times New Roman"/>
          <w:b/>
          <w:bCs/>
          <w:szCs w:val="24"/>
        </w:rPr>
        <w:t>D</w:t>
      </w:r>
      <w:r>
        <w:rPr>
          <w:rFonts w:cs="Times New Roman"/>
          <w:szCs w:val="24"/>
        </w:rPr>
        <w:t xml:space="preserve">etector), a lightweight detector based on Qwen2-1.5B-Instruct, enhanced via LoRA instruction fine-tuning. LEAD achieves high detection performance with minimal computational cost. Experiments on JailBench++ </w:t>
      </w:r>
      <w:r>
        <w:rPr>
          <w:rFonts w:hint="eastAsia" w:cs="Times New Roman"/>
          <w:szCs w:val="24"/>
        </w:rPr>
        <w:t xml:space="preserve">test set </w:t>
      </w:r>
      <w:r>
        <w:rPr>
          <w:rFonts w:cs="Times New Roman"/>
          <w:szCs w:val="24"/>
        </w:rPr>
        <w:t>show that LEAD outperforms existing methods in F1 score, precision, and recall, while maintaining extremely low inference latency, highlighting its practical deployment potential.</w:t>
      </w:r>
    </w:p>
    <w:p w14:paraId="603F8A41">
      <w:pPr>
        <w:snapToGrid w:val="0"/>
        <w:ind w:firstLine="480"/>
        <w:rPr>
          <w:rFonts w:cs="Times New Roman"/>
          <w:szCs w:val="24"/>
        </w:rPr>
      </w:pPr>
    </w:p>
    <w:p w14:paraId="69B284B6">
      <w:pPr>
        <w:snapToGrid w:val="0"/>
        <w:ind w:firstLine="489"/>
        <w:rPr>
          <w:rFonts w:cs="Times New Roman"/>
          <w:szCs w:val="24"/>
        </w:rPr>
        <w:sectPr>
          <w:headerReference r:id="rId11" w:type="default"/>
          <w:pgSz w:w="11906" w:h="16838"/>
          <w:pgMar w:top="1417" w:right="1417" w:bottom="1417" w:left="1417" w:header="850" w:footer="850" w:gutter="0"/>
          <w:pgNumType w:start="1"/>
          <w:cols w:space="0" w:num="1"/>
          <w:docGrid w:linePitch="333" w:charSpace="0"/>
        </w:sectPr>
      </w:pPr>
      <w:r>
        <w:rPr>
          <w:rFonts w:cs="Times New Roman"/>
          <w:b/>
          <w:bCs/>
          <w:szCs w:val="21"/>
        </w:rPr>
        <w:t>KEY WORDS</w:t>
      </w:r>
      <w:r>
        <w:rPr>
          <w:szCs w:val="21"/>
        </w:rPr>
        <w:t xml:space="preserve"> Large</w:t>
      </w:r>
      <w:r>
        <w:rPr>
          <w:rFonts w:cs="Times New Roman"/>
          <w:szCs w:val="24"/>
        </w:rPr>
        <w:t xml:space="preserve"> Language Models </w:t>
      </w:r>
      <w:r>
        <w:rPr>
          <w:rFonts w:hint="eastAsia" w:cs="Times New Roman"/>
          <w:szCs w:val="24"/>
        </w:rPr>
        <w:t xml:space="preserve"> </w:t>
      </w:r>
      <w:r>
        <w:rPr>
          <w:rFonts w:cs="Times New Roman"/>
          <w:szCs w:val="24"/>
        </w:rPr>
        <w:t>Jailbreak Prompt Detection  LoRA Fine-Tuning</w:t>
      </w:r>
      <w:r>
        <w:rPr>
          <w:rFonts w:hint="eastAsia" w:cs="Times New Roman"/>
          <w:szCs w:val="24"/>
        </w:rPr>
        <w:t xml:space="preserve">  </w:t>
      </w:r>
      <w:r>
        <w:rPr>
          <w:rFonts w:cs="Times New Roman"/>
          <w:szCs w:val="24"/>
        </w:rPr>
        <w:t xml:space="preserve">Lightweight </w:t>
      </w:r>
      <w:r>
        <w:rPr>
          <w:rFonts w:hint="eastAsia" w:cs="Times New Roman"/>
          <w:szCs w:val="24"/>
        </w:rPr>
        <w:t>A</w:t>
      </w:r>
      <w:r>
        <w:rPr>
          <w:rFonts w:cs="Times New Roman"/>
          <w:szCs w:val="24"/>
        </w:rPr>
        <w:t>nd Efficient Detector</w:t>
      </w:r>
      <w:r>
        <w:br w:type="page"/>
      </w:r>
    </w:p>
    <w:p w14:paraId="5F25C7BC">
      <w:pPr>
        <w:spacing w:line="240" w:lineRule="auto"/>
        <w:ind w:firstLine="0" w:firstLineChars="0"/>
        <w:jc w:val="center"/>
        <w:rPr>
          <w:rFonts w:ascii="黑体" w:eastAsia="黑体"/>
          <w:b/>
          <w:sz w:val="32"/>
          <w:szCs w:val="32"/>
        </w:rPr>
      </w:pPr>
      <w:bookmarkStart w:id="6" w:name="_Toc89164267"/>
      <w:bookmarkStart w:id="7" w:name="_Toc89252645"/>
      <w:bookmarkStart w:id="8" w:name="_Toc89178055"/>
      <w:r>
        <w:rPr>
          <w:rFonts w:hint="eastAsia" w:ascii="黑体" w:eastAsia="黑体"/>
          <w:b/>
          <w:sz w:val="32"/>
          <w:szCs w:val="32"/>
        </w:rPr>
        <w:t>目录</w:t>
      </w:r>
    </w:p>
    <w:bookmarkEnd w:id="6"/>
    <w:bookmarkEnd w:id="7"/>
    <w:bookmarkEnd w:id="8"/>
    <w:p w14:paraId="140FB396">
      <w:pPr>
        <w:pStyle w:val="18"/>
        <w:tabs>
          <w:tab w:val="right" w:leader="dot" w:pos="9062"/>
        </w:tabs>
        <w:ind w:right="238" w:firstLine="198" w:firstLineChars="0"/>
      </w:pPr>
    </w:p>
    <w:p w14:paraId="58A5949D">
      <w:pPr>
        <w:pStyle w:val="18"/>
        <w:tabs>
          <w:tab w:val="right" w:leader="dot" w:pos="9062"/>
        </w:tabs>
        <w:ind w:firstLineChars="100"/>
        <w:rPr>
          <w:rFonts w:asciiTheme="minorHAnsi" w:hAnsiTheme="minorHAnsi" w:eastAsiaTheme="minorEastAsia" w:cstheme="minorBidi"/>
          <w:bCs w:val="0"/>
          <w:caps w:val="0"/>
          <w:sz w:val="22"/>
          <w14:ligatures w14:val="standardContextual"/>
        </w:rPr>
      </w:pPr>
      <w:r>
        <w:rPr>
          <w:rFonts w:asciiTheme="minorHAnsi" w:eastAsiaTheme="minorHAnsi"/>
          <w:b/>
          <w:bCs w:val="0"/>
          <w:caps w:val="0"/>
          <w:sz w:val="20"/>
          <w:szCs w:val="20"/>
        </w:rPr>
        <w:fldChar w:fldCharType="begin"/>
      </w:r>
      <w:r>
        <w:rPr>
          <w:rFonts w:asciiTheme="minorHAnsi" w:eastAsiaTheme="minorHAnsi"/>
          <w:b/>
          <w:bCs w:val="0"/>
          <w:caps w:val="0"/>
          <w:sz w:val="20"/>
          <w:szCs w:val="20"/>
        </w:rPr>
        <w:instrText xml:space="preserve"> TOC \o "1-3" \h \z \u </w:instrText>
      </w:r>
      <w:r>
        <w:rPr>
          <w:rFonts w:asciiTheme="minorHAnsi" w:eastAsiaTheme="minorHAnsi"/>
          <w:b/>
          <w:bCs w:val="0"/>
          <w:caps w:val="0"/>
          <w:sz w:val="20"/>
          <w:szCs w:val="20"/>
        </w:rPr>
        <w:fldChar w:fldCharType="separate"/>
      </w:r>
      <w:r>
        <w:fldChar w:fldCharType="begin"/>
      </w:r>
      <w:r>
        <w:instrText xml:space="preserve"> HYPERLINK \l "_Toc197274507" </w:instrText>
      </w:r>
      <w:r>
        <w:fldChar w:fldCharType="separate"/>
      </w:r>
      <w:r>
        <w:fldChar w:fldCharType="end"/>
      </w:r>
    </w:p>
    <w:p w14:paraId="5285B186">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"_Toc197274508" </w:instrText>
      </w:r>
      <w:r>
        <w:fldChar w:fldCharType="separate"/>
      </w:r>
      <w:r>
        <w:rPr>
          <w:rStyle w:val="34"/>
        </w:rPr>
        <w:t>第一章 绪论</w:t>
      </w:r>
      <w:r>
        <w:tab/>
      </w:r>
      <w:r>
        <w:fldChar w:fldCharType="begin"/>
      </w:r>
      <w:r>
        <w:instrText xml:space="preserve"> PAGEREF _Toc197274508 \h </w:instrText>
      </w:r>
      <w:r>
        <w:fldChar w:fldCharType="separate"/>
      </w:r>
      <w:r>
        <w:t>1</w:t>
      </w:r>
      <w:r>
        <w:fldChar w:fldCharType="end"/>
      </w:r>
      <w:r>
        <w:fldChar w:fldCharType="end"/>
      </w:r>
    </w:p>
    <w:p w14:paraId="2CFCF8F8">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"_Toc197274509" </w:instrText>
      </w:r>
      <w:r>
        <w:fldChar w:fldCharType="separate"/>
      </w:r>
      <w:r>
        <w:rPr>
          <w:rStyle w:val="34"/>
        </w:rPr>
        <w:t>1.1 研究背景及意义</w:t>
      </w:r>
      <w:r>
        <w:tab/>
      </w:r>
      <w:r>
        <w:fldChar w:fldCharType="begin"/>
      </w:r>
      <w:r>
        <w:instrText xml:space="preserve"> PAGEREF _Toc197274509 \h </w:instrText>
      </w:r>
      <w:r>
        <w:fldChar w:fldCharType="separate"/>
      </w:r>
      <w:r>
        <w:t>1</w:t>
      </w:r>
      <w:r>
        <w:fldChar w:fldCharType="end"/>
      </w:r>
      <w:r>
        <w:fldChar w:fldCharType="end"/>
      </w:r>
    </w:p>
    <w:p w14:paraId="4BADC229">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"_Toc197274510" </w:instrText>
      </w:r>
      <w:r>
        <w:fldChar w:fldCharType="separate"/>
      </w:r>
      <w:r>
        <w:rPr>
          <w:rStyle w:val="34"/>
        </w:rPr>
        <w:t>1.2 国内外研究现状</w:t>
      </w:r>
      <w:r>
        <w:tab/>
      </w:r>
      <w:r>
        <w:fldChar w:fldCharType="begin"/>
      </w:r>
      <w:r>
        <w:instrText xml:space="preserve"> PAGEREF _Toc197274510 \h </w:instrText>
      </w:r>
      <w:r>
        <w:fldChar w:fldCharType="separate"/>
      </w:r>
      <w:r>
        <w:t>3</w:t>
      </w:r>
      <w:r>
        <w:fldChar w:fldCharType="end"/>
      </w:r>
      <w:r>
        <w:fldChar w:fldCharType="end"/>
      </w:r>
    </w:p>
    <w:p w14:paraId="7784B7CB">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"_Toc197274511" </w:instrText>
      </w:r>
      <w:r>
        <w:fldChar w:fldCharType="separate"/>
      </w:r>
      <w:r>
        <w:rPr>
          <w:rStyle w:val="34"/>
        </w:rPr>
        <w:t>1.2.1 大模型越狱攻击</w:t>
      </w:r>
      <w:r>
        <w:tab/>
      </w:r>
      <w:r>
        <w:fldChar w:fldCharType="begin"/>
      </w:r>
      <w:r>
        <w:instrText xml:space="preserve"> PAGEREF _Toc197274511 \h </w:instrText>
      </w:r>
      <w:r>
        <w:fldChar w:fldCharType="separate"/>
      </w:r>
      <w:r>
        <w:t>3</w:t>
      </w:r>
      <w:r>
        <w:fldChar w:fldCharType="end"/>
      </w:r>
      <w:r>
        <w:fldChar w:fldCharType="end"/>
      </w:r>
    </w:p>
    <w:p w14:paraId="44951603">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"_Toc197274512" </w:instrText>
      </w:r>
      <w:r>
        <w:fldChar w:fldCharType="separate"/>
      </w:r>
      <w:r>
        <w:rPr>
          <w:rStyle w:val="34"/>
        </w:rPr>
        <w:t>1.2.2 越狱防御策略</w:t>
      </w:r>
      <w:r>
        <w:tab/>
      </w:r>
      <w:r>
        <w:fldChar w:fldCharType="begin"/>
      </w:r>
      <w:r>
        <w:instrText xml:space="preserve"> PAGEREF _Toc197274512 \h </w:instrText>
      </w:r>
      <w:r>
        <w:fldChar w:fldCharType="separate"/>
      </w:r>
      <w:r>
        <w:t>4</w:t>
      </w:r>
      <w:r>
        <w:fldChar w:fldCharType="end"/>
      </w:r>
      <w:r>
        <w:fldChar w:fldCharType="end"/>
      </w:r>
    </w:p>
    <w:p w14:paraId="6EC50C8D">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"_Toc197274513" </w:instrText>
      </w:r>
      <w:r>
        <w:fldChar w:fldCharType="separate"/>
      </w:r>
      <w:r>
        <w:rPr>
          <w:rStyle w:val="34"/>
        </w:rPr>
        <w:t>1.2.3 参数高效微调</w:t>
      </w:r>
      <w:r>
        <w:tab/>
      </w:r>
      <w:r>
        <w:fldChar w:fldCharType="begin"/>
      </w:r>
      <w:r>
        <w:instrText xml:space="preserve"> PAGEREF _Toc197274513 \h </w:instrText>
      </w:r>
      <w:r>
        <w:fldChar w:fldCharType="separate"/>
      </w:r>
      <w:r>
        <w:t>4</w:t>
      </w:r>
      <w:r>
        <w:fldChar w:fldCharType="end"/>
      </w:r>
      <w:r>
        <w:fldChar w:fldCharType="end"/>
      </w:r>
    </w:p>
    <w:p w14:paraId="36EF1E7A">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"_Toc197274514" </w:instrText>
      </w:r>
      <w:r>
        <w:fldChar w:fldCharType="separate"/>
      </w:r>
      <w:r>
        <w:rPr>
          <w:rStyle w:val="34"/>
        </w:rPr>
        <w:t>1.2.4 指令微调</w:t>
      </w:r>
      <w:r>
        <w:tab/>
      </w:r>
      <w:r>
        <w:fldChar w:fldCharType="begin"/>
      </w:r>
      <w:r>
        <w:instrText xml:space="preserve"> PAGEREF _Toc197274514 \h </w:instrText>
      </w:r>
      <w:r>
        <w:fldChar w:fldCharType="separate"/>
      </w:r>
      <w:r>
        <w:t>5</w:t>
      </w:r>
      <w:r>
        <w:fldChar w:fldCharType="end"/>
      </w:r>
      <w:r>
        <w:fldChar w:fldCharType="end"/>
      </w:r>
    </w:p>
    <w:p w14:paraId="30B9F4F8">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"_Toc197274515" </w:instrText>
      </w:r>
      <w:r>
        <w:fldChar w:fldCharType="separate"/>
      </w:r>
      <w:r>
        <w:rPr>
          <w:rStyle w:val="34"/>
        </w:rPr>
        <w:t>1.3 研究内容与创新点</w:t>
      </w:r>
      <w:r>
        <w:tab/>
      </w:r>
      <w:r>
        <w:fldChar w:fldCharType="begin"/>
      </w:r>
      <w:r>
        <w:instrText xml:space="preserve"> PAGEREF _Toc197274515 \h </w:instrText>
      </w:r>
      <w:r>
        <w:fldChar w:fldCharType="separate"/>
      </w:r>
      <w:r>
        <w:t>6</w:t>
      </w:r>
      <w:r>
        <w:fldChar w:fldCharType="end"/>
      </w:r>
      <w:r>
        <w:fldChar w:fldCharType="end"/>
      </w:r>
    </w:p>
    <w:p w14:paraId="053A0125">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"_Toc197274516" </w:instrText>
      </w:r>
      <w:r>
        <w:fldChar w:fldCharType="separate"/>
      </w:r>
      <w:r>
        <w:rPr>
          <w:rStyle w:val="34"/>
        </w:rPr>
        <w:t>1.4 章节安排</w:t>
      </w:r>
      <w:r>
        <w:tab/>
      </w:r>
      <w:r>
        <w:fldChar w:fldCharType="begin"/>
      </w:r>
      <w:r>
        <w:instrText xml:space="preserve"> PAGEREF _Toc197274516 \h </w:instrText>
      </w:r>
      <w:r>
        <w:fldChar w:fldCharType="separate"/>
      </w:r>
      <w:r>
        <w:t>7</w:t>
      </w:r>
      <w:r>
        <w:fldChar w:fldCharType="end"/>
      </w:r>
      <w:r>
        <w:fldChar w:fldCharType="end"/>
      </w:r>
    </w:p>
    <w:p w14:paraId="5BC41610">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"_Toc197274517" </w:instrText>
      </w:r>
      <w:r>
        <w:fldChar w:fldCharType="separate"/>
      </w:r>
      <w:r>
        <w:rPr>
          <w:rStyle w:val="34"/>
        </w:rPr>
        <w:t>第二章 相关技术</w:t>
      </w:r>
      <w:r>
        <w:tab/>
      </w:r>
      <w:r>
        <w:fldChar w:fldCharType="begin"/>
      </w:r>
      <w:r>
        <w:instrText xml:space="preserve"> PAGEREF _Toc197274517 \h </w:instrText>
      </w:r>
      <w:r>
        <w:fldChar w:fldCharType="separate"/>
      </w:r>
      <w:r>
        <w:t>9</w:t>
      </w:r>
      <w:r>
        <w:fldChar w:fldCharType="end"/>
      </w:r>
      <w:r>
        <w:fldChar w:fldCharType="end"/>
      </w:r>
    </w:p>
    <w:p w14:paraId="7A1F4A6F">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"_Toc197274518" </w:instrText>
      </w:r>
      <w:r>
        <w:fldChar w:fldCharType="separate"/>
      </w:r>
      <w:r>
        <w:rPr>
          <w:rStyle w:val="34"/>
        </w:rPr>
        <w:t>2.1 大型语言模型</w:t>
      </w:r>
      <w:r>
        <w:tab/>
      </w:r>
      <w:r>
        <w:fldChar w:fldCharType="begin"/>
      </w:r>
      <w:r>
        <w:instrText xml:space="preserve"> PAGEREF _Toc197274518 \h </w:instrText>
      </w:r>
      <w:r>
        <w:fldChar w:fldCharType="separate"/>
      </w:r>
      <w:r>
        <w:t>9</w:t>
      </w:r>
      <w:r>
        <w:fldChar w:fldCharType="end"/>
      </w:r>
      <w:r>
        <w:fldChar w:fldCharType="end"/>
      </w:r>
    </w:p>
    <w:p w14:paraId="21194B76">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"_Toc197274519" </w:instrText>
      </w:r>
      <w:r>
        <w:fldChar w:fldCharType="separate"/>
      </w:r>
      <w:r>
        <w:rPr>
          <w:rStyle w:val="34"/>
        </w:rPr>
        <w:t>2.2 混合专家模型</w:t>
      </w:r>
      <w:r>
        <w:tab/>
      </w:r>
      <w:r>
        <w:fldChar w:fldCharType="begin"/>
      </w:r>
      <w:r>
        <w:instrText xml:space="preserve"> PAGEREF _Toc197274519 \h </w:instrText>
      </w:r>
      <w:r>
        <w:fldChar w:fldCharType="separate"/>
      </w:r>
      <w:r>
        <w:t>11</w:t>
      </w:r>
      <w:r>
        <w:fldChar w:fldCharType="end"/>
      </w:r>
      <w:r>
        <w:fldChar w:fldCharType="end"/>
      </w:r>
    </w:p>
    <w:p w14:paraId="05E41B81">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"_Toc197274520" </w:instrText>
      </w:r>
      <w:r>
        <w:fldChar w:fldCharType="separate"/>
      </w:r>
      <w:r>
        <w:rPr>
          <w:rStyle w:val="34"/>
        </w:rPr>
        <w:t>2.3 参数高效微调LoRA</w:t>
      </w:r>
      <w:r>
        <w:tab/>
      </w:r>
      <w:r>
        <w:fldChar w:fldCharType="begin"/>
      </w:r>
      <w:r>
        <w:instrText xml:space="preserve"> PAGEREF _Toc197274520 \h </w:instrText>
      </w:r>
      <w:r>
        <w:fldChar w:fldCharType="separate"/>
      </w:r>
      <w:r>
        <w:t>12</w:t>
      </w:r>
      <w:r>
        <w:fldChar w:fldCharType="end"/>
      </w:r>
      <w:r>
        <w:fldChar w:fldCharType="end"/>
      </w:r>
    </w:p>
    <w:p w14:paraId="2A81A959">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"_Toc197274521" </w:instrText>
      </w:r>
      <w:r>
        <w:fldChar w:fldCharType="separate"/>
      </w:r>
      <w:r>
        <w:rPr>
          <w:rStyle w:val="34"/>
        </w:rPr>
        <w:t>2.4 指令微调</w:t>
      </w:r>
      <w:r>
        <w:tab/>
      </w:r>
      <w:r>
        <w:fldChar w:fldCharType="begin"/>
      </w:r>
      <w:r>
        <w:instrText xml:space="preserve"> PAGEREF _Toc197274521 \h </w:instrText>
      </w:r>
      <w:r>
        <w:fldChar w:fldCharType="separate"/>
      </w:r>
      <w:r>
        <w:t>13</w:t>
      </w:r>
      <w:r>
        <w:fldChar w:fldCharType="end"/>
      </w:r>
      <w:r>
        <w:fldChar w:fldCharType="end"/>
      </w:r>
    </w:p>
    <w:p w14:paraId="7B753754">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"_Toc197274522" </w:instrText>
      </w:r>
      <w:r>
        <w:fldChar w:fldCharType="separate"/>
      </w:r>
      <w:r>
        <w:rPr>
          <w:rStyle w:val="34"/>
        </w:rPr>
        <w:t>2.5 本章小结</w:t>
      </w:r>
      <w:r>
        <w:tab/>
      </w:r>
      <w:r>
        <w:fldChar w:fldCharType="begin"/>
      </w:r>
      <w:r>
        <w:instrText xml:space="preserve"> PAGEREF _Toc197274522 \h </w:instrText>
      </w:r>
      <w:r>
        <w:fldChar w:fldCharType="separate"/>
      </w:r>
      <w:r>
        <w:t>14</w:t>
      </w:r>
      <w:r>
        <w:fldChar w:fldCharType="end"/>
      </w:r>
      <w:r>
        <w:fldChar w:fldCharType="end"/>
      </w:r>
    </w:p>
    <w:p w14:paraId="35DE0EEB">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"_Toc197274523" </w:instrText>
      </w:r>
      <w:r>
        <w:fldChar w:fldCharType="separate"/>
      </w:r>
      <w:r>
        <w:rPr>
          <w:rStyle w:val="34"/>
        </w:rPr>
        <w:t>第三章 轻量化的越狱提示检测器LEAD</w:t>
      </w:r>
      <w:r>
        <w:tab/>
      </w:r>
      <w:r>
        <w:fldChar w:fldCharType="begin"/>
      </w:r>
      <w:r>
        <w:instrText xml:space="preserve"> PAGEREF _Toc197274523 \h </w:instrText>
      </w:r>
      <w:r>
        <w:fldChar w:fldCharType="separate"/>
      </w:r>
      <w:r>
        <w:t>15</w:t>
      </w:r>
      <w:r>
        <w:fldChar w:fldCharType="end"/>
      </w:r>
      <w:r>
        <w:fldChar w:fldCharType="end"/>
      </w:r>
    </w:p>
    <w:p w14:paraId="4A1BFC78">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"_Toc197274524" </w:instrText>
      </w:r>
      <w:r>
        <w:fldChar w:fldCharType="separate"/>
      </w:r>
      <w:r>
        <w:rPr>
          <w:rStyle w:val="34"/>
        </w:rPr>
        <w:t>3.1 概述</w:t>
      </w:r>
      <w:r>
        <w:tab/>
      </w:r>
      <w:r>
        <w:fldChar w:fldCharType="begin"/>
      </w:r>
      <w:r>
        <w:instrText xml:space="preserve"> PAGEREF _Toc197274524 \h </w:instrText>
      </w:r>
      <w:r>
        <w:fldChar w:fldCharType="separate"/>
      </w:r>
      <w:r>
        <w:t>15</w:t>
      </w:r>
      <w:r>
        <w:fldChar w:fldCharType="end"/>
      </w:r>
      <w:r>
        <w:fldChar w:fldCharType="end"/>
      </w:r>
    </w:p>
    <w:p w14:paraId="33A35BBA">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"_Toc197274525" </w:instrText>
      </w:r>
      <w:r>
        <w:fldChar w:fldCharType="separate"/>
      </w:r>
      <w:r>
        <w:rPr>
          <w:rStyle w:val="34"/>
        </w:rPr>
        <w:t>3.2 启发性检测方法</w:t>
      </w:r>
      <w:r>
        <w:tab/>
      </w:r>
      <w:r>
        <w:fldChar w:fldCharType="begin"/>
      </w:r>
      <w:r>
        <w:instrText xml:space="preserve"> PAGEREF _Toc197274525 \h </w:instrText>
      </w:r>
      <w:r>
        <w:fldChar w:fldCharType="separate"/>
      </w:r>
      <w:r>
        <w:t>15</w:t>
      </w:r>
      <w:r>
        <w:fldChar w:fldCharType="end"/>
      </w:r>
      <w:r>
        <w:fldChar w:fldCharType="end"/>
      </w:r>
    </w:p>
    <w:p w14:paraId="2A536CAD">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"_Toc197274526" </w:instrText>
      </w:r>
      <w:r>
        <w:fldChar w:fldCharType="separate"/>
      </w:r>
      <w:r>
        <w:rPr>
          <w:rStyle w:val="34"/>
        </w:rPr>
        <w:t>3.3 模型选择</w:t>
      </w:r>
      <w:r>
        <w:tab/>
      </w:r>
      <w:r>
        <w:fldChar w:fldCharType="begin"/>
      </w:r>
      <w:r>
        <w:instrText xml:space="preserve"> PAGEREF _Toc197274526 \h </w:instrText>
      </w:r>
      <w:r>
        <w:fldChar w:fldCharType="separate"/>
      </w:r>
      <w:r>
        <w:t>17</w:t>
      </w:r>
      <w:r>
        <w:fldChar w:fldCharType="end"/>
      </w:r>
      <w:r>
        <w:fldChar w:fldCharType="end"/>
      </w:r>
    </w:p>
    <w:p w14:paraId="77041AA9">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"_Toc197274527" </w:instrText>
      </w:r>
      <w:r>
        <w:fldChar w:fldCharType="separate"/>
      </w:r>
      <w:r>
        <w:rPr>
          <w:rStyle w:val="34"/>
        </w:rPr>
        <w:t>3.4 任务定义</w:t>
      </w:r>
      <w:r>
        <w:tab/>
      </w:r>
      <w:r>
        <w:fldChar w:fldCharType="begin"/>
      </w:r>
      <w:r>
        <w:instrText xml:space="preserve"> PAGEREF _Toc197274527 \h </w:instrText>
      </w:r>
      <w:r>
        <w:fldChar w:fldCharType="separate"/>
      </w:r>
      <w:r>
        <w:t>18</w:t>
      </w:r>
      <w:r>
        <w:fldChar w:fldCharType="end"/>
      </w:r>
      <w:r>
        <w:fldChar w:fldCharType="end"/>
      </w:r>
    </w:p>
    <w:p w14:paraId="0293AFEF">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"_Toc197274528" </w:instrText>
      </w:r>
      <w:r>
        <w:fldChar w:fldCharType="separate"/>
      </w:r>
      <w:r>
        <w:rPr>
          <w:rStyle w:val="34"/>
        </w:rPr>
        <w:t>3.5 LEAD架构</w:t>
      </w:r>
      <w:r>
        <w:tab/>
      </w:r>
      <w:r>
        <w:fldChar w:fldCharType="begin"/>
      </w:r>
      <w:r>
        <w:instrText xml:space="preserve"> PAGEREF _Toc197274528 \h </w:instrText>
      </w:r>
      <w:r>
        <w:fldChar w:fldCharType="separate"/>
      </w:r>
      <w:r>
        <w:t>18</w:t>
      </w:r>
      <w:r>
        <w:fldChar w:fldCharType="end"/>
      </w:r>
      <w:r>
        <w:fldChar w:fldCharType="end"/>
      </w:r>
    </w:p>
    <w:p w14:paraId="1848D076">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"_Toc197274529" </w:instrText>
      </w:r>
      <w:r>
        <w:fldChar w:fldCharType="separate"/>
      </w:r>
      <w:r>
        <w:rPr>
          <w:rStyle w:val="34"/>
        </w:rPr>
        <w:t>3.5.1 数据集与预处理</w:t>
      </w:r>
      <w:r>
        <w:tab/>
      </w:r>
      <w:r>
        <w:fldChar w:fldCharType="begin"/>
      </w:r>
      <w:r>
        <w:instrText xml:space="preserve"> PAGEREF _Toc197274529 \h </w:instrText>
      </w:r>
      <w:r>
        <w:fldChar w:fldCharType="separate"/>
      </w:r>
      <w:r>
        <w:t>18</w:t>
      </w:r>
      <w:r>
        <w:fldChar w:fldCharType="end"/>
      </w:r>
      <w:r>
        <w:fldChar w:fldCharType="end"/>
      </w:r>
    </w:p>
    <w:p w14:paraId="5E17F336">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"_Toc197274530" </w:instrText>
      </w:r>
      <w:r>
        <w:fldChar w:fldCharType="separate"/>
      </w:r>
      <w:r>
        <w:rPr>
          <w:rStyle w:val="34"/>
        </w:rPr>
        <w:t>3.5.2 模型训练</w:t>
      </w:r>
      <w:r>
        <w:tab/>
      </w:r>
      <w:r>
        <w:fldChar w:fldCharType="begin"/>
      </w:r>
      <w:r>
        <w:instrText xml:space="preserve"> PAGEREF _Toc197274530 \h </w:instrText>
      </w:r>
      <w:r>
        <w:fldChar w:fldCharType="separate"/>
      </w:r>
      <w:r>
        <w:t>19</w:t>
      </w:r>
      <w:r>
        <w:fldChar w:fldCharType="end"/>
      </w:r>
      <w:r>
        <w:fldChar w:fldCharType="end"/>
      </w:r>
    </w:p>
    <w:p w14:paraId="2ACA979C">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"_Toc197274531" </w:instrText>
      </w:r>
      <w:r>
        <w:fldChar w:fldCharType="separate"/>
      </w:r>
      <w:r>
        <w:rPr>
          <w:rStyle w:val="34"/>
        </w:rPr>
        <w:t>3.5.3 推理部署</w:t>
      </w:r>
      <w:r>
        <w:tab/>
      </w:r>
      <w:r>
        <w:fldChar w:fldCharType="begin"/>
      </w:r>
      <w:r>
        <w:instrText xml:space="preserve"> PAGEREF _Toc197274531 \h </w:instrText>
      </w:r>
      <w:r>
        <w:fldChar w:fldCharType="separate"/>
      </w:r>
      <w:r>
        <w:t>20</w:t>
      </w:r>
      <w:r>
        <w:fldChar w:fldCharType="end"/>
      </w:r>
      <w:r>
        <w:fldChar w:fldCharType="end"/>
      </w:r>
    </w:p>
    <w:p w14:paraId="4A57F972">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"_Toc197274532" </w:instrText>
      </w:r>
      <w:r>
        <w:fldChar w:fldCharType="separate"/>
      </w:r>
      <w:r>
        <w:rPr>
          <w:rStyle w:val="34"/>
        </w:rPr>
        <w:t>3.6 本章小结</w:t>
      </w:r>
      <w:r>
        <w:tab/>
      </w:r>
      <w:r>
        <w:fldChar w:fldCharType="begin"/>
      </w:r>
      <w:r>
        <w:instrText xml:space="preserve"> PAGEREF _Toc197274532 \h </w:instrText>
      </w:r>
      <w:r>
        <w:fldChar w:fldCharType="separate"/>
      </w:r>
      <w:r>
        <w:t>21</w:t>
      </w:r>
      <w:r>
        <w:fldChar w:fldCharType="end"/>
      </w:r>
      <w:r>
        <w:fldChar w:fldCharType="end"/>
      </w:r>
    </w:p>
    <w:p w14:paraId="63F044EF">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"_Toc197274533" </w:instrText>
      </w:r>
      <w:r>
        <w:fldChar w:fldCharType="separate"/>
      </w:r>
      <w:r>
        <w:rPr>
          <w:rStyle w:val="34"/>
        </w:rPr>
        <w:t>第四章 实验与分析</w:t>
      </w:r>
      <w:r>
        <w:tab/>
      </w:r>
      <w:r>
        <w:fldChar w:fldCharType="begin"/>
      </w:r>
      <w:r>
        <w:instrText xml:space="preserve"> PAGEREF _Toc197274533 \h </w:instrText>
      </w:r>
      <w:r>
        <w:fldChar w:fldCharType="separate"/>
      </w:r>
      <w:r>
        <w:t>22</w:t>
      </w:r>
      <w:r>
        <w:fldChar w:fldCharType="end"/>
      </w:r>
      <w:r>
        <w:fldChar w:fldCharType="end"/>
      </w:r>
    </w:p>
    <w:p w14:paraId="2E3BA51E">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"_Toc197274534" </w:instrText>
      </w:r>
      <w:r>
        <w:fldChar w:fldCharType="separate"/>
      </w:r>
      <w:r>
        <w:rPr>
          <w:rStyle w:val="34"/>
        </w:rPr>
        <w:t>4.1 概述</w:t>
      </w:r>
      <w:r>
        <w:tab/>
      </w:r>
      <w:r>
        <w:fldChar w:fldCharType="begin"/>
      </w:r>
      <w:r>
        <w:instrText xml:space="preserve"> PAGEREF _Toc197274534 \h </w:instrText>
      </w:r>
      <w:r>
        <w:fldChar w:fldCharType="separate"/>
      </w:r>
      <w:r>
        <w:t>22</w:t>
      </w:r>
      <w:r>
        <w:fldChar w:fldCharType="end"/>
      </w:r>
      <w:r>
        <w:fldChar w:fldCharType="end"/>
      </w:r>
    </w:p>
    <w:p w14:paraId="08FE810E">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"_Toc197274535" </w:instrText>
      </w:r>
      <w:r>
        <w:fldChar w:fldCharType="separate"/>
      </w:r>
      <w:r>
        <w:rPr>
          <w:rStyle w:val="34"/>
        </w:rPr>
        <w:t>4.2 大模型评测</w:t>
      </w:r>
      <w:r>
        <w:tab/>
      </w:r>
      <w:r>
        <w:fldChar w:fldCharType="begin"/>
      </w:r>
      <w:r>
        <w:instrText xml:space="preserve"> PAGEREF _Toc197274535 \h </w:instrText>
      </w:r>
      <w:r>
        <w:fldChar w:fldCharType="separate"/>
      </w:r>
      <w:r>
        <w:t>22</w:t>
      </w:r>
      <w:r>
        <w:fldChar w:fldCharType="end"/>
      </w:r>
      <w:r>
        <w:fldChar w:fldCharType="end"/>
      </w:r>
    </w:p>
    <w:p w14:paraId="63E166DD">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"_Toc197274536" </w:instrText>
      </w:r>
      <w:r>
        <w:fldChar w:fldCharType="separate"/>
      </w:r>
      <w:r>
        <w:rPr>
          <w:rStyle w:val="34"/>
        </w:rPr>
        <w:t>4.2.1 JailBench数据集</w:t>
      </w:r>
      <w:r>
        <w:tab/>
      </w:r>
      <w:r>
        <w:fldChar w:fldCharType="begin"/>
      </w:r>
      <w:r>
        <w:instrText xml:space="preserve"> PAGEREF _Toc197274536 \h </w:instrText>
      </w:r>
      <w:r>
        <w:fldChar w:fldCharType="separate"/>
      </w:r>
      <w:r>
        <w:t>22</w:t>
      </w:r>
      <w:r>
        <w:fldChar w:fldCharType="end"/>
      </w:r>
      <w:r>
        <w:fldChar w:fldCharType="end"/>
      </w:r>
    </w:p>
    <w:p w14:paraId="339E32A9">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"_Toc197274537" </w:instrText>
      </w:r>
      <w:r>
        <w:fldChar w:fldCharType="separate"/>
      </w:r>
      <w:r>
        <w:rPr>
          <w:rStyle w:val="34"/>
        </w:rPr>
        <w:t>4.2.2 评估实验设计</w:t>
      </w:r>
      <w:r>
        <w:tab/>
      </w:r>
      <w:r>
        <w:fldChar w:fldCharType="begin"/>
      </w:r>
      <w:r>
        <w:instrText xml:space="preserve"> PAGEREF _Toc197274537 \h </w:instrText>
      </w:r>
      <w:r>
        <w:fldChar w:fldCharType="separate"/>
      </w:r>
      <w:r>
        <w:t>22</w:t>
      </w:r>
      <w:r>
        <w:fldChar w:fldCharType="end"/>
      </w:r>
      <w:r>
        <w:fldChar w:fldCharType="end"/>
      </w:r>
    </w:p>
    <w:p w14:paraId="39C578BA">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"_Toc197274538" </w:instrText>
      </w:r>
      <w:r>
        <w:fldChar w:fldCharType="separate"/>
      </w:r>
      <w:r>
        <w:rPr>
          <w:rStyle w:val="34"/>
        </w:rPr>
        <w:t>4.2.3 评测结果与分析</w:t>
      </w:r>
      <w:r>
        <w:tab/>
      </w:r>
      <w:r>
        <w:fldChar w:fldCharType="begin"/>
      </w:r>
      <w:r>
        <w:instrText xml:space="preserve"> PAGEREF _Toc197274538 \h </w:instrText>
      </w:r>
      <w:r>
        <w:fldChar w:fldCharType="separate"/>
      </w:r>
      <w:r>
        <w:t>23</w:t>
      </w:r>
      <w:r>
        <w:fldChar w:fldCharType="end"/>
      </w:r>
      <w:r>
        <w:fldChar w:fldCharType="end"/>
      </w:r>
    </w:p>
    <w:p w14:paraId="7D87109C">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"_Toc197274539" </w:instrText>
      </w:r>
      <w:r>
        <w:fldChar w:fldCharType="separate"/>
      </w:r>
      <w:r>
        <w:rPr>
          <w:rStyle w:val="34"/>
        </w:rPr>
        <w:t>4.3 LEAD对比实验</w:t>
      </w:r>
      <w:r>
        <w:tab/>
      </w:r>
      <w:r>
        <w:fldChar w:fldCharType="begin"/>
      </w:r>
      <w:r>
        <w:instrText xml:space="preserve"> PAGEREF _Toc197274539 \h </w:instrText>
      </w:r>
      <w:r>
        <w:fldChar w:fldCharType="separate"/>
      </w:r>
      <w:r>
        <w:t>25</w:t>
      </w:r>
      <w:r>
        <w:fldChar w:fldCharType="end"/>
      </w:r>
      <w:r>
        <w:fldChar w:fldCharType="end"/>
      </w:r>
    </w:p>
    <w:p w14:paraId="7FA56019">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"_Toc197274540" </w:instrText>
      </w:r>
      <w:r>
        <w:fldChar w:fldCharType="separate"/>
      </w:r>
      <w:r>
        <w:rPr>
          <w:rStyle w:val="34"/>
        </w:rPr>
        <w:t>4.3.1 评估指标</w:t>
      </w:r>
      <w:r>
        <w:tab/>
      </w:r>
      <w:r>
        <w:fldChar w:fldCharType="begin"/>
      </w:r>
      <w:r>
        <w:instrText xml:space="preserve"> PAGEREF _Toc197274540 \h </w:instrText>
      </w:r>
      <w:r>
        <w:fldChar w:fldCharType="separate"/>
      </w:r>
      <w:r>
        <w:t>25</w:t>
      </w:r>
      <w:r>
        <w:fldChar w:fldCharType="end"/>
      </w:r>
      <w:r>
        <w:fldChar w:fldCharType="end"/>
      </w:r>
    </w:p>
    <w:p w14:paraId="3AEC85A3">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"_Toc197274541" </w:instrText>
      </w:r>
      <w:r>
        <w:fldChar w:fldCharType="separate"/>
      </w:r>
      <w:r>
        <w:rPr>
          <w:rStyle w:val="34"/>
        </w:rPr>
        <w:t>4.3.2 基线方法</w:t>
      </w:r>
      <w:r>
        <w:tab/>
      </w:r>
      <w:r>
        <w:fldChar w:fldCharType="begin"/>
      </w:r>
      <w:r>
        <w:instrText xml:space="preserve"> PAGEREF _Toc197274541 \h </w:instrText>
      </w:r>
      <w:r>
        <w:fldChar w:fldCharType="separate"/>
      </w:r>
      <w:r>
        <w:t>25</w:t>
      </w:r>
      <w:r>
        <w:fldChar w:fldCharType="end"/>
      </w:r>
      <w:r>
        <w:fldChar w:fldCharType="end"/>
      </w:r>
    </w:p>
    <w:p w14:paraId="3CAA9432">
      <w:pPr>
        <w:pStyle w:val="11"/>
        <w:tabs>
          <w:tab w:val="right" w:leader="dot" w:pos="9062"/>
        </w:tabs>
        <w:ind w:firstLine="480"/>
        <w:rPr>
          <w:rFonts w:asciiTheme="minorHAnsi" w:hAnsiTheme="minorHAnsi" w:eastAsiaTheme="minorEastAsia" w:cstheme="minorBidi"/>
          <w:iCs w:val="0"/>
          <w:sz w:val="22"/>
          <w14:ligatures w14:val="standardContextual"/>
        </w:rPr>
      </w:pPr>
      <w:r>
        <w:fldChar w:fldCharType="begin"/>
      </w:r>
      <w:r>
        <w:instrText xml:space="preserve"> HYPERLINK \l "_Toc197274542" </w:instrText>
      </w:r>
      <w:r>
        <w:fldChar w:fldCharType="separate"/>
      </w:r>
      <w:r>
        <w:rPr>
          <w:rStyle w:val="34"/>
        </w:rPr>
        <w:t>4.3.3 实验结果</w:t>
      </w:r>
      <w:r>
        <w:tab/>
      </w:r>
      <w:r>
        <w:fldChar w:fldCharType="begin"/>
      </w:r>
      <w:r>
        <w:instrText xml:space="preserve"> PAGEREF _Toc197274542 \h </w:instrText>
      </w:r>
      <w:r>
        <w:fldChar w:fldCharType="separate"/>
      </w:r>
      <w:r>
        <w:t>28</w:t>
      </w:r>
      <w:r>
        <w:fldChar w:fldCharType="end"/>
      </w:r>
      <w:r>
        <w:fldChar w:fldCharType="end"/>
      </w:r>
    </w:p>
    <w:p w14:paraId="492C8341">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"_Toc197274543" </w:instrText>
      </w:r>
      <w:r>
        <w:fldChar w:fldCharType="separate"/>
      </w:r>
      <w:r>
        <w:rPr>
          <w:rStyle w:val="34"/>
        </w:rPr>
        <w:t>4.4 本章小结</w:t>
      </w:r>
      <w:r>
        <w:tab/>
      </w:r>
      <w:r>
        <w:fldChar w:fldCharType="begin"/>
      </w:r>
      <w:r>
        <w:instrText xml:space="preserve"> PAGEREF _Toc197274543 \h </w:instrText>
      </w:r>
      <w:r>
        <w:fldChar w:fldCharType="separate"/>
      </w:r>
      <w:r>
        <w:t>32</w:t>
      </w:r>
      <w:r>
        <w:fldChar w:fldCharType="end"/>
      </w:r>
      <w:r>
        <w:fldChar w:fldCharType="end"/>
      </w:r>
    </w:p>
    <w:p w14:paraId="45940546">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"_Toc197274544" </w:instrText>
      </w:r>
      <w:r>
        <w:fldChar w:fldCharType="separate"/>
      </w:r>
      <w:r>
        <w:rPr>
          <w:rStyle w:val="34"/>
        </w:rPr>
        <w:t>第五章 总结与展望</w:t>
      </w:r>
      <w:r>
        <w:tab/>
      </w:r>
      <w:r>
        <w:fldChar w:fldCharType="begin"/>
      </w:r>
      <w:r>
        <w:instrText xml:space="preserve"> PAGEREF _Toc197274544 \h </w:instrText>
      </w:r>
      <w:r>
        <w:fldChar w:fldCharType="separate"/>
      </w:r>
      <w:r>
        <w:t>33</w:t>
      </w:r>
      <w:r>
        <w:fldChar w:fldCharType="end"/>
      </w:r>
      <w:r>
        <w:fldChar w:fldCharType="end"/>
      </w:r>
    </w:p>
    <w:p w14:paraId="3D6E523F">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"_Toc197274545" </w:instrText>
      </w:r>
      <w:r>
        <w:fldChar w:fldCharType="separate"/>
      </w:r>
      <w:r>
        <w:rPr>
          <w:rStyle w:val="34"/>
        </w:rPr>
        <w:t>5.1 论文工作总结</w:t>
      </w:r>
      <w:r>
        <w:tab/>
      </w:r>
      <w:r>
        <w:fldChar w:fldCharType="begin"/>
      </w:r>
      <w:r>
        <w:instrText xml:space="preserve"> PAGEREF _Toc197274545 \h </w:instrText>
      </w:r>
      <w:r>
        <w:fldChar w:fldCharType="separate"/>
      </w:r>
      <w:r>
        <w:t>33</w:t>
      </w:r>
      <w:r>
        <w:fldChar w:fldCharType="end"/>
      </w:r>
      <w:r>
        <w:fldChar w:fldCharType="end"/>
      </w:r>
    </w:p>
    <w:p w14:paraId="40592742">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"_Toc197274546" </w:instrText>
      </w:r>
      <w:r>
        <w:fldChar w:fldCharType="separate"/>
      </w:r>
      <w:r>
        <w:rPr>
          <w:rStyle w:val="34"/>
        </w:rPr>
        <w:t>5.2 未来工作展望</w:t>
      </w:r>
      <w:r>
        <w:tab/>
      </w:r>
      <w:r>
        <w:fldChar w:fldCharType="begin"/>
      </w:r>
      <w:r>
        <w:instrText xml:space="preserve"> PAGEREF _Toc197274546 \h </w:instrText>
      </w:r>
      <w:r>
        <w:fldChar w:fldCharType="separate"/>
      </w:r>
      <w:r>
        <w:t>34</w:t>
      </w:r>
      <w:r>
        <w:fldChar w:fldCharType="end"/>
      </w:r>
      <w:r>
        <w:fldChar w:fldCharType="end"/>
      </w:r>
    </w:p>
    <w:p w14:paraId="2B189ACA">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"_Toc197274547" </w:instrText>
      </w:r>
      <w:r>
        <w:fldChar w:fldCharType="separate"/>
      </w:r>
      <w:r>
        <w:rPr>
          <w:rStyle w:val="34"/>
        </w:rPr>
        <w:t>参考文献</w:t>
      </w:r>
      <w:r>
        <w:tab/>
      </w:r>
      <w:r>
        <w:fldChar w:fldCharType="begin"/>
      </w:r>
      <w:r>
        <w:instrText xml:space="preserve"> PAGEREF _Toc197274547 \h </w:instrText>
      </w:r>
      <w:r>
        <w:fldChar w:fldCharType="separate"/>
      </w:r>
      <w:r>
        <w:t>36</w:t>
      </w:r>
      <w:r>
        <w:fldChar w:fldCharType="end"/>
      </w:r>
      <w:r>
        <w:fldChar w:fldCharType="end"/>
      </w:r>
    </w:p>
    <w:p w14:paraId="1D91E79C">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"_Toc197274548" </w:instrText>
      </w:r>
      <w:r>
        <w:fldChar w:fldCharType="separate"/>
      </w:r>
      <w:r>
        <w:rPr>
          <w:rStyle w:val="34"/>
        </w:rPr>
        <w:t>致谢</w:t>
      </w:r>
      <w:r>
        <w:tab/>
      </w:r>
      <w:r>
        <w:fldChar w:fldCharType="begin"/>
      </w:r>
      <w:r>
        <w:instrText xml:space="preserve"> PAGEREF _Toc197274548 \h </w:instrText>
      </w:r>
      <w:r>
        <w:fldChar w:fldCharType="separate"/>
      </w:r>
      <w:r>
        <w:t>40</w:t>
      </w:r>
      <w:r>
        <w:fldChar w:fldCharType="end"/>
      </w:r>
      <w:r>
        <w:fldChar w:fldCharType="end"/>
      </w:r>
    </w:p>
    <w:p w14:paraId="3834D279">
      <w:pPr>
        <w:pStyle w:val="18"/>
        <w:tabs>
          <w:tab w:val="right" w:leader="dot" w:pos="9062"/>
        </w:tabs>
        <w:ind w:firstLine="480"/>
        <w:rPr>
          <w:rFonts w:asciiTheme="minorHAnsi" w:hAnsiTheme="minorHAnsi" w:eastAsiaTheme="minorEastAsia" w:cstheme="minorBidi"/>
          <w:bCs w:val="0"/>
          <w:caps w:val="0"/>
          <w:sz w:val="22"/>
          <w14:ligatures w14:val="standardContextual"/>
        </w:rPr>
      </w:pPr>
      <w:r>
        <w:fldChar w:fldCharType="begin"/>
      </w:r>
      <w:r>
        <w:instrText xml:space="preserve"> HYPERLINK \l "_Toc197274549" </w:instrText>
      </w:r>
      <w:r>
        <w:fldChar w:fldCharType="separate"/>
      </w:r>
      <w:r>
        <w:rPr>
          <w:rStyle w:val="34"/>
          <w:rFonts w:eastAsia="宋体"/>
        </w:rPr>
        <w:t>附录</w:t>
      </w:r>
      <w:r>
        <w:tab/>
      </w:r>
      <w:r>
        <w:fldChar w:fldCharType="begin"/>
      </w:r>
      <w:r>
        <w:instrText xml:space="preserve"> PAGEREF _Toc197274549 \h </w:instrText>
      </w:r>
      <w:r>
        <w:fldChar w:fldCharType="separate"/>
      </w:r>
      <w:r>
        <w:t>41</w:t>
      </w:r>
      <w:r>
        <w:fldChar w:fldCharType="end"/>
      </w:r>
      <w:r>
        <w:fldChar w:fldCharType="end"/>
      </w:r>
    </w:p>
    <w:p w14:paraId="18FDA5B2">
      <w:pPr>
        <w:pStyle w:val="23"/>
        <w:tabs>
          <w:tab w:val="right" w:leader="dot" w:pos="9062"/>
        </w:tabs>
        <w:ind w:firstLine="480"/>
        <w:rPr>
          <w:rFonts w:asciiTheme="minorHAnsi" w:hAnsiTheme="minorHAnsi" w:eastAsiaTheme="minorEastAsia" w:cstheme="minorBidi"/>
          <w:smallCaps w:val="0"/>
          <w:sz w:val="22"/>
          <w14:ligatures w14:val="standardContextual"/>
        </w:rPr>
      </w:pPr>
      <w:r>
        <w:fldChar w:fldCharType="begin"/>
      </w:r>
      <w:r>
        <w:instrText xml:space="preserve"> HYPERLINK \l "_Toc197274550" </w:instrText>
      </w:r>
      <w:r>
        <w:fldChar w:fldCharType="separate"/>
      </w:r>
      <w:r>
        <w:rPr>
          <w:rStyle w:val="34"/>
        </w:rPr>
        <w:t>附录1 缩略词表</w:t>
      </w:r>
      <w:r>
        <w:tab/>
      </w:r>
      <w:r>
        <w:fldChar w:fldCharType="begin"/>
      </w:r>
      <w:r>
        <w:instrText xml:space="preserve"> PAGEREF _Toc197274550 \h </w:instrText>
      </w:r>
      <w:r>
        <w:fldChar w:fldCharType="separate"/>
      </w:r>
      <w:r>
        <w:t>41</w:t>
      </w:r>
      <w:r>
        <w:fldChar w:fldCharType="end"/>
      </w:r>
      <w:r>
        <w:fldChar w:fldCharType="end"/>
      </w:r>
    </w:p>
    <w:p w14:paraId="15C2DBFE">
      <w:pPr>
        <w:widowControl/>
        <w:ind w:firstLine="0" w:firstLineChars="0"/>
        <w:jc w:val="left"/>
        <w:sectPr>
          <w:headerReference r:id="rId12" w:type="default"/>
          <w:footerReference r:id="rId13" w:type="default"/>
          <w:type w:val="continuous"/>
          <w:pgSz w:w="11906" w:h="16838"/>
          <w:pgMar w:top="1417" w:right="1417" w:bottom="1417" w:left="1417" w:header="850" w:footer="850" w:gutter="0"/>
          <w:pgNumType w:fmt="upperRoman" w:start="1"/>
          <w:cols w:space="0" w:num="1"/>
          <w:docGrid w:linePitch="333" w:charSpace="0"/>
        </w:sectPr>
      </w:pPr>
      <w:r>
        <w:rPr>
          <w:rFonts w:hAnsi="黑体" w:cs="黑体" w:asciiTheme="minorHAnsi" w:eastAsiaTheme="minorHAnsi"/>
          <w:b/>
          <w:bCs/>
          <w:caps/>
          <w:sz w:val="20"/>
          <w:szCs w:val="20"/>
        </w:rPr>
        <w:fldChar w:fldCharType="end"/>
      </w:r>
    </w:p>
    <w:p w14:paraId="73720C49">
      <w:pPr>
        <w:pStyle w:val="2"/>
        <w:spacing w:before="240" w:after="240" w:line="360" w:lineRule="auto"/>
        <w:ind w:firstLine="0" w:firstLineChars="0"/>
        <w:rPr>
          <w:szCs w:val="32"/>
        </w:rPr>
      </w:pPr>
      <w:bookmarkStart w:id="9" w:name="_Toc197274508"/>
      <w:bookmarkStart w:id="10" w:name="_Toc89253903"/>
      <w:r>
        <w:rPr>
          <w:rFonts w:hint="eastAsia"/>
          <w:szCs w:val="32"/>
        </w:rPr>
        <w:t>第一章 绪论</w:t>
      </w:r>
      <w:bookmarkEnd w:id="9"/>
    </w:p>
    <w:p w14:paraId="3BC5EB4F">
      <w:pPr>
        <w:pStyle w:val="3"/>
        <w:spacing w:before="240" w:after="240"/>
        <w:ind w:firstLine="0" w:firstLineChars="0"/>
      </w:pPr>
      <w:bookmarkStart w:id="11" w:name="_Toc197274509"/>
      <w:r>
        <w:rPr>
          <w:rFonts w:hint="eastAsia"/>
        </w:rPr>
        <w:t>1.1 研究背景及意义</w:t>
      </w:r>
      <w:bookmarkEnd w:id="11"/>
    </w:p>
    <w:p w14:paraId="449EEFA5">
      <w:pPr>
        <w:ind w:firstLine="480"/>
        <w:rPr>
          <w:szCs w:val="21"/>
        </w:rPr>
      </w:pPr>
      <w:bookmarkStart w:id="12" w:name="OLE_LINK1"/>
      <w:r>
        <w:rPr>
          <w:rFonts w:hint="eastAsia"/>
          <w:szCs w:val="21"/>
        </w:rPr>
        <w:t>大型语</w:t>
      </w:r>
      <w:r>
        <w:rPr>
          <w:rFonts w:hint="eastAsia"/>
        </w:rPr>
        <w:t>言模型</w:t>
      </w:r>
      <w:r>
        <w:t>(Large Language Models, LLMs)</w:t>
      </w:r>
      <w:r>
        <w:rPr>
          <w:rFonts w:hint="eastAsia"/>
        </w:rPr>
        <w:t>，比如ChatGPT</w:t>
      </w:r>
      <w:r>
        <w:rPr>
          <w:vertAlign w:val="superscript"/>
        </w:rPr>
        <w:fldChar w:fldCharType="begin"/>
      </w:r>
      <w:r>
        <w:rPr>
          <w:vertAlign w:val="superscript"/>
        </w:rPr>
        <w:instrText xml:space="preserve"> </w:instrText>
      </w:r>
      <w:r>
        <w:rPr>
          <w:rFonts w:hint="eastAsia"/>
          <w:vertAlign w:val="superscript"/>
        </w:rPr>
        <w:instrText xml:space="preserve">REF _Ref195387648 \r \h</w:instrText>
      </w:r>
      <w:r>
        <w:rPr>
          <w:vertAlign w:val="superscript"/>
        </w:rPr>
        <w:instrText xml:space="preserve">  \* MERGEFORMAT </w:instrText>
      </w:r>
      <w:r>
        <w:rPr>
          <w:vertAlign w:val="superscript"/>
        </w:rPr>
        <w:fldChar w:fldCharType="separate"/>
      </w:r>
      <w:r>
        <w:rPr>
          <w:vertAlign w:val="superscript"/>
        </w:rPr>
        <w:t>[1]</w:t>
      </w:r>
      <w:r>
        <w:rPr>
          <w:vertAlign w:val="superscript"/>
        </w:rPr>
        <w:fldChar w:fldCharType="end"/>
      </w:r>
      <w:r>
        <w:t>, Llama</w:t>
      </w:r>
      <w:r>
        <w:rPr>
          <w:vertAlign w:val="superscript"/>
        </w:rPr>
        <w:fldChar w:fldCharType="begin"/>
      </w:r>
      <w:r>
        <w:rPr>
          <w:vertAlign w:val="superscript"/>
        </w:rPr>
        <w:instrText xml:space="preserve"> REF _Ref195387706 \r \h  \* MERGEFORMAT </w:instrText>
      </w:r>
      <w:r>
        <w:rPr>
          <w:vertAlign w:val="superscript"/>
        </w:rPr>
        <w:fldChar w:fldCharType="separate"/>
      </w:r>
      <w:r>
        <w:rPr>
          <w:vertAlign w:val="superscript"/>
        </w:rPr>
        <w:t>[2]</w:t>
      </w:r>
      <w:r>
        <w:rPr>
          <w:vertAlign w:val="superscript"/>
        </w:rPr>
        <w:fldChar w:fldCharType="end"/>
      </w:r>
      <w:r>
        <w:t>, Qwen</w:t>
      </w:r>
      <w:r>
        <w:rPr>
          <w:vertAlign w:val="superscript"/>
        </w:rPr>
        <w:fldChar w:fldCharType="begin"/>
      </w:r>
      <w:r>
        <w:rPr>
          <w:vertAlign w:val="superscript"/>
        </w:rPr>
        <w:instrText xml:space="preserve"> REF _Ref195387724 \r \h  \* MERGEFORMAT </w:instrText>
      </w:r>
      <w:r>
        <w:rPr>
          <w:vertAlign w:val="superscript"/>
        </w:rPr>
        <w:fldChar w:fldCharType="separate"/>
      </w:r>
      <w:r>
        <w:rPr>
          <w:vertAlign w:val="superscript"/>
        </w:rPr>
        <w:t>[3]</w:t>
      </w:r>
      <w:r>
        <w:rPr>
          <w:vertAlign w:val="superscript"/>
        </w:rPr>
        <w:fldChar w:fldCharType="end"/>
      </w:r>
      <w:r>
        <w:rPr>
          <w:rFonts w:hint="eastAsia"/>
        </w:rPr>
        <w:t>等已经在自然语言处理</w:t>
      </w:r>
      <w:r>
        <w:t>(Natural Language Processing, NLP)</w:t>
      </w:r>
      <w:r>
        <w:rPr>
          <w:rFonts w:hint="eastAsia"/>
        </w:rPr>
        <w:t>任务上表现出强大的能力，</w:t>
      </w:r>
      <w:bookmarkEnd w:id="12"/>
      <w:r>
        <w:rPr>
          <w:rFonts w:hint="eastAsia"/>
        </w:rPr>
        <w:t>广泛应用于问答系统、代码补全、文本生成、智能搜索、对话系统、教育辅导、法律咨询以及医疗问诊等多个领域。这些模型之所以能够取得如此显著的性能，主要得益于其深层次的语义理解与生成能力。这种能力源自对海量高质量文本语料的深度预训练，使模型能够在多样化的语言环境中不断学习语言规律、归纳语义模式，从而在文本理解和自然语言生成任务中实现高度泛化与精确表达。</w:t>
      </w:r>
    </w:p>
    <w:p w14:paraId="05B75BCD">
      <w:pPr>
        <w:ind w:firstLine="480"/>
        <w:rPr>
          <w:color w:val="000000" w:themeColor="text1"/>
          <w:szCs w:val="21"/>
          <w14:textFill>
            <w14:solidFill>
              <w14:schemeClr w14:val="tx1"/>
            </w14:solidFill>
          </w14:textFill>
        </w:rPr>
      </w:pPr>
      <w:r>
        <w:rPr>
          <w:rFonts w:hint="eastAsia"/>
          <w:szCs w:val="21"/>
        </w:rPr>
        <w:t>然而，大模型的复</w:t>
      </w:r>
      <w:r>
        <w:rPr>
          <w:rFonts w:hint="eastAsia"/>
        </w:rPr>
        <w:t>杂性和开放性也使其潜在的攻击面进一步扩大。提示注入</w:t>
      </w:r>
      <w:r>
        <w:t>(Prompt Injection)/</w:t>
      </w:r>
      <w:r>
        <w:rPr>
          <w:rFonts w:hint="eastAsia"/>
        </w:rPr>
        <w:t>越狱</w:t>
      </w:r>
      <w:r>
        <w:t>(Jailbreak)</w:t>
      </w:r>
      <w:r>
        <w:rPr>
          <w:rFonts w:hint="eastAsia"/>
        </w:rPr>
        <w:t>对大模型的安全构成威胁，是针对于大模型限制机制的核心攻击模式。这种攻击会通过提供特殊或恶意输入，引导大模型生成违规或敏感输出，如图1-1所示。一方面，越狱提示会导致大模型的滥用，从而可能导致各种非法或不良的后果</w:t>
      </w:r>
      <w:r>
        <w:rPr>
          <w:vertAlign w:val="superscript"/>
        </w:rPr>
        <w:fldChar w:fldCharType="begin"/>
      </w:r>
      <w:r>
        <w:rPr>
          <w:vertAlign w:val="superscript"/>
        </w:rPr>
        <w:instrText xml:space="preserve"> </w:instrText>
      </w:r>
      <w:r>
        <w:rPr>
          <w:rFonts w:hint="eastAsia"/>
          <w:vertAlign w:val="superscript"/>
        </w:rPr>
        <w:instrText xml:space="preserve">REF _Ref195387820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vertAlign w:val="superscript"/>
        </w:rPr>
        <w:fldChar w:fldCharType="begin"/>
      </w:r>
      <w:r>
        <w:rPr>
          <w:vertAlign w:val="superscript"/>
        </w:rPr>
        <w:instrText xml:space="preserve"> REF _Ref196577220 \r \h  \* MERGEFORMAT </w:instrText>
      </w:r>
      <w:r>
        <w:rPr>
          <w:vertAlign w:val="superscript"/>
        </w:rPr>
        <w:fldChar w:fldCharType="separate"/>
      </w:r>
      <w:r>
        <w:rPr>
          <w:vertAlign w:val="superscript"/>
        </w:rPr>
        <w:t>[5]</w:t>
      </w:r>
      <w:r>
        <w:rPr>
          <w:vertAlign w:val="superscript"/>
        </w:rPr>
        <w:fldChar w:fldCharType="end"/>
      </w:r>
      <w:r>
        <w:rPr>
          <w:rFonts w:hint="eastAsia"/>
        </w:rPr>
        <w:t>。尽管大模型通常在后训练时会与人类价值观念进行安全对齐</w:t>
      </w:r>
      <w:r>
        <w:rPr>
          <w:vertAlign w:val="superscript"/>
        </w:rPr>
        <w:fldChar w:fldCharType="begin"/>
      </w:r>
      <w:r>
        <w:rPr>
          <w:vertAlign w:val="superscript"/>
        </w:rPr>
        <w:instrText xml:space="preserve"> </w:instrText>
      </w:r>
      <w:r>
        <w:rPr>
          <w:rFonts w:hint="eastAsia"/>
          <w:vertAlign w:val="superscript"/>
        </w:rPr>
        <w:instrText xml:space="preserve">REF _Ref195388383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vertAlign w:val="superscript"/>
        </w:rPr>
        <w:fldChar w:fldCharType="begin"/>
      </w:r>
      <w:r>
        <w:rPr>
          <w:vertAlign w:val="superscript"/>
        </w:rPr>
        <w:instrText xml:space="preserve"> REF _Ref195388387 \r \h  \* MERGEFORMAT </w:instrText>
      </w:r>
      <w:r>
        <w:rPr>
          <w:vertAlign w:val="superscript"/>
        </w:rPr>
        <w:fldChar w:fldCharType="separate"/>
      </w:r>
      <w:r>
        <w:rPr>
          <w:vertAlign w:val="superscript"/>
        </w:rPr>
        <w:t>[7]</w:t>
      </w:r>
      <w:r>
        <w:rPr>
          <w:vertAlign w:val="superscript"/>
        </w:rPr>
        <w:fldChar w:fldCharType="end"/>
      </w:r>
      <w:r>
        <w:rPr>
          <w:rFonts w:hint="eastAsia"/>
        </w:rPr>
        <w:t>，但是仍然会容易受到各种攻击</w:t>
      </w:r>
      <w:r>
        <w:rPr>
          <w:vertAlign w:val="superscript"/>
        </w:rPr>
        <w:fldChar w:fldCharType="begin"/>
      </w:r>
      <w:r>
        <w:rPr>
          <w:vertAlign w:val="superscript"/>
        </w:rPr>
        <w:instrText xml:space="preserve"> </w:instrText>
      </w:r>
      <w:r>
        <w:rPr>
          <w:rFonts w:hint="eastAsia"/>
          <w:vertAlign w:val="superscript"/>
        </w:rPr>
        <w:instrText xml:space="preserve">REF _Ref195387820 \r \h</w:instrText>
      </w:r>
      <w:r>
        <w:rPr>
          <w:vertAlign w:val="superscript"/>
        </w:rPr>
        <w:instrText xml:space="preserve">  \* MERGEFORMAT </w:instrText>
      </w:r>
      <w:r>
        <w:rPr>
          <w:vertAlign w:val="superscript"/>
        </w:rPr>
        <w:fldChar w:fldCharType="separate"/>
      </w:r>
      <w:r>
        <w:rPr>
          <w:vertAlign w:val="superscript"/>
        </w:rPr>
        <w:t>[4]</w:t>
      </w:r>
      <w:r>
        <w:rPr>
          <w:vertAlign w:val="superscript"/>
        </w:rPr>
        <w:fldChar w:fldCharType="end"/>
      </w:r>
      <w:r>
        <w:rPr>
          <w:vertAlign w:val="superscript"/>
        </w:rPr>
        <w:fldChar w:fldCharType="begin"/>
      </w:r>
      <w:r>
        <w:rPr>
          <w:vertAlign w:val="superscript"/>
        </w:rPr>
        <w:instrText xml:space="preserve"> REF _Ref196577220 \r \h  \* MERGEFORMAT </w:instrText>
      </w:r>
      <w:r>
        <w:rPr>
          <w:vertAlign w:val="superscript"/>
        </w:rPr>
        <w:fldChar w:fldCharType="separate"/>
      </w:r>
      <w:r>
        <w:rPr>
          <w:vertAlign w:val="superscript"/>
        </w:rPr>
        <w:t>[5]</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_Ref195388695 \r \h  \* MERGEFORMAT </w:instrText>
      </w:r>
      <w:r>
        <w:rPr>
          <w:vertAlign w:val="superscript"/>
        </w:rPr>
        <w:fldChar w:fldCharType="separate"/>
      </w:r>
      <w:r>
        <w:rPr>
          <w:vertAlign w:val="superscript"/>
        </w:rPr>
        <w:t>[8]</w:t>
      </w:r>
      <w:r>
        <w:rPr>
          <w:vertAlign w:val="superscript"/>
        </w:rPr>
        <w:fldChar w:fldCharType="end"/>
      </w:r>
      <w:r>
        <w:rPr>
          <w:vertAlign w:val="superscript"/>
        </w:rPr>
        <w:fldChar w:fldCharType="begin"/>
      </w:r>
      <w:r>
        <w:rPr>
          <w:vertAlign w:val="superscript"/>
        </w:rPr>
        <w:instrText xml:space="preserve"> REF _Ref195388696 \r \h  \* MERGEFORMAT </w:instrText>
      </w:r>
      <w:r>
        <w:rPr>
          <w:vertAlign w:val="superscript"/>
        </w:rPr>
        <w:fldChar w:fldCharType="separate"/>
      </w:r>
      <w:r>
        <w:rPr>
          <w:vertAlign w:val="superscript"/>
        </w:rPr>
        <w:t>[9]</w:t>
      </w:r>
      <w:r>
        <w:rPr>
          <w:vertAlign w:val="superscript"/>
        </w:rPr>
        <w:fldChar w:fldCharType="end"/>
      </w:r>
      <w:r>
        <w:rPr>
          <w:rFonts w:hint="eastAsia"/>
        </w:rPr>
        <w:t>。另一方面，如果训练集中的越狱提示未被检测和过滤，那么模型在微调后，容易遵循越狱提示</w:t>
      </w:r>
      <w:r>
        <w:rPr>
          <w:rFonts w:hint="eastAsia"/>
          <w:color w:val="000000" w:themeColor="text1"/>
          <w:szCs w:val="21"/>
          <w14:textFill>
            <w14:solidFill>
              <w14:schemeClr w14:val="tx1"/>
            </w14:solidFill>
          </w14:textFill>
        </w:rPr>
        <w:t>的指令，表现出不安全的行为</w:t>
      </w:r>
      <w:r>
        <w:rPr>
          <w:color w:val="000000" w:themeColor="text1"/>
          <w:szCs w:val="21"/>
          <w:vertAlign w:val="superscript"/>
          <w14:textFill>
            <w14:solidFill>
              <w14:schemeClr w14:val="tx1"/>
            </w14:solidFill>
          </w14:textFill>
        </w:rPr>
        <w:fldChar w:fldCharType="begin"/>
      </w:r>
      <w:r>
        <w:rPr>
          <w:color w:val="000000" w:themeColor="text1"/>
          <w:szCs w:val="21"/>
          <w:vertAlign w:val="superscript"/>
          <w14:textFill>
            <w14:solidFill>
              <w14:schemeClr w14:val="tx1"/>
            </w14:solidFill>
          </w14:textFill>
        </w:rPr>
        <w:instrText xml:space="preserve"> </w:instrText>
      </w:r>
      <w:r>
        <w:rPr>
          <w:rFonts w:hint="eastAsia"/>
          <w:color w:val="000000" w:themeColor="text1"/>
          <w:szCs w:val="21"/>
          <w:vertAlign w:val="superscript"/>
          <w14:textFill>
            <w14:solidFill>
              <w14:schemeClr w14:val="tx1"/>
            </w14:solidFill>
          </w14:textFill>
        </w:rPr>
        <w:instrText xml:space="preserve">REF _Ref195388945 \r \h</w:instrText>
      </w:r>
      <w:r>
        <w:rPr>
          <w:color w:val="000000" w:themeColor="text1"/>
          <w:szCs w:val="21"/>
          <w:vertAlign w:val="superscript"/>
          <w14:textFill>
            <w14:solidFill>
              <w14:schemeClr w14:val="tx1"/>
            </w14:solidFill>
          </w14:textFill>
        </w:rPr>
        <w:instrText xml:space="preserve">  \* MERGEFORMAT </w:instrText>
      </w:r>
      <w:r>
        <w:rPr>
          <w:color w:val="000000" w:themeColor="text1"/>
          <w:szCs w:val="21"/>
          <w:vertAlign w:val="superscript"/>
          <w14:textFill>
            <w14:solidFill>
              <w14:schemeClr w14:val="tx1"/>
            </w14:solidFill>
          </w14:textFill>
        </w:rPr>
        <w:fldChar w:fldCharType="separate"/>
      </w:r>
      <w:r>
        <w:rPr>
          <w:color w:val="000000" w:themeColor="text1"/>
          <w:szCs w:val="21"/>
          <w:vertAlign w:val="superscript"/>
          <w14:textFill>
            <w14:solidFill>
              <w14:schemeClr w14:val="tx1"/>
            </w14:solidFill>
          </w14:textFill>
        </w:rPr>
        <w:t>[10]</w:t>
      </w:r>
      <w:r>
        <w:rPr>
          <w:color w:val="000000" w:themeColor="text1"/>
          <w:szCs w:val="21"/>
          <w:vertAlign w:val="superscript"/>
          <w14:textFill>
            <w14:solidFill>
              <w14:schemeClr w14:val="tx1"/>
            </w14:solidFill>
          </w14:textFill>
        </w:rPr>
        <w:fldChar w:fldCharType="end"/>
      </w:r>
      <w:r>
        <w:rPr>
          <w:rFonts w:hint="eastAsia"/>
          <w:color w:val="000000" w:themeColor="text1"/>
          <w:szCs w:val="21"/>
          <w14:textFill>
            <w14:solidFill>
              <w14:schemeClr w14:val="tx1"/>
            </w14:solidFill>
          </w14:textFill>
        </w:rPr>
        <w:t>。</w:t>
      </w:r>
    </w:p>
    <w:p w14:paraId="45F60E89">
      <w:pPr>
        <w:ind w:firstLine="0" w:firstLineChars="0"/>
        <w:jc w:val="center"/>
        <w:rPr>
          <w:color w:val="000000" w:themeColor="text1"/>
          <w:szCs w:val="21"/>
          <w14:textFill>
            <w14:solidFill>
              <w14:schemeClr w14:val="tx1"/>
            </w14:solidFill>
          </w14:textFill>
        </w:rPr>
      </w:pPr>
      <w:r>
        <w:rPr>
          <w:color w:val="000000" w:themeColor="text1"/>
          <w:szCs w:val="21"/>
          <w14:textFill>
            <w14:solidFill>
              <w14:schemeClr w14:val="tx1"/>
            </w14:solidFill>
          </w14:textFill>
        </w:rPr>
        <w:drawing>
          <wp:inline distT="0" distB="0" distL="0" distR="0">
            <wp:extent cx="5760720" cy="2349500"/>
            <wp:effectExtent l="0" t="0" r="5080" b="0"/>
            <wp:docPr id="96584773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847738" name="图片 1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2349500"/>
                    </a:xfrm>
                    <a:prstGeom prst="rect">
                      <a:avLst/>
                    </a:prstGeom>
                  </pic:spPr>
                </pic:pic>
              </a:graphicData>
            </a:graphic>
          </wp:inline>
        </w:drawing>
      </w:r>
    </w:p>
    <w:p w14:paraId="6D5E8C3B">
      <w:pPr>
        <w:ind w:firstLine="0" w:firstLineChars="0"/>
        <w:jc w:val="center"/>
        <w:rPr>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 xml:space="preserve">1-1  </w:t>
      </w:r>
      <w:r>
        <w:rPr>
          <w:rFonts w:hint="eastAsia" w:ascii="楷体" w:hAnsi="楷体" w:eastAsia="楷体"/>
          <w:iCs/>
          <w:color w:val="000000" w:themeColor="text1"/>
          <w:sz w:val="21"/>
          <w:szCs w:val="21"/>
          <w14:textFill>
            <w14:solidFill>
              <w14:schemeClr w14:val="tx1"/>
            </w14:solidFill>
          </w14:textFill>
        </w:rPr>
        <w:t>越狱的一个示例</w:t>
      </w:r>
    </w:p>
    <w:p w14:paraId="2188673D">
      <w:pPr>
        <w:ind w:firstLine="480"/>
      </w:pPr>
      <w:r>
        <w:t>为了</w:t>
      </w:r>
      <w:r>
        <w:rPr>
          <w:rFonts w:hint="eastAsia"/>
        </w:rPr>
        <w:t>降低大模型被滥用和恶意微调的风险，需要设计出能够精确检测出越狱提示的方法</w:t>
      </w:r>
      <w:r>
        <w:t>。</w:t>
      </w:r>
      <w:r>
        <w:rPr>
          <w:rFonts w:hint="eastAsia"/>
        </w:rPr>
        <w:t>当前用于越狱提示检测的主流方法有规则过滤、困惑度分析以及零样本检测。第一，规则过滤方法通常依赖黑名单关键词、单词频率统计或字符级重复序列的检测，通过设定一系列阈值来判定输入是否为越狱提示。这类方法虽然实现简单且能有效地捕获明显违规的文本，但其性能高度依赖于规则的设置精度，需要大量的人工干预和维护；同时，这些方法往往伴随着较高的误报率，尤其是在遇到结构复杂且语义连贯的人类精心设计的攻击时表现不足。第二，基于困惑度</w:t>
      </w:r>
      <w:r>
        <w:t>(Perplexity)</w:t>
      </w:r>
      <w:r>
        <w:rPr>
          <w:rFonts w:hint="eastAsia"/>
        </w:rPr>
        <w:t>、窗口化困惑度的过滤检测方法</w:t>
      </w:r>
      <w:r>
        <w:rPr>
          <w:vertAlign w:val="superscript"/>
        </w:rPr>
        <w:fldChar w:fldCharType="begin"/>
      </w:r>
      <w:r>
        <w:rPr>
          <w:vertAlign w:val="superscript"/>
        </w:rPr>
        <w:instrText xml:space="preserve"> </w:instrText>
      </w:r>
      <w:r>
        <w:rPr>
          <w:rFonts w:hint="eastAsia"/>
          <w:vertAlign w:val="superscript"/>
        </w:rPr>
        <w:instrText xml:space="preserve">REF _Ref195437353 \r \h</w:instrText>
      </w:r>
      <w:r>
        <w:rPr>
          <w:vertAlign w:val="superscript"/>
        </w:rPr>
        <w:instrText xml:space="preserve">  \* MERGEFORMAT </w:instrText>
      </w:r>
      <w:r>
        <w:rPr>
          <w:vertAlign w:val="superscript"/>
        </w:rPr>
        <w:fldChar w:fldCharType="separate"/>
      </w:r>
      <w:r>
        <w:rPr>
          <w:vertAlign w:val="superscript"/>
        </w:rPr>
        <w:t>[11]</w:t>
      </w:r>
      <w:r>
        <w:rPr>
          <w:vertAlign w:val="superscript"/>
        </w:rPr>
        <w:fldChar w:fldCharType="end"/>
      </w:r>
      <w:r>
        <w:rPr>
          <w:rFonts w:hint="eastAsia"/>
        </w:rPr>
        <w:t>，包括综合输入的令牌(token)数量、困惑度等特征进行轻量级分类的判断</w:t>
      </w:r>
      <w:r>
        <w:rPr>
          <w:vertAlign w:val="superscript"/>
        </w:rPr>
        <w:fldChar w:fldCharType="begin"/>
      </w:r>
      <w:r>
        <w:rPr>
          <w:vertAlign w:val="superscript"/>
        </w:rPr>
        <w:instrText xml:space="preserve"> </w:instrText>
      </w:r>
      <w:r>
        <w:rPr>
          <w:rFonts w:hint="eastAsia"/>
          <w:vertAlign w:val="superscript"/>
        </w:rPr>
        <w:instrText xml:space="preserve">REF _Ref195437744 \r \h</w:instrText>
      </w:r>
      <w:r>
        <w:rPr>
          <w:vertAlign w:val="superscript"/>
        </w:rPr>
        <w:instrText xml:space="preserve">  \* MERGEFORMAT </w:instrText>
      </w:r>
      <w:r>
        <w:rPr>
          <w:vertAlign w:val="superscript"/>
        </w:rPr>
        <w:fldChar w:fldCharType="separate"/>
      </w:r>
      <w:r>
        <w:rPr>
          <w:vertAlign w:val="superscript"/>
        </w:rPr>
        <w:t>[12]</w:t>
      </w:r>
      <w:r>
        <w:rPr>
          <w:vertAlign w:val="superscript"/>
        </w:rPr>
        <w:fldChar w:fldCharType="end"/>
      </w:r>
      <w:r>
        <w:rPr>
          <w:rFonts w:hint="eastAsia"/>
        </w:rPr>
        <w:t>策略，在检测部分越狱提示时表现较为出色，但由于困惑度本质上依赖于语义连贯性，</w:t>
      </w:r>
      <w:r>
        <w:t>对于一些机器生成的对抗性后缀(Adversarial Suffix)</w:t>
      </w:r>
      <w:r>
        <w:rPr>
          <w:vertAlign w:val="superscript"/>
        </w:rPr>
        <w:fldChar w:fldCharType="begin"/>
      </w:r>
      <w:r>
        <w:rPr>
          <w:vertAlign w:val="superscript"/>
        </w:rPr>
        <w:instrText xml:space="preserve"> REF _Ref195387820 \r \h  \* MERGEFORMAT </w:instrText>
      </w:r>
      <w:r>
        <w:rPr>
          <w:vertAlign w:val="superscript"/>
        </w:rPr>
        <w:fldChar w:fldCharType="separate"/>
      </w:r>
      <w:r>
        <w:rPr>
          <w:vertAlign w:val="superscript"/>
        </w:rPr>
        <w:t>[4]</w:t>
      </w:r>
      <w:r>
        <w:rPr>
          <w:vertAlign w:val="superscript"/>
        </w:rPr>
        <w:fldChar w:fldCharType="end"/>
      </w:r>
      <w:r>
        <w:t>往往效果更佳</w:t>
      </w:r>
      <w:r>
        <w:rPr>
          <w:rFonts w:hint="eastAsia"/>
        </w:rPr>
        <w:t>。</w:t>
      </w:r>
      <w:r>
        <w:t>然而面对人工精心</w:t>
      </w:r>
      <w:r>
        <w:rPr>
          <w:rFonts w:hint="eastAsia"/>
        </w:rPr>
        <w:t>设计</w:t>
      </w:r>
      <w:r>
        <w:t>(</w:t>
      </w:r>
      <w:r>
        <w:rPr>
          <w:rFonts w:hint="eastAsia"/>
        </w:rPr>
        <w:t>H</w:t>
      </w:r>
      <w:r>
        <w:t>uman-crafted)的攻击</w:t>
      </w:r>
      <w:r>
        <w:rPr>
          <w:vertAlign w:val="superscript"/>
        </w:rPr>
        <w:fldChar w:fldCharType="begin"/>
      </w:r>
      <w:r>
        <w:rPr>
          <w:vertAlign w:val="superscript"/>
        </w:rPr>
        <w:instrText xml:space="preserve"> REF _Ref195451327 \r \h  \* MERGEFORMAT </w:instrText>
      </w:r>
      <w:r>
        <w:rPr>
          <w:vertAlign w:val="superscript"/>
        </w:rPr>
        <w:fldChar w:fldCharType="separate"/>
      </w:r>
      <w:r>
        <w:rPr>
          <w:vertAlign w:val="superscript"/>
        </w:rPr>
        <w:t>[13]</w:t>
      </w:r>
      <w:r>
        <w:rPr>
          <w:vertAlign w:val="superscript"/>
        </w:rPr>
        <w:fldChar w:fldCharType="end"/>
      </w:r>
      <w:r>
        <w:t>时</w:t>
      </w:r>
      <w:r>
        <w:rPr>
          <w:rFonts w:hint="eastAsia"/>
        </w:rPr>
        <w:t>，困惑度变化不易显现，导致检测效果下降</w:t>
      </w:r>
      <w:r>
        <w:t>。此外，仅依赖困惑度阈值也容易出现较高的误检率：例如当输入为短文本或是包含较多代码片段时，困惑度也会显著升高，导致误判。</w:t>
      </w:r>
      <w:r>
        <w:rPr>
          <w:rFonts w:hint="eastAsia"/>
        </w:rPr>
        <w:t>由于拥有丰富的知识库和强大的推理能力，大模型也可以用作零样本</w:t>
      </w:r>
      <w:r>
        <w:t>(</w:t>
      </w:r>
      <w:r>
        <w:rPr>
          <w:rFonts w:hint="eastAsia"/>
        </w:rPr>
        <w:t>Z</w:t>
      </w:r>
      <w:r>
        <w:t>ero-shot)</w:t>
      </w:r>
      <w:r>
        <w:rPr>
          <w:rFonts w:hint="eastAsia"/>
        </w:rPr>
        <w:t>检测器。然而，</w:t>
      </w:r>
      <w:r>
        <w:t>用作零样本检测器的</w:t>
      </w:r>
      <w:r>
        <w:rPr>
          <w:rFonts w:hint="eastAsia"/>
        </w:rPr>
        <w:t>大模型</w:t>
      </w:r>
      <w:r>
        <w:t>通常性能不佳，例如高估了安全风险</w:t>
      </w:r>
      <w:r>
        <w:rPr>
          <w:rFonts w:hint="eastAsia"/>
        </w:rPr>
        <w:t>，导致较高的误检率</w:t>
      </w:r>
      <w:r>
        <w:t>。</w:t>
      </w:r>
    </w:p>
    <w:p w14:paraId="6286201C">
      <w:pPr>
        <w:ind w:firstLine="480"/>
      </w:pPr>
      <w:r>
        <w:rPr>
          <w:rFonts w:hint="eastAsia"/>
        </w:rPr>
        <w:t>伴随模型的规模持续扩张、上下游任务日益多样化，越狱提示的形态开始呈现跨模态、跨轮次甚至“社交工程”化的特征：攻击者不再满足于一次性的提示注入，而是通过对话上下文渐进式地诱导模型暴露控制权；有的还会混入代码段、表情符号或罕见语种，刻意逃避基于关键词和困惑度的过滤。传统检测策略对这类“混合型”“渐进式”越狱显得捉襟见肘，亟需一种能够辨析深层意图、兼顾语义流动性的系统化研究框架。</w:t>
      </w:r>
    </w:p>
    <w:p w14:paraId="35752F61">
      <w:pPr>
        <w:ind w:firstLine="480"/>
      </w:pPr>
      <w:r>
        <w:rPr>
          <w:rFonts w:hint="eastAsia"/>
        </w:rPr>
        <w:t>本文的研究意义体现在学术、应用与社会价值三个层面。学术上，本文将语言安全问题引入自然语言处理核心议题，推动从“提示文本”到“提示意图”的建模转向，为理解和提升语言模型的鲁棒性提供了新的理论视角。同时，越狱提示检测问题天然跨越 NLP、对抗样本分析与信息安全等多个领域，为跨领域协同研究提供了实践样本。在应用层面，随着聊天机器人、智能搜索、辅助编程等大模型应用不断走向用户终端，模型行为一旦失控，违规内容可在毫秒内传播，带来严重合规与舆情风险。本文以“实时、高精度、低资源消耗”为目标，构建可部署、可验证的检测方案，为企业侧部署、移动端推理乃至边缘设备中的模型防护提供了可行参考，有助于在保障用户体验的同时，降低安全运维成本与法律风险。从更广义的社会视角看，AI技术正深度介入教育、医疗、金融等关键领域，若越狱攻击得不到有效遏制，不仅可能诱发违法行为，也会损害公众对AI系统的信任。本文通过构建系统化的检测机制和安全响应路径，旨在为构建可信任、可治理的人工智能生态提供数据基础与方法支撑。</w:t>
      </w:r>
    </w:p>
    <w:p w14:paraId="45815F48">
      <w:pPr>
        <w:pStyle w:val="3"/>
        <w:spacing w:before="240" w:after="240"/>
        <w:ind w:firstLine="0" w:firstLineChars="0"/>
      </w:pPr>
      <w:bookmarkStart w:id="13" w:name="_Toc197274510"/>
      <w:r>
        <w:rPr>
          <w:rFonts w:hint="eastAsia"/>
        </w:rPr>
        <w:t>1.2 国内外研究现状</w:t>
      </w:r>
      <w:bookmarkEnd w:id="13"/>
    </w:p>
    <w:p w14:paraId="65A354A5">
      <w:pPr>
        <w:pStyle w:val="4"/>
        <w:spacing w:before="240" w:after="240"/>
        <w:ind w:firstLine="489"/>
      </w:pPr>
      <w:bookmarkStart w:id="14" w:name="_Toc197274511"/>
      <w:r>
        <w:rPr>
          <w:rFonts w:hint="eastAsia"/>
        </w:rPr>
        <w:t>1.2.1 大模型越狱攻击</w:t>
      </w:r>
      <w:bookmarkEnd w:id="14"/>
    </w:p>
    <w:p w14:paraId="23DFE556">
      <w:pPr>
        <w:ind w:firstLine="480"/>
      </w:pPr>
      <w:r>
        <w:rPr>
          <w:rFonts w:hint="eastAsia"/>
        </w:rPr>
        <w:t>随着大语言模型在各类对话系统中</w:t>
      </w:r>
      <w:r>
        <w:t>的广泛应用，其安全性问题日益受到关注</w:t>
      </w:r>
      <w:r>
        <w:rPr>
          <w:rFonts w:hint="eastAsia"/>
        </w:rPr>
        <w:t>。</w:t>
      </w:r>
      <w:r>
        <w:t>研究者发现，这些模型可以被“越狱”，即通过特定的提示诱导其输出违反平台安全政策或伦理准则的内容。这类攻击主要分为两种路径：一种是自动化生成的对抗性提示，尤其是通过在原始用户提示前或后添加干扰性的前缀或后缀；另一种则是人类精心设计的</w:t>
      </w:r>
      <w:r>
        <w:rPr>
          <w:rFonts w:hint="eastAsia"/>
        </w:rPr>
        <w:t>越狱</w:t>
      </w:r>
      <w:r>
        <w:t>提示。</w:t>
      </w:r>
    </w:p>
    <w:p w14:paraId="7287F974">
      <w:pPr>
        <w:ind w:firstLine="480"/>
        <w:rPr>
          <w:rFonts w:cs="Times New Roman"/>
        </w:rPr>
      </w:pPr>
      <w:r>
        <w:t>自动化前缀/后缀攻击是近年来研究的热点之一。这类攻击依赖于算法驱动的搜索机制，自动生成可以诱导模型“</w:t>
      </w:r>
      <w:r>
        <w:rPr>
          <w:rFonts w:hint="eastAsia"/>
        </w:rPr>
        <w:t>越狱</w:t>
      </w:r>
      <w:r>
        <w:t>”的文本。Zou等人提出了一种高效的梯度搜索算法</w:t>
      </w:r>
      <w:r>
        <w:rPr>
          <w:vertAlign w:val="superscript"/>
        </w:rPr>
        <w:fldChar w:fldCharType="begin"/>
      </w:r>
      <w:r>
        <w:rPr>
          <w:vertAlign w:val="superscript"/>
        </w:rPr>
        <w:instrText xml:space="preserve"> REF _Ref195387820 \r \h  \* MERGEFORMAT </w:instrText>
      </w:r>
      <w:r>
        <w:rPr>
          <w:vertAlign w:val="superscript"/>
        </w:rPr>
        <w:fldChar w:fldCharType="separate"/>
      </w:r>
      <w:r>
        <w:rPr>
          <w:vertAlign w:val="superscript"/>
        </w:rPr>
        <w:t>[4]</w:t>
      </w:r>
      <w:r>
        <w:rPr>
          <w:vertAlign w:val="superscript"/>
        </w:rPr>
        <w:fldChar w:fldCharType="end"/>
      </w:r>
      <w:r>
        <w:t>，能自动生成攻击性强、可迁移性高的后缀，在多个主流模型中均表现出色。类似地，</w:t>
      </w:r>
      <w:r>
        <w:rPr>
          <w:rFonts w:hint="eastAsia"/>
        </w:rPr>
        <w:t>Liu等人设计出了</w:t>
      </w:r>
      <w:r>
        <w:t>AutoDAN</w:t>
      </w:r>
      <w:r>
        <w:rPr>
          <w:vertAlign w:val="superscript"/>
        </w:rPr>
        <w:fldChar w:fldCharType="begin"/>
      </w:r>
      <w:r>
        <w:rPr>
          <w:vertAlign w:val="superscript"/>
        </w:rPr>
        <w:instrText xml:space="preserve"> REF _Ref196258178 \r \h  \* MERGEFORMAT </w:instrText>
      </w:r>
      <w:r>
        <w:rPr>
          <w:vertAlign w:val="superscript"/>
        </w:rPr>
        <w:fldChar w:fldCharType="separate"/>
      </w:r>
      <w:r>
        <w:rPr>
          <w:vertAlign w:val="superscript"/>
        </w:rPr>
        <w:t>[14]</w:t>
      </w:r>
      <w:r>
        <w:rPr>
          <w:vertAlign w:val="superscript"/>
        </w:rPr>
        <w:fldChar w:fldCharType="end"/>
      </w:r>
      <w:r>
        <w:rPr>
          <w:rFonts w:hint="eastAsia"/>
        </w:rPr>
        <w:t>，</w:t>
      </w:r>
      <w:r>
        <w:t>将人类可读性融入自动生成流程，使得对抗提示既具备语义合理性，又能稳定触发有害输出。此外，</w:t>
      </w:r>
      <w:r>
        <w:rPr>
          <w:rFonts w:hint="eastAsia"/>
        </w:rPr>
        <w:t>Wang等人设计的A</w:t>
      </w:r>
      <w:r>
        <w:t>SETF</w:t>
      </w:r>
      <w:r>
        <w:rPr>
          <w:vertAlign w:val="superscript"/>
        </w:rPr>
        <w:fldChar w:fldCharType="begin"/>
      </w:r>
      <w:r>
        <w:rPr>
          <w:vertAlign w:val="superscript"/>
        </w:rPr>
        <w:instrText xml:space="preserve"> REF _Ref196258242 \r \h  \* MERGEFORMAT </w:instrText>
      </w:r>
      <w:r>
        <w:rPr>
          <w:vertAlign w:val="superscript"/>
        </w:rPr>
        <w:fldChar w:fldCharType="separate"/>
      </w:r>
      <w:r>
        <w:rPr>
          <w:vertAlign w:val="superscript"/>
        </w:rPr>
        <w:t>[15]</w:t>
      </w:r>
      <w:r>
        <w:rPr>
          <w:vertAlign w:val="superscript"/>
        </w:rPr>
        <w:fldChar w:fldCharType="end"/>
      </w:r>
      <w:r>
        <w:t>方法则通过自然语言生成器对攻击提示进行润色，使其更符合语言习惯，从而更难被现有的检测器捕捉。这类攻击手段的优势在于：不依赖于具体任务语境，具备高度的可迁移性和自动化能力</w:t>
      </w:r>
      <w:r>
        <w:rPr>
          <w:rFonts w:hint="eastAsia"/>
        </w:rPr>
        <w:t>。</w:t>
      </w:r>
    </w:p>
    <w:p w14:paraId="5BE0B06A">
      <w:pPr>
        <w:ind w:firstLine="480"/>
        <w:rPr>
          <w:rFonts w:cs="Times New Roman"/>
        </w:rPr>
      </w:pPr>
      <w:r>
        <w:rPr>
          <w:rFonts w:cs="Times New Roman"/>
        </w:rPr>
        <w:t>相比之下，大量证据显示人类精心设计的越狱提示依旧是最难防御的威胁。Xie等人提出的“Self-Reminder”工作</w:t>
      </w:r>
      <w:r>
        <w:rPr>
          <w:rFonts w:cs="Times New Roman"/>
          <w:vertAlign w:val="superscript"/>
        </w:rPr>
        <w:fldChar w:fldCharType="begin"/>
      </w:r>
      <w:r>
        <w:rPr>
          <w:rFonts w:cs="Times New Roman"/>
          <w:vertAlign w:val="superscript"/>
        </w:rPr>
        <w:instrText xml:space="preserve"> REF _Ref196577220 \r \h  \* MERGEFORMAT </w:instrText>
      </w:r>
      <w:r>
        <w:rPr>
          <w:rFonts w:cs="Times New Roman"/>
          <w:vertAlign w:val="superscript"/>
        </w:rPr>
        <w:fldChar w:fldCharType="separate"/>
      </w:r>
      <w:r>
        <w:rPr>
          <w:rFonts w:cs="Times New Roman"/>
          <w:vertAlign w:val="superscript"/>
        </w:rPr>
        <w:t>[5]</w:t>
      </w:r>
      <w:r>
        <w:rPr>
          <w:rFonts w:cs="Times New Roman"/>
          <w:vertAlign w:val="superscript"/>
        </w:rPr>
        <w:fldChar w:fldCharType="end"/>
      </w:r>
      <w:r>
        <w:rPr>
          <w:rFonts w:cs="Times New Roman"/>
        </w:rPr>
        <w:t>首先构建了含58条手工攻击的基准，并证明这些提示</w:t>
      </w:r>
      <w:r>
        <w:rPr>
          <w:rFonts w:hint="eastAsia" w:cs="Times New Roman"/>
        </w:rPr>
        <w:t>可将ChatGPT的越狱成功率提升至67%以上，且常规“软防御”只能将风险部分抑制；随后Liu等人通过对78条真实案例的系统研究提出三大类、十种模式的攻防分类框架</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_Ref195388695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[8]</w:t>
      </w:r>
      <w:r>
        <w:rPr>
          <w:rFonts w:cs="Times New Roman"/>
          <w:vertAlign w:val="superscript"/>
        </w:rPr>
        <w:fldChar w:fldCharType="end"/>
      </w:r>
      <w:r>
        <w:rPr>
          <w:rFonts w:hint="eastAsia" w:cs="Times New Roman"/>
        </w:rPr>
        <w:t>，实证显示这些策略在GPT-3.5与GPT-3上具备跨场景高迁移性，揭示了角色扮演、语境转移与权限提升等组合的强大越狱能力；在中文领域，JailBench利用“AJPE”扩展手工模版，生成10800条变体并在13款主流模型上评测，将ChatGPT的攻击成功率进一步提升到73%以上，凸显了中文语境下同样严峻的安全缺口。</w:t>
      </w:r>
    </w:p>
    <w:p w14:paraId="7FDBF7C5">
      <w:pPr>
        <w:ind w:firstLine="480"/>
        <w:rPr>
          <w:rFonts w:cs="Times New Roman"/>
        </w:rPr>
      </w:pPr>
      <w:r>
        <w:rPr>
          <w:rFonts w:hint="eastAsia" w:cs="Times New Roman"/>
        </w:rPr>
        <w:t>人工精心设计的越狱提示因其语义自然、可组合且易规模化复制，远比自动化前缀</w:t>
      </w:r>
      <w:r>
        <w:rPr>
          <w:rFonts w:cs="Times New Roman"/>
        </w:rPr>
        <w:t>/</w:t>
      </w:r>
      <w:r>
        <w:rPr>
          <w:rFonts w:hint="eastAsia" w:cs="Times New Roman"/>
        </w:rPr>
        <w:t>后缀更难检测与防御；因而，在模型输入端设计高效且轻量化的越狱提示检测器，作为多层防线中的首要关卡，</w:t>
      </w:r>
      <w:r>
        <w:rPr>
          <w:rFonts w:cs="Times New Roman"/>
        </w:rPr>
        <w:t>不仅能够在源头阻断违规语境的注入</w:t>
      </w:r>
      <w:r>
        <w:rPr>
          <w:rFonts w:hint="eastAsia" w:cs="Times New Roman"/>
        </w:rPr>
        <w:t>，</w:t>
      </w:r>
      <w:r>
        <w:rPr>
          <w:rFonts w:cs="Times New Roman"/>
        </w:rPr>
        <w:t>更为后续策略调用与内容审计提供必要的安全缓冲</w:t>
      </w:r>
      <w:r>
        <w:rPr>
          <w:rFonts w:hint="eastAsia" w:cs="Times New Roman"/>
        </w:rPr>
        <w:t>。</w:t>
      </w:r>
    </w:p>
    <w:p w14:paraId="25D42476">
      <w:pPr>
        <w:pStyle w:val="4"/>
        <w:spacing w:before="240" w:after="240"/>
        <w:ind w:firstLine="489"/>
      </w:pPr>
      <w:bookmarkStart w:id="15" w:name="_Toc197274512"/>
      <w:r>
        <w:rPr>
          <w:rFonts w:hint="eastAsia"/>
        </w:rPr>
        <w:t>1.2.2 越狱防御策略</w:t>
      </w:r>
      <w:bookmarkEnd w:id="15"/>
    </w:p>
    <w:p w14:paraId="0C5CDCB0">
      <w:pPr>
        <w:ind w:firstLine="480"/>
        <w:rPr>
          <w:rFonts w:cs="Times New Roman"/>
        </w:rPr>
      </w:pPr>
      <w:r>
        <w:rPr>
          <w:rFonts w:hint="eastAsia" w:cs="Times New Roman"/>
        </w:rPr>
        <w:t>在大模型被广泛应用之前，内容审核工作主要集中于某些类型的在线社交媒体信息</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_Ref196259004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[16]</w:t>
      </w:r>
      <w:r>
        <w:rPr>
          <w:rFonts w:cs="Times New Roman"/>
          <w:vertAlign w:val="superscript"/>
        </w:rPr>
        <w:fldChar w:fldCharType="end"/>
      </w:r>
      <w:r>
        <w:rPr>
          <w:rFonts w:cs="Times New Roman"/>
          <w:vertAlign w:val="superscript"/>
        </w:rPr>
        <w:fldChar w:fldCharType="begin"/>
      </w:r>
      <w:r>
        <w:rPr>
          <w:rFonts w:cs="Times New Roman"/>
          <w:vertAlign w:val="superscript"/>
        </w:rPr>
        <w:instrText xml:space="preserve"> REF _Ref196259008 \r \h  \* MERGEFORMAT </w:instrText>
      </w:r>
      <w:r>
        <w:rPr>
          <w:rFonts w:cs="Times New Roman"/>
          <w:vertAlign w:val="superscript"/>
        </w:rPr>
        <w:fldChar w:fldCharType="separate"/>
      </w:r>
      <w:r>
        <w:rPr>
          <w:rFonts w:cs="Times New Roman"/>
          <w:vertAlign w:val="superscript"/>
        </w:rPr>
        <w:t>[17]</w:t>
      </w:r>
      <w:r>
        <w:rPr>
          <w:rFonts w:cs="Times New Roman"/>
          <w:vertAlign w:val="superscript"/>
        </w:rPr>
        <w:fldChar w:fldCharType="end"/>
      </w:r>
      <w:r>
        <w:rPr>
          <w:rFonts w:hint="eastAsia" w:cs="Times New Roman"/>
        </w:rPr>
        <w:t>，例如在Twitter</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_Ref196259682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[18]</w:t>
      </w:r>
      <w:r>
        <w:rPr>
          <w:rFonts w:cs="Times New Roman"/>
          <w:vertAlign w:val="superscript"/>
        </w:rPr>
        <w:fldChar w:fldCharType="end"/>
      </w:r>
      <w:r>
        <w:rPr>
          <w:rFonts w:cs="Times New Roman"/>
          <w:vertAlign w:val="superscript"/>
        </w:rPr>
        <w:fldChar w:fldCharType="begin"/>
      </w:r>
      <w:r>
        <w:rPr>
          <w:rFonts w:cs="Times New Roman"/>
          <w:vertAlign w:val="superscript"/>
        </w:rPr>
        <w:instrText xml:space="preserve"> REF _Ref196259691 \r \h  \* MERGEFORMAT </w:instrText>
      </w:r>
      <w:r>
        <w:rPr>
          <w:rFonts w:cs="Times New Roman"/>
          <w:vertAlign w:val="superscript"/>
        </w:rPr>
        <w:fldChar w:fldCharType="separate"/>
      </w:r>
      <w:r>
        <w:rPr>
          <w:rFonts w:cs="Times New Roman"/>
          <w:vertAlign w:val="superscript"/>
        </w:rPr>
        <w:t>[19]</w:t>
      </w:r>
      <w:r>
        <w:rPr>
          <w:rFonts w:cs="Times New Roman"/>
          <w:vertAlign w:val="superscript"/>
        </w:rPr>
        <w:fldChar w:fldCharType="end"/>
      </w:r>
      <w:r>
        <w:rPr>
          <w:rFonts w:hint="eastAsia" w:cs="Times New Roman"/>
        </w:rPr>
        <w:t>和Reddit</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_Ref196259008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[17]</w:t>
      </w:r>
      <w:r>
        <w:rPr>
          <w:rFonts w:cs="Times New Roman"/>
          <w:vertAlign w:val="superscript"/>
        </w:rPr>
        <w:fldChar w:fldCharType="end"/>
      </w:r>
      <w:r>
        <w:rPr>
          <w:rFonts w:hint="eastAsia" w:cs="Times New Roman"/>
        </w:rPr>
        <w:t>等平台上发现的信息。</w:t>
      </w:r>
      <w:r>
        <w:rPr>
          <w:rFonts w:cs="Times New Roman"/>
        </w:rPr>
        <w:t>目前已开发出各种在线审核API，例如 OpenAI Moderation API</w:t>
      </w:r>
      <w:r>
        <w:rPr>
          <w:rStyle w:val="37"/>
          <w:rFonts w:cs="Times New Roman"/>
          <w:sz w:val="21"/>
          <w:szCs w:val="21"/>
        </w:rPr>
        <w:footnoteReference w:id="0"/>
      </w:r>
      <w:r>
        <w:rPr>
          <w:rFonts w:cs="Times New Roman"/>
        </w:rPr>
        <w:t>、Azure API</w:t>
      </w:r>
      <w:r>
        <w:rPr>
          <w:rStyle w:val="37"/>
          <w:rFonts w:cs="Times New Roman"/>
          <w:sz w:val="21"/>
          <w:szCs w:val="21"/>
        </w:rPr>
        <w:footnoteReference w:id="1"/>
      </w:r>
      <w:r>
        <w:rPr>
          <w:rFonts w:cs="Times New Roman"/>
        </w:rPr>
        <w:t>、Perspective API</w:t>
      </w:r>
      <w:r>
        <w:rPr>
          <w:rStyle w:val="37"/>
          <w:rFonts w:cs="Times New Roman"/>
          <w:sz w:val="21"/>
          <w:szCs w:val="21"/>
        </w:rPr>
        <w:footnoteReference w:id="2"/>
      </w:r>
      <w:r>
        <w:rPr>
          <w:rFonts w:cs="Times New Roman"/>
        </w:rPr>
        <w:t>等。这些API通常基于使用海量数据训练的模型。例如，OpenAI推出了OpenAI Moderation API</w:t>
      </w:r>
      <w:r>
        <w:rPr>
          <w:rFonts w:cs="Times New Roman"/>
          <w:vertAlign w:val="superscript"/>
        </w:rPr>
        <w:fldChar w:fldCharType="begin"/>
      </w:r>
      <w:r>
        <w:rPr>
          <w:rFonts w:cs="Times New Roman"/>
          <w:vertAlign w:val="superscript"/>
        </w:rPr>
        <w:instrText xml:space="preserve"> REF _Ref196298554 \r \h  \* MERGEFORMAT </w:instrText>
      </w:r>
      <w:r>
        <w:rPr>
          <w:rFonts w:cs="Times New Roman"/>
          <w:vertAlign w:val="superscript"/>
        </w:rPr>
        <w:fldChar w:fldCharType="separate"/>
      </w:r>
      <w:r>
        <w:rPr>
          <w:rFonts w:cs="Times New Roman"/>
          <w:vertAlign w:val="superscript"/>
        </w:rPr>
        <w:t>[20]</w:t>
      </w:r>
      <w:r>
        <w:rPr>
          <w:rFonts w:cs="Times New Roman"/>
          <w:vertAlign w:val="superscript"/>
        </w:rPr>
        <w:fldChar w:fldCharType="end"/>
      </w:r>
      <w:r>
        <w:rPr>
          <w:rFonts w:cs="Times New Roman"/>
        </w:rPr>
        <w:t>，旨在通过细致的数据收集、标记、模型训练和主动学习过程来检测不良内容。</w:t>
      </w:r>
    </w:p>
    <w:p w14:paraId="1D5B1CC4">
      <w:pPr>
        <w:ind w:firstLine="480"/>
        <w:rPr>
          <w:rFonts w:cs="Times New Roman"/>
        </w:rPr>
      </w:pPr>
      <w:r>
        <w:rPr>
          <w:rFonts w:hint="eastAsia" w:cs="Times New Roman"/>
        </w:rPr>
        <w:t>近年来的防御研究首先聚焦于输入提示的困惑度：Jain等人提出的</w:t>
      </w:r>
      <w:r>
        <w:rPr>
          <w:rFonts w:cs="Times New Roman"/>
        </w:rPr>
        <w:t>基线防御体系</w:t>
      </w:r>
      <w:r>
        <w:rPr>
          <w:rFonts w:cs="Times New Roman"/>
          <w:vertAlign w:val="superscript"/>
        </w:rPr>
        <w:fldChar w:fldCharType="begin"/>
      </w:r>
      <w:r>
        <w:rPr>
          <w:rFonts w:cs="Times New Roman"/>
          <w:vertAlign w:val="superscript"/>
        </w:rPr>
        <w:instrText xml:space="preserve"> REF _Ref195437353 \r \h  \* MERGEFORMAT </w:instrText>
      </w:r>
      <w:r>
        <w:rPr>
          <w:rFonts w:cs="Times New Roman"/>
          <w:vertAlign w:val="superscript"/>
        </w:rPr>
        <w:fldChar w:fldCharType="separate"/>
      </w:r>
      <w:r>
        <w:rPr>
          <w:rFonts w:cs="Times New Roman"/>
          <w:vertAlign w:val="superscript"/>
        </w:rPr>
        <w:t>[11]</w:t>
      </w:r>
      <w:r>
        <w:rPr>
          <w:rFonts w:cs="Times New Roman"/>
          <w:vertAlign w:val="superscript"/>
        </w:rPr>
        <w:fldChar w:fldCharType="end"/>
      </w:r>
      <w:r>
        <w:rPr>
          <w:rFonts w:cs="Times New Roman"/>
        </w:rPr>
        <w:t>将困惑度过滤视作第一道“粗筛”，发现优化生成的后缀往往呈现出与人类文本显著拉开的高困惑度分布，因而可在零微调条件下拦截大部分自动化越狱请求</w:t>
      </w:r>
      <w:r>
        <w:rPr>
          <w:rFonts w:hint="eastAsia" w:cs="Times New Roman"/>
        </w:rPr>
        <w:t>。</w:t>
      </w:r>
      <w:r>
        <w:rPr>
          <w:rFonts w:cs="Times New Roman"/>
        </w:rPr>
        <w:t>然而，高阈值过滤易造成误报；Alon与Kamfonas则在此之上引入token 长度与LightGBM级联分类器</w:t>
      </w:r>
      <w:r>
        <w:rPr>
          <w:rFonts w:cs="Times New Roman"/>
          <w:vertAlign w:val="superscript"/>
        </w:rPr>
        <w:fldChar w:fldCharType="begin"/>
      </w:r>
      <w:r>
        <w:rPr>
          <w:rFonts w:cs="Times New Roman"/>
          <w:vertAlign w:val="superscript"/>
        </w:rPr>
        <w:instrText xml:space="preserve"> REF _Ref195437744 \r \h  \* MERGEFORMAT </w:instrText>
      </w:r>
      <w:r>
        <w:rPr>
          <w:rFonts w:cs="Times New Roman"/>
          <w:vertAlign w:val="superscript"/>
        </w:rPr>
        <w:fldChar w:fldCharType="separate"/>
      </w:r>
      <w:r>
        <w:rPr>
          <w:rFonts w:cs="Times New Roman"/>
          <w:vertAlign w:val="superscript"/>
        </w:rPr>
        <w:t>[12]</w:t>
      </w:r>
      <w:r>
        <w:rPr>
          <w:rFonts w:cs="Times New Roman"/>
          <w:vertAlign w:val="superscript"/>
        </w:rPr>
        <w:fldChar w:fldCharType="end"/>
      </w:r>
      <w:r>
        <w:rPr>
          <w:rFonts w:cs="Times New Roman"/>
        </w:rPr>
        <w:t>，将误检率显著压低至1.4 %，同时保持对已知攻击（GCG、AutoDAN等）的94%召回</w:t>
      </w:r>
      <w:r>
        <w:rPr>
          <w:rFonts w:hint="eastAsia" w:cs="Times New Roman"/>
        </w:rPr>
        <w:t>率。然而，</w:t>
      </w:r>
      <w:r>
        <w:rPr>
          <w:rFonts w:cs="Times New Roman"/>
        </w:rPr>
        <w:t>困惑度方法对“语义自然、低困惑度”的人类</w:t>
      </w:r>
      <w:r>
        <w:rPr>
          <w:rFonts w:hint="eastAsia" w:cs="Times New Roman"/>
        </w:rPr>
        <w:t>精心设计的</w:t>
      </w:r>
      <w:r>
        <w:rPr>
          <w:rFonts w:cs="Times New Roman"/>
        </w:rPr>
        <w:t>越狱提示防御力不足</w:t>
      </w:r>
      <w:r>
        <w:rPr>
          <w:rFonts w:hint="eastAsia" w:cs="Times New Roman"/>
        </w:rPr>
        <w:t>。</w:t>
      </w:r>
    </w:p>
    <w:p w14:paraId="33EE2BF3">
      <w:pPr>
        <w:ind w:firstLine="480"/>
        <w:rPr>
          <w:rFonts w:cs="Times New Roman"/>
        </w:rPr>
      </w:pPr>
      <w:r>
        <w:rPr>
          <w:rFonts w:hint="eastAsia" w:cs="Times New Roman"/>
        </w:rPr>
        <w:t>另一条新兴路线是</w:t>
      </w:r>
      <w:r>
        <w:rPr>
          <w:rFonts w:cs="Times New Roman"/>
        </w:rPr>
        <w:t>安全关键梯度分析。</w:t>
      </w:r>
      <w:r>
        <w:rPr>
          <w:rFonts w:hint="eastAsia" w:cs="Times New Roman"/>
        </w:rPr>
        <w:t>Xie等人提出的</w:t>
      </w:r>
      <w:r>
        <w:rPr>
          <w:rFonts w:cs="Times New Roman"/>
        </w:rPr>
        <w:t>GradSafe</w:t>
      </w:r>
      <w:r>
        <w:rPr>
          <w:rFonts w:cs="Times New Roman"/>
          <w:vertAlign w:val="superscript"/>
        </w:rPr>
        <w:fldChar w:fldCharType="begin"/>
      </w:r>
      <w:r>
        <w:rPr>
          <w:rFonts w:cs="Times New Roman"/>
          <w:vertAlign w:val="superscript"/>
        </w:rPr>
        <w:instrText xml:space="preserve"> REF _Ref196298717 \r \h  \* MERGEFORMAT </w:instrText>
      </w:r>
      <w:r>
        <w:rPr>
          <w:rFonts w:cs="Times New Roman"/>
          <w:vertAlign w:val="superscript"/>
        </w:rPr>
        <w:fldChar w:fldCharType="separate"/>
      </w:r>
      <w:r>
        <w:rPr>
          <w:rFonts w:cs="Times New Roman"/>
          <w:vertAlign w:val="superscript"/>
        </w:rPr>
        <w:t>[21]</w:t>
      </w:r>
      <w:r>
        <w:rPr>
          <w:rFonts w:cs="Times New Roman"/>
          <w:vertAlign w:val="superscript"/>
        </w:rPr>
        <w:fldChar w:fldCharType="end"/>
      </w:r>
      <w:r>
        <w:rPr>
          <w:rFonts w:cs="Times New Roman"/>
        </w:rPr>
        <w:t>将LLM原生梯度作为“安全指纹”，在无需附加训练的前提下</w:t>
      </w:r>
      <w:r>
        <w:rPr>
          <w:rFonts w:hint="eastAsia" w:cs="Times New Roman"/>
        </w:rPr>
        <w:t>，</w:t>
      </w:r>
      <w:r>
        <w:rPr>
          <w:rFonts w:cs="Times New Roman"/>
        </w:rPr>
        <w:t>仅通过一次前向</w:t>
      </w:r>
      <w:r>
        <w:rPr>
          <w:rFonts w:hint="eastAsia" w:cs="Times New Roman"/>
        </w:rPr>
        <w:t>-</w:t>
      </w:r>
      <w:r>
        <w:rPr>
          <w:rFonts w:cs="Times New Roman"/>
        </w:rPr>
        <w:t>反向过程就可辨别提示是否在诱导模型生成违规内容</w:t>
      </w:r>
      <w:r>
        <w:rPr>
          <w:rFonts w:hint="eastAsia" w:cs="Times New Roman"/>
        </w:rPr>
        <w:t>。</w:t>
      </w:r>
      <w:r>
        <w:rPr>
          <w:rFonts w:cs="Times New Roman"/>
        </w:rPr>
        <w:t>作者观察到，当越狱提示配合“合规</w:t>
      </w:r>
      <w:r>
        <w:rPr>
          <w:rFonts w:hint="eastAsia" w:cs="Times New Roman"/>
        </w:rPr>
        <w:t>响应</w:t>
      </w:r>
      <w:r>
        <w:rPr>
          <w:rFonts w:cs="Times New Roman"/>
        </w:rPr>
        <w:t>”计算损失时，模型在一小簇与安全策略相关的参数上会出现高度一致的梯度方向，而正常提示的梯度模式则呈现弱相关或相反趋势</w:t>
      </w:r>
      <w:r>
        <w:rPr>
          <w:rFonts w:hint="eastAsia" w:cs="Times New Roman"/>
        </w:rPr>
        <w:t>。然而，这一方法所产生的推理开销较大。</w:t>
      </w:r>
    </w:p>
    <w:p w14:paraId="520F1707">
      <w:pPr>
        <w:ind w:firstLine="480"/>
        <w:rPr>
          <w:rFonts w:cs="Times New Roman"/>
        </w:rPr>
      </w:pPr>
      <w:r>
        <w:rPr>
          <w:rFonts w:hint="eastAsia" w:cs="Times New Roman"/>
        </w:rPr>
        <w:t>不同于以上方法，本文设计了一种能高效检测人工精心设计的越狱提示，且轻量级的检测器。</w:t>
      </w:r>
    </w:p>
    <w:p w14:paraId="3CE39157">
      <w:pPr>
        <w:pStyle w:val="4"/>
        <w:spacing w:before="240" w:after="240"/>
        <w:ind w:firstLine="489"/>
      </w:pPr>
      <w:bookmarkStart w:id="16" w:name="_Toc197274513"/>
      <w:r>
        <w:rPr>
          <w:rFonts w:hint="eastAsia"/>
        </w:rPr>
        <w:t>1.2.3 参数高效微调</w:t>
      </w:r>
      <w:bookmarkEnd w:id="16"/>
    </w:p>
    <w:p w14:paraId="5384AAF9">
      <w:pPr>
        <w:ind w:firstLine="480"/>
        <w:rPr>
          <w:color w:val="000000" w:themeColor="text1"/>
          <w14:textFill>
            <w14:solidFill>
              <w14:schemeClr w14:val="tx1"/>
            </w14:solidFill>
          </w14:textFill>
        </w:rPr>
      </w:pPr>
      <w:r>
        <w:rPr>
          <w:rFonts w:hint="eastAsia"/>
        </w:rPr>
        <w:t>近年来，参数高效微调</w:t>
      </w:r>
      <w:r>
        <w:t>(Parameter-Efficient Fine-Tuning, PEFT)</w:t>
      </w:r>
      <w:r>
        <w:rPr>
          <w:rFonts w:hint="eastAsia"/>
        </w:rPr>
        <w:t>已成为大型预训练模型迁移的核心范式，其共识是“冻结”大模型主体，仅为每个下游任务引入极少可训练参数，</w:t>
      </w:r>
      <w:r>
        <w:t>以显著降低存储与算力成本</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早期工作Adapter Tuning</w:t>
      </w:r>
      <w:r>
        <w:rPr>
          <w:color w:val="FF0000"/>
          <w:vertAlign w:val="superscript"/>
        </w:rPr>
        <w:fldChar w:fldCharType="begin"/>
      </w:r>
      <w:r>
        <w:rPr>
          <w:color w:val="000000" w:themeColor="text1"/>
          <w:vertAlign w:val="superscript"/>
          <w14:textFill>
            <w14:solidFill>
              <w14:schemeClr w14:val="tx1"/>
            </w14:solidFill>
          </w14:textFill>
        </w:rPr>
        <w:instrText xml:space="preserve"> REF _Ref196299998 \r \h </w:instrText>
      </w:r>
      <w:r>
        <w:rPr>
          <w:color w:val="FF0000"/>
          <w:vertAlign w:val="superscript"/>
        </w:rPr>
        <w:instrText xml:space="preserve"> \* MERGEFORMAT </w:instrText>
      </w:r>
      <w:r>
        <w:rPr>
          <w:color w:val="FF0000"/>
          <w:vertAlign w:val="superscript"/>
        </w:rPr>
        <w:fldChar w:fldCharType="separate"/>
      </w:r>
      <w:r>
        <w:rPr>
          <w:color w:val="000000" w:themeColor="text1"/>
          <w:vertAlign w:val="superscript"/>
          <w14:textFill>
            <w14:solidFill>
              <w14:schemeClr w14:val="tx1"/>
            </w14:solidFill>
          </w14:textFill>
        </w:rPr>
        <w:t>[22]</w:t>
      </w:r>
      <w:r>
        <w:rPr>
          <w:color w:val="FF0000"/>
          <w:vertAlign w:val="superscript"/>
        </w:rPr>
        <w:fldChar w:fldCharType="end"/>
      </w:r>
      <w:r>
        <w:rPr>
          <w:color w:val="000000" w:themeColor="text1"/>
          <w14:textFill>
            <w14:solidFill>
              <w14:schemeClr w14:val="tx1"/>
            </w14:solidFill>
          </w14:textFill>
        </w:rPr>
        <w:t>在每个Transformer</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_Ref196299064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[23]</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层插入瓶颈</w:t>
      </w:r>
      <w:r>
        <w:rPr>
          <w:rFonts w:ascii="Cambria Math" w:hAnsi="Cambria Math" w:cs="Cambria Math"/>
          <w:color w:val="000000" w:themeColor="text1"/>
          <w14:textFill>
            <w14:solidFill>
              <w14:schemeClr w14:val="tx1"/>
            </w14:solidFill>
          </w14:textFill>
        </w:rPr>
        <w:t>‑</w:t>
      </w:r>
      <w:r>
        <w:rPr>
          <w:color w:val="000000" w:themeColor="text1"/>
          <w14:textFill>
            <w14:solidFill>
              <w14:schemeClr w14:val="tx1"/>
            </w14:solidFill>
          </w14:textFill>
        </w:rPr>
        <w:t>结构的小模块并独立训练，从而将新增参数量压缩至3-4%且不破坏原模型权重</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Houlsby</w:t>
      </w:r>
      <w:r>
        <w:rPr>
          <w:rFonts w:hint="eastAsia"/>
          <w:color w:val="000000" w:themeColor="text1"/>
          <w14:textFill>
            <w14:solidFill>
              <w14:schemeClr w14:val="tx1"/>
            </w14:solidFill>
          </w14:textFill>
        </w:rPr>
        <w:t>等人</w:t>
      </w:r>
      <w:r>
        <w:rPr>
          <w:color w:val="000000" w:themeColor="text1"/>
          <w14:textFill>
            <w14:solidFill>
              <w14:schemeClr w14:val="tx1"/>
            </w14:solidFill>
          </w14:textFill>
        </w:rPr>
        <w:t>证明在GLUE</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_Ref196299111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[24]</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多任务场景下，该策略即可逼近全量微调性能</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随后，Pfeiffer等人提出跨语言共享的AdapterFusion</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_Ref196300013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[25]</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，进一步提高了多任务可重用性</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而Mahabadi等人的Compacter</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_Ref196300051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[26]</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采用超复数低秩分解，使新增参数量降至0.05%仍能在SuperGLUE</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_Ref196299235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[27]</w:t>
      </w:r>
      <w:r>
        <w:rPr>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超越</w:t>
      </w:r>
      <w:r>
        <w:rPr>
          <w:rFonts w:hint="eastAsia"/>
          <w:color w:val="000000" w:themeColor="text1"/>
          <w14:textFill>
            <w14:solidFill>
              <w14:schemeClr w14:val="tx1"/>
            </w14:solidFill>
          </w14:textFill>
        </w:rPr>
        <w:t>全量</w:t>
      </w:r>
      <w:r>
        <w:rPr>
          <w:color w:val="000000" w:themeColor="text1"/>
          <w14:textFill>
            <w14:solidFill>
              <w14:schemeClr w14:val="tx1"/>
            </w14:solidFill>
          </w14:textFill>
        </w:rPr>
        <w:t>微调</w:t>
      </w:r>
      <w:r>
        <w:rPr>
          <w:rFonts w:hint="eastAsia"/>
          <w:color w:val="000000" w:themeColor="text1"/>
          <w14:textFill>
            <w14:solidFill>
              <w14:schemeClr w14:val="tx1"/>
            </w14:solidFill>
          </w14:textFill>
        </w:rPr>
        <w:t>。</w:t>
      </w:r>
    </w:p>
    <w:p w14:paraId="228C86C1">
      <w:pPr>
        <w:ind w:firstLine="480"/>
        <w:rPr>
          <w:color w:val="000000" w:themeColor="text1"/>
          <w14:textFill>
            <w14:solidFill>
              <w14:schemeClr w14:val="tx1"/>
            </w14:solidFill>
          </w14:textFill>
        </w:rPr>
      </w:pPr>
      <w:r>
        <w:rPr>
          <w:color w:val="000000" w:themeColor="text1"/>
          <w14:textFill>
            <w14:solidFill>
              <w14:schemeClr w14:val="tx1"/>
            </w14:solidFill>
          </w14:textFill>
        </w:rPr>
        <w:t>随着</w:t>
      </w:r>
      <w:r>
        <w:rPr>
          <w:rFonts w:hint="eastAsia"/>
          <w:color w:val="000000" w:themeColor="text1"/>
          <w14:textFill>
            <w14:solidFill>
              <w14:schemeClr w14:val="tx1"/>
            </w14:solidFill>
          </w14:textFill>
        </w:rPr>
        <w:t>提示工程(P</w:t>
      </w:r>
      <w:r>
        <w:rPr>
          <w:color w:val="000000" w:themeColor="text1"/>
          <w14:textFill>
            <w14:solidFill>
              <w14:schemeClr w14:val="tx1"/>
            </w14:solidFill>
          </w14:textFill>
        </w:rPr>
        <w:t>rompt</w:t>
      </w:r>
      <w:r>
        <w:rPr>
          <w:rFonts w:ascii="Cambria Math" w:hAnsi="Cambria Math" w:cs="Cambria Math"/>
          <w:color w:val="000000" w:themeColor="text1"/>
          <w14:textFill>
            <w14:solidFill>
              <w14:schemeClr w14:val="tx1"/>
            </w14:solidFill>
          </w14:textFill>
        </w:rPr>
        <w:t>‑</w:t>
      </w:r>
      <w:r>
        <w:rPr>
          <w:color w:val="000000" w:themeColor="text1"/>
          <w14:textFill>
            <w14:solidFill>
              <w14:schemeClr w14:val="tx1"/>
            </w14:solidFill>
          </w14:textFill>
        </w:rPr>
        <w:t>engineering</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的兴起，研究者开始直接在输入侧注入可学习的向量。Prefix</w:t>
      </w:r>
      <w:r>
        <w:rPr>
          <w:rFonts w:ascii="Cambria Math" w:hAnsi="Cambria Math" w:cs="Cambria Math"/>
          <w:color w:val="000000" w:themeColor="text1"/>
          <w14:textFill>
            <w14:solidFill>
              <w14:schemeClr w14:val="tx1"/>
            </w14:solidFill>
          </w14:textFill>
        </w:rPr>
        <w:t>‑</w:t>
      </w:r>
      <w:r>
        <w:rPr>
          <w:color w:val="000000" w:themeColor="text1"/>
          <w14:textFill>
            <w14:solidFill>
              <w14:schemeClr w14:val="tx1"/>
            </w14:solidFill>
          </w14:textFill>
        </w:rPr>
        <w:t>Tuning</w:t>
      </w:r>
      <w:r>
        <w:rPr>
          <w:color w:val="FF0000"/>
          <w:vertAlign w:val="superscript"/>
        </w:rPr>
        <w:fldChar w:fldCharType="begin"/>
      </w:r>
      <w:r>
        <w:rPr>
          <w:color w:val="000000" w:themeColor="text1"/>
          <w:vertAlign w:val="superscript"/>
          <w14:textFill>
            <w14:solidFill>
              <w14:schemeClr w14:val="tx1"/>
            </w14:solidFill>
          </w14:textFill>
        </w:rPr>
        <w:instrText xml:space="preserve"> REF _Ref196300082 \r \h </w:instrText>
      </w:r>
      <w:r>
        <w:rPr>
          <w:color w:val="FF0000"/>
          <w:vertAlign w:val="superscript"/>
        </w:rPr>
        <w:instrText xml:space="preserve"> \* MERGEFORMAT </w:instrText>
      </w:r>
      <w:r>
        <w:rPr>
          <w:color w:val="FF0000"/>
          <w:vertAlign w:val="superscript"/>
        </w:rPr>
        <w:fldChar w:fldCharType="separate"/>
      </w:r>
      <w:r>
        <w:rPr>
          <w:color w:val="000000" w:themeColor="text1"/>
          <w:vertAlign w:val="superscript"/>
          <w14:textFill>
            <w14:solidFill>
              <w14:schemeClr w14:val="tx1"/>
            </w14:solidFill>
          </w14:textFill>
        </w:rPr>
        <w:t>[28]</w:t>
      </w:r>
      <w:r>
        <w:rPr>
          <w:color w:val="FF0000"/>
          <w:vertAlign w:val="superscript"/>
        </w:rPr>
        <w:fldChar w:fldCharType="end"/>
      </w:r>
      <w:r>
        <w:rPr>
          <w:color w:val="000000" w:themeColor="text1"/>
          <w14:textFill>
            <w14:solidFill>
              <w14:schemeClr w14:val="tx1"/>
            </w14:solidFill>
          </w14:textFill>
        </w:rPr>
        <w:t>将一组可训练的“前缀”键</w:t>
      </w:r>
      <w:r>
        <w:rPr>
          <w:rFonts w:hint="eastAsia" w:cs="Cambria Math"/>
          <w:color w:val="000000" w:themeColor="text1"/>
          <w14:textFill>
            <w14:solidFill>
              <w14:schemeClr w14:val="tx1"/>
            </w14:solidFill>
          </w14:textFill>
        </w:rPr>
        <w:t>-</w:t>
      </w:r>
      <w:r>
        <w:rPr>
          <w:color w:val="000000" w:themeColor="text1"/>
          <w14:textFill>
            <w14:solidFill>
              <w14:schemeClr w14:val="tx1"/>
            </w14:solidFill>
          </w14:textFill>
        </w:rPr>
        <w:t>值对拼接到注意力机制中，在生成任务上用0.1%参数达到全量微调性能</w:t>
      </w:r>
      <w:r>
        <w:rPr>
          <w:rFonts w:hint="eastAsia"/>
          <w:color w:val="000000" w:themeColor="text1"/>
          <w14:textFill>
            <w14:solidFill>
              <w14:schemeClr w14:val="tx1"/>
            </w14:solidFill>
          </w14:textFill>
        </w:rPr>
        <w:t>；</w:t>
      </w:r>
      <w:r>
        <w:rPr>
          <w:rFonts w:cs="Times New Roman"/>
          <w:color w:val="000000" w:themeColor="text1"/>
          <w14:textFill>
            <w14:solidFill>
              <w14:schemeClr w14:val="tx1"/>
            </w14:solidFill>
          </w14:textFill>
        </w:rPr>
        <w:t>Prompt‑Tuning</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_Ref196300102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[29]</w:t>
      </w:r>
      <w:r>
        <w:rPr>
          <w:rFonts w:cs="Times New Roman"/>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进一步将前缀简化为连续软提示(</w:t>
      </w:r>
      <w:r>
        <w:rPr>
          <w:rFonts w:hint="eastAsia" w:cs="Times New Roman"/>
          <w:color w:val="000000" w:themeColor="text1"/>
          <w14:textFill>
            <w14:solidFill>
              <w14:schemeClr w14:val="tx1"/>
            </w14:solidFill>
          </w14:textFill>
        </w:rPr>
        <w:t>S</w:t>
      </w:r>
      <w:r>
        <w:rPr>
          <w:rFonts w:cs="Times New Roman"/>
          <w:color w:val="000000" w:themeColor="text1"/>
          <w14:textFill>
            <w14:solidFill>
              <w14:schemeClr w14:val="tx1"/>
            </w14:solidFill>
          </w14:textFill>
        </w:rPr>
        <w:t xml:space="preserve">oft </w:t>
      </w:r>
      <w:r>
        <w:rPr>
          <w:rFonts w:hint="eastAsia" w:cs="Times New Roman"/>
          <w:color w:val="000000" w:themeColor="text1"/>
          <w14:textFill>
            <w14:solidFill>
              <w14:schemeClr w14:val="tx1"/>
            </w14:solidFill>
          </w14:textFill>
        </w:rPr>
        <w:t>P</w:t>
      </w:r>
      <w:r>
        <w:rPr>
          <w:rFonts w:cs="Times New Roman"/>
          <w:color w:val="000000" w:themeColor="text1"/>
          <w14:textFill>
            <w14:solidFill>
              <w14:schemeClr w14:val="tx1"/>
            </w14:solidFill>
          </w14:textFill>
        </w:rPr>
        <w:t>rompts</w:t>
      </w:r>
      <w:r>
        <w:rPr>
          <w:color w:val="000000" w:themeColor="text1"/>
          <w14:textFill>
            <w14:solidFill>
              <w14:schemeClr w14:val="tx1"/>
            </w14:solidFill>
          </w14:textFill>
        </w:rPr>
        <w:t>)，并发现模型规模越大，其与全量微调的差距越小</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而</w:t>
      </w:r>
      <w:r>
        <w:rPr>
          <w:rFonts w:cs="Times New Roman"/>
          <w:color w:val="000000" w:themeColor="text1"/>
          <w14:textFill>
            <w14:solidFill>
              <w14:schemeClr w14:val="tx1"/>
            </w14:solidFill>
          </w14:textFill>
        </w:rPr>
        <w:t>P‑Tuning v2</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_Ref196300126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[30]</w:t>
      </w:r>
      <w:r>
        <w:rPr>
          <w:rFonts w:cs="Times New Roman"/>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通过深层梯度初始化，使</w:t>
      </w:r>
      <w:r>
        <w:rPr>
          <w:rFonts w:cs="Times New Roman"/>
          <w:color w:val="000000" w:themeColor="text1"/>
          <w14:textFill>
            <w14:solidFill>
              <w14:schemeClr w14:val="tx1"/>
            </w14:solidFill>
          </w14:textFill>
        </w:rPr>
        <w:t>NLU</w:t>
      </w:r>
      <w:r>
        <w:rPr>
          <w:color w:val="000000" w:themeColor="text1"/>
          <w14:textFill>
            <w14:solidFill>
              <w14:schemeClr w14:val="tx1"/>
            </w14:solidFill>
          </w14:textFill>
        </w:rPr>
        <w:t>任务上</w:t>
      </w:r>
      <w:r>
        <w:rPr>
          <w:rFonts w:cs="Times New Roman"/>
          <w:color w:val="000000" w:themeColor="text1"/>
          <w14:textFill>
            <w14:solidFill>
              <w14:schemeClr w14:val="tx1"/>
            </w14:solidFill>
          </w14:textFill>
        </w:rPr>
        <w:t>0.1 %–3 %</w:t>
      </w:r>
      <w:r>
        <w:rPr>
          <w:color w:val="000000" w:themeColor="text1"/>
          <w14:textFill>
            <w14:solidFill>
              <w14:schemeClr w14:val="tx1"/>
            </w14:solidFill>
          </w14:textFill>
        </w:rPr>
        <w:t>的参数即可稳定复现全量微调结果</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另一条轻量路线</w:t>
      </w:r>
      <w:r>
        <w:rPr>
          <w:rFonts w:cs="Times New Roman"/>
          <w:color w:val="000000" w:themeColor="text1"/>
          <w14:textFill>
            <w14:solidFill>
              <w14:schemeClr w14:val="tx1"/>
            </w14:solidFill>
          </w14:textFill>
        </w:rPr>
        <w:t>BitFit</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_Ref196300136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[31]</w:t>
      </w:r>
      <w:r>
        <w:rPr>
          <w:rFonts w:cs="Times New Roman"/>
          <w:color w:val="000000" w:themeColor="text1"/>
          <w:vertAlign w:val="superscript"/>
          <w14:textFill>
            <w14:solidFill>
              <w14:schemeClr w14:val="tx1"/>
            </w14:solidFill>
          </w14:textFill>
        </w:rPr>
        <w:fldChar w:fldCharType="end"/>
      </w:r>
      <w:r>
        <w:rPr>
          <w:color w:val="000000" w:themeColor="text1"/>
          <w14:textFill>
            <w14:solidFill>
              <w14:schemeClr w14:val="tx1"/>
            </w14:solidFill>
          </w14:textFill>
        </w:rPr>
        <w:t>则极端地只更新偏置项（二元化更新），在中小数据集上可与</w:t>
      </w:r>
      <w:r>
        <w:rPr>
          <w:rFonts w:cs="Times New Roman"/>
          <w:color w:val="000000" w:themeColor="text1"/>
          <w14:textFill>
            <w14:solidFill>
              <w14:schemeClr w14:val="tx1"/>
            </w14:solidFill>
          </w14:textFill>
        </w:rPr>
        <w:t>Adapter</w:t>
      </w:r>
      <w:r>
        <w:rPr>
          <w:color w:val="000000" w:themeColor="text1"/>
          <w14:textFill>
            <w14:solidFill>
              <w14:schemeClr w14:val="tx1"/>
            </w14:solidFill>
          </w14:textFill>
        </w:rPr>
        <w:t>持平，同时推理零开销</w:t>
      </w:r>
      <w:r>
        <w:rPr>
          <w:rFonts w:hint="eastAsia"/>
          <w:color w:val="000000" w:themeColor="text1"/>
          <w14:textFill>
            <w14:solidFill>
              <w14:schemeClr w14:val="tx1"/>
            </w14:solidFill>
          </w14:textFill>
        </w:rPr>
        <w:t>。</w:t>
      </w:r>
    </w:p>
    <w:p w14:paraId="4EA622FC">
      <w:pPr>
        <w:ind w:firstLine="480"/>
        <w:rPr>
          <w:rFonts w:cs="Times New Roman"/>
          <w:color w:val="000000" w:themeColor="text1"/>
          <w14:textFill>
            <w14:solidFill>
              <w14:schemeClr w14:val="tx1"/>
            </w14:solidFill>
          </w14:textFill>
        </w:rPr>
      </w:pPr>
      <w:r>
        <w:rPr>
          <w:rFonts w:cs="Times New Roman"/>
          <w:color w:val="000000" w:themeColor="text1"/>
          <w14:textFill>
            <w14:solidFill>
              <w14:schemeClr w14:val="tx1"/>
            </w14:solidFill>
          </w14:textFill>
        </w:rPr>
        <w:t>在众多方法中，Low‑Rank Adaptation(LoRA)</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_Ref196257757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[32]</w:t>
      </w:r>
      <w:r>
        <w:rPr>
          <w:rFonts w:cs="Times New Roman"/>
          <w:color w:val="000000" w:themeColor="text1"/>
          <w:vertAlign w:val="superscript"/>
          <w14:textFill>
            <w14:solidFill>
              <w14:schemeClr w14:val="tx1"/>
            </w14:solidFill>
          </w14:textFill>
        </w:rPr>
        <w:fldChar w:fldCharType="end"/>
      </w:r>
      <w:r>
        <w:rPr>
          <w:rFonts w:cs="Times New Roman"/>
          <w:color w:val="000000" w:themeColor="text1"/>
          <w14:textFill>
            <w14:solidFill>
              <w14:schemeClr w14:val="tx1"/>
            </w14:solidFill>
          </w14:textFill>
        </w:rPr>
        <w:t>通过将每个权重矩阵的更新项分解为两级低秩乘积</w:t>
      </w:r>
      <w:r>
        <w:rPr>
          <w:rFonts w:hint="eastAsia"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t>从根本上减少梯度与优化状态的维度</w:t>
      </w:r>
      <w:r>
        <w:rPr>
          <w:rFonts w:hint="eastAsia"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t>与Adapter系列相比，LoRA无需引入额外推理路径：训练结束后可将</w:t>
      </w:r>
      <w:r>
        <w:rPr>
          <w:rFonts w:hint="eastAsia" w:cs="Times New Roman"/>
          <w:color w:val="000000" w:themeColor="text1"/>
          <w14:textFill>
            <w14:solidFill>
              <w14:schemeClr w14:val="tx1"/>
            </w14:solidFill>
          </w14:textFill>
        </w:rPr>
        <w:t>低秩矩阵</w:t>
      </w:r>
      <w:r>
        <w:rPr>
          <w:rFonts w:cs="Times New Roman"/>
          <w:color w:val="000000" w:themeColor="text1"/>
          <w14:textFill>
            <w14:solidFill>
              <w14:schemeClr w14:val="tx1"/>
            </w14:solidFill>
          </w14:textFill>
        </w:rPr>
        <w:t>与原权重合并，保证推理时无额外延迟；而Adapter模块在部署阶段仍需前向计算，增加了服务链路复杂度。相较 Prompt/Prefix‑Tuning，LoRA直接作用于内部表示空间，不依赖输入长度，因而在长文本或多模态场景中更稳定；同时其低秩特性允许通过增减rank灵活控制性能‑效率折中。综合实验显示，在RoBERTa</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_Ref196300194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[33]</w:t>
      </w:r>
      <w:r>
        <w:rPr>
          <w:rFonts w:cs="Times New Roman"/>
          <w:color w:val="000000" w:themeColor="text1"/>
          <w:vertAlign w:val="superscript"/>
          <w14:textFill>
            <w14:solidFill>
              <w14:schemeClr w14:val="tx1"/>
            </w14:solidFill>
          </w14:textFill>
        </w:rPr>
        <w:fldChar w:fldCharType="end"/>
      </w:r>
      <w:r>
        <w:rPr>
          <w:rFonts w:cs="Times New Roman"/>
          <w:color w:val="000000" w:themeColor="text1"/>
          <w14:textFill>
            <w14:solidFill>
              <w14:schemeClr w14:val="tx1"/>
            </w14:solidFill>
          </w14:textFill>
        </w:rPr>
        <w:t>、GPT‑2</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_Ref196300260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[34]</w:t>
      </w:r>
      <w:r>
        <w:rPr>
          <w:rFonts w:cs="Times New Roman"/>
          <w:color w:val="000000" w:themeColor="text1"/>
          <w:vertAlign w:val="superscript"/>
          <w14:textFill>
            <w14:solidFill>
              <w14:schemeClr w14:val="tx1"/>
            </w14:solidFill>
          </w14:textFill>
        </w:rPr>
        <w:fldChar w:fldCharType="end"/>
      </w:r>
      <w:r>
        <w:rPr>
          <w:rFonts w:cs="Times New Roman"/>
          <w:color w:val="000000" w:themeColor="text1"/>
          <w14:textFill>
            <w14:solidFill>
              <w14:schemeClr w14:val="tx1"/>
            </w14:solidFill>
          </w14:textFill>
        </w:rPr>
        <w:t>、GPT‑3</w:t>
      </w:r>
      <w:r>
        <w:rPr>
          <w:rFonts w:cs="Times New Roman"/>
          <w:color w:val="000000" w:themeColor="text1"/>
          <w:vertAlign w:val="superscript"/>
          <w14:textFill>
            <w14:solidFill>
              <w14:schemeClr w14:val="tx1"/>
            </w14:solidFill>
          </w14:textFill>
        </w:rPr>
        <w:fldChar w:fldCharType="begin"/>
      </w:r>
      <w:r>
        <w:rPr>
          <w:rFonts w:cs="Times New Roman"/>
          <w:color w:val="000000" w:themeColor="text1"/>
          <w:vertAlign w:val="superscript"/>
          <w14:textFill>
            <w14:solidFill>
              <w14:schemeClr w14:val="tx1"/>
            </w14:solidFill>
          </w14:textFill>
        </w:rPr>
        <w:instrText xml:space="preserve"> REF _Ref195387648 \r \h  \* MERGEFORMAT </w:instrText>
      </w:r>
      <w:r>
        <w:rPr>
          <w:rFonts w:cs="Times New Roman"/>
          <w:color w:val="000000" w:themeColor="text1"/>
          <w:vertAlign w:val="superscript"/>
          <w14:textFill>
            <w14:solidFill>
              <w14:schemeClr w14:val="tx1"/>
            </w14:solidFill>
          </w14:textFill>
        </w:rPr>
        <w:fldChar w:fldCharType="separate"/>
      </w:r>
      <w:r>
        <w:rPr>
          <w:rFonts w:cs="Times New Roman"/>
          <w:color w:val="000000" w:themeColor="text1"/>
          <w:vertAlign w:val="superscript"/>
          <w14:textFill>
            <w14:solidFill>
              <w14:schemeClr w14:val="tx1"/>
            </w14:solidFill>
          </w14:textFill>
        </w:rPr>
        <w:t>[1]</w:t>
      </w:r>
      <w:r>
        <w:rPr>
          <w:rFonts w:cs="Times New Roman"/>
          <w:color w:val="000000" w:themeColor="text1"/>
          <w:vertAlign w:val="superscript"/>
          <w14:textFill>
            <w14:solidFill>
              <w14:schemeClr w14:val="tx1"/>
            </w14:solidFill>
          </w14:textFill>
        </w:rPr>
        <w:fldChar w:fldCharType="end"/>
      </w:r>
      <w:r>
        <w:rPr>
          <w:rFonts w:cs="Times New Roman"/>
          <w:color w:val="000000" w:themeColor="text1"/>
          <w14:textFill>
            <w14:solidFill>
              <w14:schemeClr w14:val="tx1"/>
            </w14:solidFill>
          </w14:textFill>
        </w:rPr>
        <w:t>等多系列模型上，LoRA以0.05 %–0.2 % 的可训练参数取得与或优于全量微调的结果，同时显著降低显存占用 </w:t>
      </w:r>
      <w:r>
        <w:rPr>
          <w:rFonts w:hint="eastAsia" w:cs="Times New Roman"/>
          <w:color w:val="000000" w:themeColor="text1"/>
          <w14:textFill>
            <w14:solidFill>
              <w14:schemeClr w14:val="tx1"/>
            </w14:solidFill>
          </w14:textFill>
        </w:rPr>
        <w:t>3倍</w:t>
      </w:r>
      <w:r>
        <w:rPr>
          <w:rFonts w:cs="Times New Roman"/>
          <w:color w:val="000000" w:themeColor="text1"/>
          <w14:textFill>
            <w14:solidFill>
              <w14:schemeClr w14:val="tx1"/>
            </w14:solidFill>
          </w14:textFill>
        </w:rPr>
        <w:t>以上</w:t>
      </w:r>
      <w:r>
        <w:rPr>
          <w:rFonts w:hint="eastAsia" w:cs="Times New Roman"/>
          <w:color w:val="000000" w:themeColor="text1"/>
          <w14:textFill>
            <w14:solidFill>
              <w14:schemeClr w14:val="tx1"/>
            </w14:solidFill>
          </w14:textFill>
        </w:rPr>
        <w:t>，</w:t>
      </w:r>
      <w:r>
        <w:rPr>
          <w:rFonts w:cs="Times New Roman"/>
          <w:color w:val="000000" w:themeColor="text1"/>
          <w14:textFill>
            <w14:solidFill>
              <w14:schemeClr w14:val="tx1"/>
            </w14:solidFill>
          </w14:textFill>
        </w:rPr>
        <w:t>并在跨领域迁移与安全微调等任务中展现了更好的稳定性和可组合性</w:t>
      </w:r>
      <w:r>
        <w:rPr>
          <w:rFonts w:hint="eastAsia" w:cs="Times New Roman"/>
          <w:color w:val="000000" w:themeColor="text1"/>
          <w14:textFill>
            <w14:solidFill>
              <w14:schemeClr w14:val="tx1"/>
            </w14:solidFill>
          </w14:textFill>
        </w:rPr>
        <w:t>。</w:t>
      </w:r>
    </w:p>
    <w:p w14:paraId="55C5E988">
      <w:pPr>
        <w:pStyle w:val="4"/>
        <w:spacing w:before="240" w:after="240"/>
        <w:ind w:firstLine="489"/>
      </w:pPr>
      <w:bookmarkStart w:id="17" w:name="_Toc197274514"/>
      <w:r>
        <w:rPr>
          <w:rFonts w:hint="eastAsia"/>
        </w:rPr>
        <w:t>1.2.4 指令微调</w:t>
      </w:r>
      <w:bookmarkEnd w:id="17"/>
    </w:p>
    <w:p w14:paraId="181EA0D5">
      <w:pPr>
        <w:ind w:firstLine="480"/>
      </w:pPr>
      <w:r>
        <w:rPr>
          <w:rFonts w:hint="eastAsia"/>
        </w:rPr>
        <w:t>自T0</w:t>
      </w:r>
      <w:r>
        <w:rPr>
          <w:vertAlign w:val="superscript"/>
        </w:rPr>
        <w:fldChar w:fldCharType="begin"/>
      </w:r>
      <w:r>
        <w:rPr>
          <w:vertAlign w:val="superscript"/>
        </w:rPr>
        <w:instrText xml:space="preserve"> </w:instrText>
      </w:r>
      <w:r>
        <w:rPr>
          <w:rFonts w:hint="eastAsia"/>
          <w:vertAlign w:val="superscript"/>
        </w:rPr>
        <w:instrText xml:space="preserve">REF _Ref196300375 \r \h</w:instrText>
      </w:r>
      <w:r>
        <w:rPr>
          <w:vertAlign w:val="superscript"/>
        </w:rPr>
        <w:instrText xml:space="preserve">  \* MERGEFORMAT </w:instrText>
      </w:r>
      <w:r>
        <w:rPr>
          <w:vertAlign w:val="superscript"/>
        </w:rPr>
        <w:fldChar w:fldCharType="separate"/>
      </w:r>
      <w:r>
        <w:rPr>
          <w:vertAlign w:val="superscript"/>
        </w:rPr>
        <w:t>[35]</w:t>
      </w:r>
      <w:r>
        <w:rPr>
          <w:vertAlign w:val="superscript"/>
        </w:rPr>
        <w:fldChar w:fldCharType="end"/>
      </w:r>
      <w:r>
        <w:rPr>
          <w:rFonts w:hint="eastAsia"/>
        </w:rPr>
        <w:t>首次展示通过多任务提示微调即可在完全零样本条件下泛化到未见任务以来，指令微调</w:t>
      </w:r>
      <w:r>
        <w:t>(Instruction Tuning)</w:t>
      </w:r>
      <w:r>
        <w:rPr>
          <w:rFonts w:hint="eastAsia"/>
        </w:rPr>
        <w:t>逐渐被视为弥合预训练目标与用户意图之间鸿沟的关键技术。T0通过汇总公开任务数据集并统一为“指令—输入—输出”三元结构，在不引入下游监督样本的情况下显著提升了模型在新任务上的零样本表现，奠定了指令微调研究的基础。随后，</w:t>
      </w:r>
      <w:r>
        <w:t>Google</w:t>
      </w:r>
      <w:r>
        <w:rPr>
          <w:rFonts w:hint="eastAsia"/>
        </w:rPr>
        <w:t>提出的</w:t>
      </w:r>
      <w:r>
        <w:t xml:space="preserve"> FLAN</w:t>
      </w:r>
      <w:r>
        <w:rPr>
          <w:vertAlign w:val="superscript"/>
        </w:rPr>
        <w:fldChar w:fldCharType="begin"/>
      </w:r>
      <w:r>
        <w:rPr>
          <w:vertAlign w:val="superscript"/>
        </w:rPr>
        <w:instrText xml:space="preserve"> REF _Ref196300454 \r \h  \* MERGEFORMAT </w:instrText>
      </w:r>
      <w:r>
        <w:rPr>
          <w:vertAlign w:val="superscript"/>
        </w:rPr>
        <w:fldChar w:fldCharType="separate"/>
      </w:r>
      <w:r>
        <w:rPr>
          <w:vertAlign w:val="superscript"/>
        </w:rPr>
        <w:t>[36]</w:t>
      </w:r>
      <w:r>
        <w:rPr>
          <w:vertAlign w:val="superscript"/>
        </w:rPr>
        <w:fldChar w:fldCharType="end"/>
      </w:r>
      <w:r>
        <w:rPr>
          <w:rFonts w:hint="eastAsia"/>
        </w:rPr>
        <w:t>进一步系统化构建跨任务混合指令集，通过精细控制任务多样性、指令模板语言风格和监督样本数，在</w:t>
      </w:r>
      <w:r>
        <w:t>Flan‑T5</w:t>
      </w:r>
      <w:r>
        <w:rPr>
          <w:rFonts w:hint="eastAsia"/>
        </w:rPr>
        <w:t>模型上实现了同尺寸基线平均超过</w:t>
      </w:r>
      <w:r>
        <w:t>12%</w:t>
      </w:r>
      <w:r>
        <w:rPr>
          <w:rFonts w:hint="eastAsia"/>
        </w:rPr>
        <w:t>的零样本能力提升，展示了指令规模、领域覆盖度与泛化性能之间的耦合关系。</w:t>
      </w:r>
    </w:p>
    <w:p w14:paraId="3226A7F6">
      <w:pPr>
        <w:ind w:firstLine="480"/>
      </w:pPr>
      <w:r>
        <w:rPr>
          <w:rFonts w:hint="eastAsia"/>
        </w:rPr>
        <w:t>为了扩展任务与指令的语义空间，</w:t>
      </w:r>
      <w:r>
        <w:t>Super‑NaturalInstructions</w:t>
      </w:r>
      <w:r>
        <w:rPr>
          <w:vertAlign w:val="superscript"/>
        </w:rPr>
        <w:fldChar w:fldCharType="begin"/>
      </w:r>
      <w:r>
        <w:rPr>
          <w:vertAlign w:val="superscript"/>
        </w:rPr>
        <w:instrText xml:space="preserve"> REF _Ref196300509 \r \h  \* MERGEFORMAT </w:instrText>
      </w:r>
      <w:r>
        <w:rPr>
          <w:vertAlign w:val="superscript"/>
        </w:rPr>
        <w:fldChar w:fldCharType="separate"/>
      </w:r>
      <w:r>
        <w:rPr>
          <w:vertAlign w:val="superscript"/>
        </w:rPr>
        <w:t>[37]</w:t>
      </w:r>
      <w:r>
        <w:rPr>
          <w:vertAlign w:val="superscript"/>
        </w:rPr>
        <w:fldChar w:fldCharType="end"/>
      </w:r>
      <w:r>
        <w:rPr>
          <w:rFonts w:hint="eastAsia"/>
        </w:rPr>
        <w:t>构建了一个包含1600多个由人工设计的任务集合，涵盖分类、排序、生成、推理等广泛场景，并系统性研究了指令粒度、复杂性与模型泛化能力的关系。实验表明，任务数量对跨任务迁移性能呈对数增长，提示指令分布多样性对于提升泛化能力至关重要。</w:t>
      </w:r>
    </w:p>
    <w:p w14:paraId="249530F4">
      <w:pPr>
        <w:ind w:firstLine="480"/>
      </w:pPr>
      <w:r>
        <w:t>OpenAI</w:t>
      </w:r>
      <w:r>
        <w:rPr>
          <w:rFonts w:hint="eastAsia"/>
        </w:rPr>
        <w:t>的</w:t>
      </w:r>
      <w:r>
        <w:t>InstructGPT</w:t>
      </w:r>
      <w:r>
        <w:rPr>
          <w:vertAlign w:val="superscript"/>
        </w:rPr>
        <w:fldChar w:fldCharType="begin"/>
      </w:r>
      <w:r>
        <w:rPr>
          <w:vertAlign w:val="superscript"/>
        </w:rPr>
        <w:instrText xml:space="preserve"> REF _Ref195388383 \r \h  \* MERGEFORMAT </w:instrText>
      </w:r>
      <w:r>
        <w:rPr>
          <w:vertAlign w:val="superscript"/>
        </w:rPr>
        <w:fldChar w:fldCharType="separate"/>
      </w:r>
      <w:r>
        <w:rPr>
          <w:vertAlign w:val="superscript"/>
        </w:rPr>
        <w:t>[6]</w:t>
      </w:r>
      <w:r>
        <w:rPr>
          <w:vertAlign w:val="superscript"/>
        </w:rPr>
        <w:fldChar w:fldCharType="end"/>
      </w:r>
      <w:r>
        <w:rPr>
          <w:rFonts w:hint="eastAsia"/>
        </w:rPr>
        <w:t>则首次在监督指令微调的基础上引入基于人类偏好的强化学习</w:t>
      </w:r>
      <w:r>
        <w:t>(Reinforcement Learning from Human Feedback, RLHF)</w:t>
      </w:r>
      <w:r>
        <w:rPr>
          <w:rFonts w:hint="eastAsia"/>
        </w:rPr>
        <w:t>，通过奖励建模器引导模型生成更符合人类价值与表达偏好的输出。该方法显著提升了模型在真实交互场景下的遵从性与可控性。实验数据显示，</w:t>
      </w:r>
      <w:r>
        <w:t xml:space="preserve">GPT‑3‑davinci </w:t>
      </w:r>
      <w:r>
        <w:rPr>
          <w:rFonts w:hint="eastAsia"/>
        </w:rPr>
        <w:t>在帮助性与安全性维度的用户评价上，相较于未对齐模型分别提升了</w:t>
      </w:r>
      <w:r>
        <w:t xml:space="preserve"> 40% </w:t>
      </w:r>
      <w:r>
        <w:rPr>
          <w:rFonts w:hint="eastAsia"/>
        </w:rPr>
        <w:t>与</w:t>
      </w:r>
      <w:r>
        <w:t xml:space="preserve"> 29%</w:t>
      </w:r>
      <w:r>
        <w:rPr>
          <w:rFonts w:hint="eastAsia"/>
        </w:rPr>
        <w:t>，标志着大模型对齐技术迈入产品可用阶段。</w:t>
      </w:r>
    </w:p>
    <w:p w14:paraId="6A1CBF50">
      <w:pPr>
        <w:ind w:firstLine="480"/>
      </w:pPr>
      <w:r>
        <w:rPr>
          <w:rFonts w:hint="eastAsia"/>
        </w:rPr>
        <w:t>近年来，指令微调的研究还扩展到多语言、多模态、长上下文与语义对抗等前沿方向，部分工作尝试结合数据增强、自适应采样与指令扰动等策略，进一步提升指令泛化能力与鲁棒性。整体而言，指令微调已成为对齐大模型与人类意图的核心手段之一，并对后续的安全控制、角色扮演、价值注入等能力构建奠定了技术基础。</w:t>
      </w:r>
    </w:p>
    <w:p w14:paraId="174329D3">
      <w:pPr>
        <w:pStyle w:val="3"/>
        <w:spacing w:before="240" w:after="240"/>
        <w:ind w:firstLine="0" w:firstLineChars="0"/>
      </w:pPr>
      <w:bookmarkStart w:id="18" w:name="_Toc197274515"/>
      <w:r>
        <w:rPr>
          <w:rFonts w:hint="eastAsia"/>
        </w:rPr>
        <w:t>1.3 研究内容与创新点</w:t>
      </w:r>
      <w:bookmarkEnd w:id="18"/>
    </w:p>
    <w:p w14:paraId="2111672D">
      <w:pPr>
        <w:ind w:firstLine="480"/>
      </w:pPr>
      <w:r>
        <w:rPr>
          <w:rFonts w:hint="eastAsia"/>
        </w:rPr>
        <w:t>本文</w:t>
      </w:r>
      <w:r>
        <w:t>提出了一种新颖且轻量化的检测器LEAD，能够在检测准确率和推理速度上取得领先表现，尤其在识别人工</w:t>
      </w:r>
      <w:r>
        <w:rPr>
          <w:rFonts w:hint="eastAsia"/>
        </w:rPr>
        <w:t>精心设计的</w:t>
      </w:r>
      <w:r>
        <w:t>对抗攻击方面具有显著优势。具体而言，</w:t>
      </w:r>
      <w:r>
        <w:rPr>
          <w:rFonts w:hint="eastAsia"/>
        </w:rPr>
        <w:t>本文</w:t>
      </w:r>
      <w:r>
        <w:t>首先基于仅包含人工对抗攻击样本的基准数据集——JailBench</w:t>
      </w:r>
      <w:r>
        <w:rPr>
          <w:vertAlign w:val="superscript"/>
        </w:rPr>
        <w:fldChar w:fldCharType="begin"/>
      </w:r>
      <w:r>
        <w:rPr>
          <w:vertAlign w:val="superscript"/>
        </w:rPr>
        <w:instrText xml:space="preserve"> REF _Ref195451327 \r \h  \* MERGEFORMAT </w:instrText>
      </w:r>
      <w:r>
        <w:rPr>
          <w:vertAlign w:val="superscript"/>
        </w:rPr>
        <w:fldChar w:fldCharType="separate"/>
      </w:r>
      <w:r>
        <w:rPr>
          <w:vertAlign w:val="superscript"/>
        </w:rPr>
        <w:t>[13]</w:t>
      </w:r>
      <w:r>
        <w:rPr>
          <w:vertAlign w:val="superscript"/>
        </w:rPr>
        <w:fldChar w:fldCharType="end"/>
      </w:r>
      <w:r>
        <w:t>，对当前主流的大模型进行了系统评估，揭示了它们在安全防御方面仍存在</w:t>
      </w:r>
      <w:r>
        <w:rPr>
          <w:rFonts w:hint="eastAsia"/>
        </w:rPr>
        <w:t>的</w:t>
      </w:r>
      <w:r>
        <w:t>明显脆弱性。</w:t>
      </w:r>
      <w:r>
        <w:rPr>
          <w:rFonts w:hint="eastAsia"/>
        </w:rPr>
        <w:t>在此基础上，本文进一步探索了多种启发式检测策略，包括基于规则过滤、情感分析和困惑度阈值的方法，并对其在越狱提示检测任务中的性能进行了评测。实验结果表明，尽管这些方法在实现简便性与资源消耗方面具有一定优势，但在面对结构复杂、语义隐蔽的人类构造攻击时，仍存在召回率低、误报率高等问题，难以满足实际应用中的鲁棒性与稳定性要求。为进一步提升训练与评估的广度，本文通过对</w:t>
      </w:r>
      <w:r>
        <w:t>JailBench</w:t>
      </w:r>
      <w:r>
        <w:rPr>
          <w:rFonts w:hint="eastAsia"/>
        </w:rPr>
        <w:t>的扩展构建了一个更加均衡的数据集——JailBench++</w:t>
      </w:r>
      <w:r>
        <w:t>，并在Qwen2-1.5B-Instruct模型</w:t>
      </w:r>
      <w:r>
        <w:rPr>
          <w:vertAlign w:val="superscript"/>
        </w:rPr>
        <w:fldChar w:fldCharType="begin"/>
      </w:r>
      <w:r>
        <w:rPr>
          <w:vertAlign w:val="superscript"/>
        </w:rPr>
        <w:instrText xml:space="preserve"> REF _Ref196257668 \r \h  \* MERGEFORMAT </w:instrText>
      </w:r>
      <w:r>
        <w:rPr>
          <w:vertAlign w:val="superscript"/>
        </w:rPr>
        <w:fldChar w:fldCharType="separate"/>
      </w:r>
      <w:r>
        <w:rPr>
          <w:vertAlign w:val="superscript"/>
        </w:rPr>
        <w:t>[38]</w:t>
      </w:r>
      <w:r>
        <w:rPr>
          <w:vertAlign w:val="superscript"/>
        </w:rPr>
        <w:fldChar w:fldCharType="end"/>
      </w:r>
      <w:r>
        <w:t>上采用LoRA</w:t>
      </w:r>
      <w:r>
        <w:rPr>
          <w:vertAlign w:val="superscript"/>
        </w:rPr>
        <w:fldChar w:fldCharType="begin"/>
      </w:r>
      <w:r>
        <w:rPr>
          <w:vertAlign w:val="superscript"/>
        </w:rPr>
        <w:instrText xml:space="preserve"> REF _Ref196257757 \r \h  \* MERGEFORMAT </w:instrText>
      </w:r>
      <w:r>
        <w:rPr>
          <w:vertAlign w:val="superscript"/>
        </w:rPr>
        <w:fldChar w:fldCharType="separate"/>
      </w:r>
      <w:r>
        <w:rPr>
          <w:vertAlign w:val="superscript"/>
        </w:rPr>
        <w:t>[32]</w:t>
      </w:r>
      <w:r>
        <w:rPr>
          <w:vertAlign w:val="superscript"/>
        </w:rPr>
        <w:fldChar w:fldCharType="end"/>
      </w:r>
      <w:r>
        <w:t>指令微调进行训练。实验结果表明，所提出的检测器在测试集上取得了最优的检测性能，同时在推理速度方面也表现突出，为大模型应用提供了一种高效、可靠的安全防护</w:t>
      </w:r>
      <w:r>
        <w:rPr>
          <w:rFonts w:hint="eastAsia"/>
        </w:rPr>
        <w:t>检测</w:t>
      </w:r>
      <w:r>
        <w:t>方案。</w:t>
      </w:r>
    </w:p>
    <w:p w14:paraId="02094D70">
      <w:pPr>
        <w:ind w:firstLine="480"/>
      </w:pPr>
      <w:r>
        <w:rPr>
          <w:rFonts w:hint="eastAsia"/>
        </w:rPr>
        <w:t>本文的贡献可总结如下：</w:t>
      </w:r>
    </w:p>
    <w:p w14:paraId="6432CCF9">
      <w:pPr>
        <w:ind w:firstLine="480"/>
      </w:pPr>
      <w:r>
        <w:rPr>
          <w:rFonts w:hint="eastAsia"/>
        </w:rPr>
        <w:t>·构建了一个高质量越狱提示检测基准数据集</w:t>
      </w:r>
      <w:r>
        <w:t>(</w:t>
      </w:r>
      <w:r>
        <w:rPr>
          <w:rFonts w:hint="eastAsia"/>
        </w:rPr>
        <w:t>JailBench++</w:t>
      </w:r>
      <w:r>
        <w:t>)</w:t>
      </w:r>
      <w:r>
        <w:rPr>
          <w:rFonts w:hint="eastAsia"/>
        </w:rPr>
        <w:t>：对现有的JailBench数据集进行扩展构建了一个更加平衡、覆盖更加广泛攻击类型的越狱提示检测基准数据集</w:t>
      </w:r>
      <w:r>
        <w:t>(</w:t>
      </w:r>
      <w:r>
        <w:rPr>
          <w:rFonts w:hint="eastAsia"/>
        </w:rPr>
        <w:t>JailBench++</w:t>
      </w:r>
      <w:r>
        <w:t>)</w:t>
      </w:r>
      <w:r>
        <w:rPr>
          <w:rFonts w:hint="eastAsia"/>
        </w:rPr>
        <w:t>，为大模型安全评测与防护提供了坚实的数据基础。</w:t>
      </w:r>
    </w:p>
    <w:p w14:paraId="0EAFD397">
      <w:pPr>
        <w:ind w:firstLine="480"/>
      </w:pPr>
      <w:r>
        <w:rPr>
          <w:rFonts w:hint="eastAsia"/>
        </w:rPr>
        <w:t>·系统评测并探索了当前主流大模型的安全防御脆弱性：利用JailBench数据集系统性评测了主流的大语言模型，定量揭示了当前大模型在面对人工精心设计的越狱提示攻击时存在的安全防御不足，为后续的模型安全研究提供了重要参考。</w:t>
      </w:r>
    </w:p>
    <w:p w14:paraId="35B5CAFE">
      <w:pPr>
        <w:ind w:firstLine="480"/>
      </w:pPr>
      <w:r>
        <w:rPr>
          <w:rFonts w:hint="eastAsia"/>
        </w:rPr>
        <w:t>·对多种检测策略进行了系统分析与性能对比：对包括规则过滤、情感分析、困惑度检测等启发式方法进行了评估，比较其在检测精度、召回率与鲁棒性等方面的表现，为新方法的提出提供了重要依据。</w:t>
      </w:r>
    </w:p>
    <w:p w14:paraId="5A16E732">
      <w:pPr>
        <w:ind w:firstLine="480"/>
      </w:pPr>
      <w:r>
        <w:rPr>
          <w:rFonts w:hint="eastAsia"/>
        </w:rPr>
        <w:t>·提出了一种高效且轻量化的越狱提示检测方法</w:t>
      </w:r>
      <w:r>
        <w:t>(</w:t>
      </w:r>
      <w:r>
        <w:rPr>
          <w:rFonts w:hint="eastAsia"/>
        </w:rPr>
        <w:t>LEAD</w:t>
      </w:r>
      <w:r>
        <w:t>)</w:t>
      </w:r>
      <w:r>
        <w:rPr>
          <w:rFonts w:hint="eastAsia"/>
        </w:rPr>
        <w:t>：以Qwen2-1.5B-Instruct模型为基座，结合参数高效微调技术LoRA进行指令微调，提出了一种新颖的轻量化越狱提示检测器LEAD。该方法在识别人工精心设计的越狱提示时表现出显著优势，且在检测精度和推理速度上都领先于现有方法。</w:t>
      </w:r>
    </w:p>
    <w:p w14:paraId="66446749">
      <w:pPr>
        <w:pStyle w:val="3"/>
        <w:spacing w:before="240" w:after="240"/>
        <w:ind w:firstLine="0" w:firstLineChars="0"/>
      </w:pPr>
      <w:bookmarkStart w:id="19" w:name="_Toc197274516"/>
      <w:r>
        <w:rPr>
          <w:rFonts w:hint="eastAsia"/>
        </w:rPr>
        <w:t>1.4 章节安排</w:t>
      </w:r>
      <w:bookmarkEnd w:id="19"/>
    </w:p>
    <w:p w14:paraId="634E94EC">
      <w:pPr>
        <w:ind w:firstLine="480"/>
      </w:pPr>
      <w:r>
        <w:rPr>
          <w:rFonts w:hint="eastAsia"/>
        </w:rPr>
        <w:t>本文一共包含五个章节，各章节的主要内容如下：</w:t>
      </w:r>
    </w:p>
    <w:p w14:paraId="2525E4AF">
      <w:pPr>
        <w:ind w:firstLine="480"/>
      </w:pPr>
      <w:r>
        <w:rPr>
          <w:rFonts w:hint="eastAsia"/>
        </w:rPr>
        <w:t>第一章：绪论。本章首先介绍了大型语言模型的发展背景及其在自然语言处理任务中的广泛应用，指出随着模型能力增强，提示注入（越狱攻击）带来的安全隐患也日益突出。随后综述了国内外在越狱攻击、防御策略、参数高效微调（如LoRA）和指令微调等相关领域的研究现状，分析了现有方法的局限性。最后明确了本文的研究内容与创新点，描述了本文的主要研究内容。</w:t>
      </w:r>
    </w:p>
    <w:p w14:paraId="01BE753C">
      <w:pPr>
        <w:ind w:firstLine="480"/>
      </w:pPr>
      <w:r>
        <w:rPr>
          <w:rFonts w:hint="eastAsia"/>
        </w:rPr>
        <w:t>第二章：相关技术。本章介绍了本文研究所依赖的核心技术背景。首先，概述了大型语言模型的基本结构与训练方法，重点讲解了Transformer架构、注意力机制、多头机制以及位置编码方式。然后，讲述了混合专家模型在大型语言模型中的应用。随后，介绍了参数高效微调技术LoRA的原理与优势，说明其在保证性能的同时显著降低了训练与推理开销。最后，阐述了指令微调的基本概念和应用，指出其在对抗越狱提示时的重要作用，为后续检测器的设计和训练提供了理论基础。</w:t>
      </w:r>
    </w:p>
    <w:p w14:paraId="124394A7">
      <w:pPr>
        <w:ind w:firstLine="480"/>
      </w:pPr>
      <w:r>
        <w:rPr>
          <w:rFonts w:hint="eastAsia"/>
        </w:rPr>
        <w:t>第三章：主要工作。本章提出了高效且轻量化的越狱提示检测器LEAD，首先讲述了前期的一些探索工作。然后概述了整体设计思路，说明选择Qwen2-1.5B-Instruct作为基座模型的理由，并明确了越狱提示检测任务的具体定义。随后详细介绍了使用参数高效微调技术LoRA进行模型训练的方法，包括数据集JailBench++的构建与预处理、基于LoRA的模型训练流程，以及最终的推理部署方式，确保检测器在准确率、推理速度和部署便捷性之间取得良好平衡。</w:t>
      </w:r>
    </w:p>
    <w:p w14:paraId="3F2DB64A">
      <w:pPr>
        <w:ind w:firstLine="480"/>
      </w:pPr>
      <w:r>
        <w:rPr>
          <w:rFonts w:hint="eastAsia"/>
        </w:rPr>
        <w:t>第四章：实验与分析。本章通过两大部分实验验证了本文提出方法的有效性。首先，基于中文越狱基准数据集JailBench系统评估了主流大模型在面对人工设计的对抗攻击时的安全防御能力，揭示了当前模型在越狱防护方面的短板。随后，在越狱提示检测任务上，将本文提出的LEAD与启发式过滤、零样本大模型检测、梯度分析检测等基线方法进行全面对比，评估了各自的检测性能与推理效率。实验结果表明，LEAD在F1得分、准确率、召回率及推理速度等指标上均显著优于现有方法，展现出实际部署价值。</w:t>
      </w:r>
    </w:p>
    <w:p w14:paraId="21FE427E">
      <w:pPr>
        <w:ind w:firstLine="480"/>
      </w:pPr>
      <w:r>
        <w:rPr>
          <w:rFonts w:hint="eastAsia"/>
        </w:rPr>
        <w:t>第五章：总结与展望。本章总结了本文在越狱提示检测方向上的研究工作，回顾了提出高效轻量化检测器LEAD的全过程及其实验验证结果，强调了其在检测准确率与推理效率上的突出表现。同时，本章也对当前方法的局限性进行了深入分析，提出需要在模型选取、泛化增强、对抗防御、跨语言迁移和数据扩展等方面持续优化，以推动越狱提示检测技术的进一步发展。</w:t>
      </w:r>
    </w:p>
    <w:p w14:paraId="11064CC1">
      <w:pPr>
        <w:ind w:firstLine="480"/>
      </w:pPr>
    </w:p>
    <w:p w14:paraId="451322CD">
      <w:pPr>
        <w:ind w:firstLine="480"/>
      </w:pPr>
      <w:r>
        <w:br w:type="page"/>
      </w:r>
    </w:p>
    <w:p w14:paraId="02C2D56C">
      <w:pPr>
        <w:pStyle w:val="2"/>
        <w:spacing w:before="240" w:after="240" w:line="360" w:lineRule="auto"/>
        <w:ind w:firstLine="0" w:firstLineChars="0"/>
      </w:pPr>
      <w:bookmarkStart w:id="20" w:name="_Toc197274517"/>
      <w:r>
        <w:rPr>
          <w:rFonts w:hint="eastAsia"/>
        </w:rPr>
        <w:t>第二章 相关技术</w:t>
      </w:r>
      <w:bookmarkEnd w:id="20"/>
    </w:p>
    <w:p w14:paraId="5017722F">
      <w:pPr>
        <w:pStyle w:val="3"/>
        <w:spacing w:before="240" w:after="240"/>
        <w:ind w:firstLine="0" w:firstLineChars="0"/>
      </w:pPr>
      <w:bookmarkStart w:id="21" w:name="_Toc197274518"/>
      <w:r>
        <w:rPr>
          <w:rFonts w:hint="eastAsia"/>
        </w:rPr>
        <w:t>2.1 大型语言模型</w:t>
      </w:r>
      <w:bookmarkEnd w:id="21"/>
    </w:p>
    <w:p w14:paraId="16DB3DDB">
      <w:pPr>
        <w:ind w:firstLine="480"/>
      </w:pPr>
      <w:r>
        <w:rPr>
          <w:rFonts w:hint="eastAsia"/>
        </w:rPr>
        <w:t>当今主流LLM大多基于Transformer结构</w:t>
      </w:r>
      <w:r>
        <w:rPr>
          <w:vertAlign w:val="superscript"/>
        </w:rPr>
        <w:fldChar w:fldCharType="begin"/>
      </w:r>
      <w:r>
        <w:rPr>
          <w:vertAlign w:val="superscript"/>
        </w:rPr>
        <w:instrText xml:space="preserve"> </w:instrText>
      </w:r>
      <w:r>
        <w:rPr>
          <w:rFonts w:hint="eastAsia"/>
          <w:vertAlign w:val="superscript"/>
        </w:rPr>
        <w:instrText xml:space="preserve">REF _Ref196299064 \r \h</w:instrText>
      </w:r>
      <w:r>
        <w:rPr>
          <w:vertAlign w:val="superscript"/>
        </w:rPr>
        <w:instrText xml:space="preserve">  \* MERGEFORMAT </w:instrText>
      </w:r>
      <w:r>
        <w:rPr>
          <w:vertAlign w:val="superscript"/>
        </w:rPr>
        <w:fldChar w:fldCharType="separate"/>
      </w:r>
      <w:r>
        <w:rPr>
          <w:vertAlign w:val="superscript"/>
        </w:rPr>
        <w:t>[23]</w:t>
      </w:r>
      <w:r>
        <w:rPr>
          <w:vertAlign w:val="superscript"/>
        </w:rPr>
        <w:fldChar w:fldCharType="end"/>
      </w:r>
      <w:r>
        <w:rPr>
          <w:rFonts w:hint="eastAsia"/>
        </w:rPr>
        <w:t>，其核心是注意力机制</w:t>
      </w:r>
      <w:r>
        <w:t>(Attention)</w:t>
      </w:r>
      <w:r>
        <w:rPr>
          <w:rFonts w:hint="eastAsia"/>
        </w:rPr>
        <w:t>。在标准的自注意力</w:t>
      </w:r>
      <w:r>
        <w:t>(Self-Attention)</w:t>
      </w:r>
      <w:r>
        <w:rPr>
          <w:rFonts w:hint="eastAsia"/>
        </w:rPr>
        <w:t>机制中，给定查询</w:t>
      </w:r>
      <w:r>
        <w:t>(Query)</w:t>
      </w:r>
      <w:r>
        <w:rPr>
          <w:rFonts w:hint="eastAsia"/>
        </w:rPr>
        <w:t>、键</w:t>
      </w:r>
      <w:r>
        <w:t>(Key)</w:t>
      </w:r>
      <w:r>
        <w:rPr>
          <w:rFonts w:hint="eastAsia"/>
        </w:rPr>
        <w:t>和值</w:t>
      </w:r>
      <w:r>
        <w:t>(Value)</w:t>
      </w:r>
      <w:r>
        <w:rPr>
          <w:rFonts w:hint="eastAsia"/>
        </w:rPr>
        <w:t>矩阵</w:t>
      </w:r>
      <m:oMath>
        <m:r>
          <m:rPr/>
          <w:rPr>
            <w:rFonts w:ascii="Cambria Math" w:hAnsi="Cambria Math"/>
          </w:rPr>
          <m:t>Q,K,V</m:t>
        </m:r>
      </m:oMath>
      <w:r>
        <w:rPr>
          <w:rFonts w:hint="eastAsia"/>
        </w:rPr>
        <w:t>，计算公式为：</w:t>
      </w:r>
    </w:p>
    <w:p w14:paraId="2D8A3201">
      <w:pPr>
        <w:ind w:firstLine="480"/>
        <w:rPr>
          <w:iCs/>
        </w:rPr>
      </w:pPr>
      <m:oMathPara>
        <m:oMath>
          <m:eqArr>
            <m:eqArrPr>
              <m:maxDist m:val="1"/>
              <m:ctrlPr>
                <w:rPr>
                  <w:rFonts w:ascii="Cambria Math" w:hAnsi="Cambria Math"/>
                  <w:i/>
                  <w:iCs/>
                </w:rPr>
              </m:ctrlPr>
            </m:eqArrPr>
            <m:e>
              <m:r>
                <m:rPr/>
                <w:rPr>
                  <w:rFonts w:ascii="Cambria Math" w:hAnsi="Cambria Math"/>
                </w:rPr>
                <m:t>Attention</m:t>
              </m:r>
              <m:d>
                <m:dPr>
                  <m:ctrlPr>
                    <w:rPr>
                      <w:rFonts w:ascii="Cambria Math" w:hAnsi="Cambria Math"/>
                      <w:i/>
                      <w:iCs/>
                    </w:rPr>
                  </m:ctrlPr>
                </m:dPr>
                <m:e>
                  <m:r>
                    <m:rPr/>
                    <w:rPr>
                      <w:rFonts w:ascii="Cambria Math" w:hAnsi="Cambria Math"/>
                    </w:rPr>
                    <m:t>Q,K,V</m:t>
                  </m:r>
                  <m:ctrlPr>
                    <w:rPr>
                      <w:rFonts w:ascii="Cambria Math" w:hAnsi="Cambria Math"/>
                      <w:i/>
                      <w:iCs/>
                    </w:rPr>
                  </m:ctrlPr>
                </m:e>
              </m:d>
              <m:r>
                <m:rPr/>
                <w:rPr>
                  <w:rFonts w:ascii="Cambria Math" w:hAnsi="Cambria Math"/>
                </w:rPr>
                <m:t>=softmax(</m:t>
              </m:r>
              <m:f>
                <m:fPr>
                  <m:ctrlPr>
                    <w:rPr>
                      <w:rFonts w:ascii="Cambria Math" w:hAnsi="Cambria Math"/>
                      <w:i/>
                      <w:iCs/>
                    </w:rPr>
                  </m:ctrlPr>
                </m:fPr>
                <m:num>
                  <m:r>
                    <m:rPr/>
                    <w:rPr>
                      <w:rFonts w:ascii="Cambria Math" w:hAnsi="Cambria Math"/>
                    </w:rPr>
                    <m:t>Q</m:t>
                  </m:r>
                  <m:sSup>
                    <m:sSupPr>
                      <m:ctrlPr>
                        <w:rPr>
                          <w:rFonts w:ascii="Cambria Math" w:hAnsi="Cambria Math"/>
                          <w:i/>
                          <w:iCs/>
                        </w:rPr>
                      </m:ctrlPr>
                    </m:sSupPr>
                    <m:e>
                      <m:r>
                        <m:rPr/>
                        <w:rPr>
                          <w:rFonts w:ascii="Cambria Math" w:hAnsi="Cambria Math"/>
                        </w:rPr>
                        <m:t>K</m:t>
                      </m:r>
                      <m:ctrlPr>
                        <w:rPr>
                          <w:rFonts w:ascii="Cambria Math" w:hAnsi="Cambria Math"/>
                          <w:i/>
                          <w:iCs/>
                        </w:rPr>
                      </m:ctrlPr>
                    </m:e>
                    <m:sup>
                      <m:r>
                        <m:rPr/>
                        <w:rPr>
                          <w:rFonts w:ascii="Cambria Math" w:hAnsi="Cambria Math"/>
                        </w:rPr>
                        <m:t>T</m:t>
                      </m:r>
                      <m:ctrlPr>
                        <w:rPr>
                          <w:rFonts w:ascii="Cambria Math" w:hAnsi="Cambria Math"/>
                          <w:i/>
                          <w:iCs/>
                        </w:rPr>
                      </m:ctrlPr>
                    </m:sup>
                  </m:sSup>
                  <m:ctrlPr>
                    <w:rPr>
                      <w:rFonts w:ascii="Cambria Math" w:hAnsi="Cambria Math"/>
                      <w:i/>
                      <w:iCs/>
                    </w:rPr>
                  </m:ctrlPr>
                </m:num>
                <m:den>
                  <m:rad>
                    <m:radPr>
                      <m:degHide m:val="1"/>
                      <m:ctrlPr>
                        <w:rPr>
                          <w:rFonts w:ascii="Cambria Math" w:hAnsi="Cambria Math"/>
                          <w:i/>
                          <w:iCs/>
                        </w:rPr>
                      </m:ctrlPr>
                    </m:radPr>
                    <m:deg>
                      <m:ctrlPr>
                        <w:rPr>
                          <w:rFonts w:ascii="Cambria Math" w:hAnsi="Cambria Math"/>
                          <w:i/>
                          <w:iCs/>
                        </w:rPr>
                      </m:ctrlPr>
                    </m:deg>
                    <m:e>
                      <m:sSub>
                        <m:sSubPr>
                          <m:ctrlPr>
                            <w:rPr>
                              <w:rFonts w:ascii="Cambria Math" w:hAnsi="Cambria Math"/>
                              <w:i/>
                              <w:iCs/>
                            </w:rPr>
                          </m:ctrlPr>
                        </m:sSubPr>
                        <m:e>
                          <m:r>
                            <m:rPr/>
                            <w:rPr>
                              <w:rFonts w:ascii="Cambria Math" w:hAnsi="Cambria Math"/>
                            </w:rPr>
                            <m:t>d</m:t>
                          </m:r>
                          <m:ctrlPr>
                            <w:rPr>
                              <w:rFonts w:ascii="Cambria Math" w:hAnsi="Cambria Math"/>
                              <w:i/>
                              <w:iCs/>
                            </w:rPr>
                          </m:ctrlPr>
                        </m:e>
                        <m:sub>
                          <m:r>
                            <m:rPr/>
                            <w:rPr>
                              <w:rFonts w:ascii="Cambria Math" w:hAnsi="Cambria Math"/>
                            </w:rPr>
                            <m:t>k</m:t>
                          </m:r>
                          <m:ctrlPr>
                            <w:rPr>
                              <w:rFonts w:ascii="Cambria Math" w:hAnsi="Cambria Math"/>
                              <w:i/>
                              <w:iCs/>
                            </w:rPr>
                          </m:ctrlPr>
                        </m:sub>
                      </m:sSub>
                      <m:ctrlPr>
                        <w:rPr>
                          <w:rFonts w:ascii="Cambria Math" w:hAnsi="Cambria Math"/>
                          <w:i/>
                          <w:iCs/>
                        </w:rPr>
                      </m:ctrlPr>
                    </m:e>
                  </m:rad>
                  <m:ctrlPr>
                    <w:rPr>
                      <w:rFonts w:ascii="Cambria Math" w:hAnsi="Cambria Math"/>
                      <w:i/>
                      <w:iCs/>
                    </w:rPr>
                  </m:ctrlPr>
                </m:den>
              </m:f>
              <m:r>
                <m:rPr/>
                <w:rPr>
                  <w:rFonts w:ascii="Cambria Math" w:hAnsi="Cambria Math"/>
                </w:rPr>
                <m:t>)V#</m:t>
              </m:r>
              <m:d>
                <m:dPr>
                  <m:ctrlPr>
                    <w:rPr>
                      <w:rFonts w:ascii="Cambria Math" w:hAnsi="Cambria Math"/>
                      <w:i/>
                      <w:iCs/>
                    </w:rPr>
                  </m:ctrlPr>
                </m:dPr>
                <m:e>
                  <m:r>
                    <m:rPr/>
                    <w:rPr>
                      <w:rFonts w:ascii="Cambria Math" w:hAnsi="Cambria Math"/>
                    </w:rPr>
                    <m:t>2−1</m:t>
                  </m:r>
                  <m:ctrlPr>
                    <w:rPr>
                      <w:rFonts w:ascii="Cambria Math" w:hAnsi="Cambria Math"/>
                      <w:i/>
                      <w:iCs/>
                    </w:rPr>
                  </m:ctrlPr>
                </m:e>
              </m:d>
              <m:ctrlPr>
                <w:rPr>
                  <w:rFonts w:ascii="Cambria Math" w:hAnsi="Cambria Math"/>
                  <w:i/>
                  <w:iCs/>
                </w:rPr>
              </m:ctrlPr>
            </m:e>
          </m:eqArr>
        </m:oMath>
      </m:oMathPara>
    </w:p>
    <w:p w14:paraId="00B31D1B">
      <w:pPr>
        <w:ind w:firstLine="480"/>
        <w:rPr>
          <w:iCs/>
        </w:rPr>
      </w:pPr>
      <w:r>
        <w:rPr>
          <w:rFonts w:hint="eastAsia"/>
          <w:iCs/>
        </w:rPr>
        <w:t>这一注意力机制允许模型在</w:t>
      </w:r>
      <m:oMath>
        <m:r>
          <m:rPr/>
          <w:rPr>
            <w:rFonts w:hint="eastAsia" w:ascii="Cambria Math" w:hAnsi="Cambria Math"/>
          </w:rPr>
          <m:t>O</m:t>
        </m:r>
        <m:r>
          <m:rPr/>
          <w:rPr>
            <w:rFonts w:ascii="Cambria Math" w:hAnsi="Cambria Math"/>
          </w:rPr>
          <m:t>(</m:t>
        </m:r>
        <m:sSup>
          <m:sSupPr>
            <m:ctrlPr>
              <w:rPr>
                <w:rFonts w:ascii="Cambria Math" w:hAnsi="Cambria Math"/>
                <w:i/>
                <w:iCs/>
              </w:rPr>
            </m:ctrlPr>
          </m:sSupPr>
          <m:e>
            <m:r>
              <m:rPr/>
              <w:rPr>
                <w:rFonts w:ascii="Cambria Math" w:hAnsi="Cambria Math"/>
              </w:rPr>
              <m:t>L</m:t>
            </m:r>
            <m:ctrlPr>
              <w:rPr>
                <w:rFonts w:ascii="Cambria Math" w:hAnsi="Cambria Math"/>
                <w:i/>
                <w:iCs/>
              </w:rPr>
            </m:ctrlPr>
          </m:e>
          <m:sup>
            <m:r>
              <m:rPr/>
              <w:rPr>
                <w:rFonts w:ascii="Cambria Math" w:hAnsi="Cambria Math"/>
              </w:rPr>
              <m:t>2</m:t>
            </m:r>
            <m:ctrlPr>
              <w:rPr>
                <w:rFonts w:ascii="Cambria Math" w:hAnsi="Cambria Math"/>
                <w:i/>
                <w:iCs/>
              </w:rPr>
            </m:ctrlPr>
          </m:sup>
        </m:sSup>
        <m:r>
          <m:rPr/>
          <w:rPr>
            <w:rFonts w:ascii="Cambria Math" w:hAnsi="Cambria Math"/>
          </w:rPr>
          <m:t>)</m:t>
        </m:r>
      </m:oMath>
      <w:r>
        <w:rPr>
          <w:rFonts w:hint="eastAsia"/>
          <w:iCs/>
        </w:rPr>
        <w:t>时间复杂度内捕获长程依赖关系，其中</w:t>
      </w:r>
      <m:oMath>
        <m:r>
          <m:rPr/>
          <w:rPr>
            <w:rFonts w:hint="eastAsia" w:ascii="Cambria Math" w:hAnsi="Cambria Math"/>
          </w:rPr>
          <m:t>L</m:t>
        </m:r>
      </m:oMath>
      <w:r>
        <w:rPr>
          <w:rFonts w:hint="eastAsia"/>
          <w:iCs/>
        </w:rPr>
        <w:t>表示序列长度。模型总参数量与隐藏维度</w:t>
      </w:r>
      <m:oMath>
        <m:r>
          <m:rPr/>
          <w:rPr>
            <w:rFonts w:ascii="Cambria Math" w:hAnsi="Cambria Math"/>
          </w:rPr>
          <m:t>d</m:t>
        </m:r>
      </m:oMath>
      <w:r>
        <w:rPr>
          <w:rFonts w:hint="eastAsia"/>
          <w:iCs/>
        </w:rPr>
        <w:t>、层数</w:t>
      </w:r>
      <m:oMath>
        <m:r>
          <m:rPr/>
          <w:rPr>
            <w:rFonts w:ascii="Cambria Math" w:hAnsi="Cambria Math"/>
          </w:rPr>
          <m:t>L</m:t>
        </m:r>
      </m:oMath>
      <w:r>
        <w:rPr>
          <w:rFonts w:hint="eastAsia"/>
          <w:iCs/>
        </w:rPr>
        <w:t>呈近似平方关系</w:t>
      </w:r>
      <m:oMath>
        <m:r>
          <m:rPr/>
          <w:rPr>
            <w:rFonts w:ascii="Cambria Math" w:hAnsi="Cambria Math"/>
          </w:rPr>
          <m:t>P≈12L</m:t>
        </m:r>
        <m:sSup>
          <m:sSupPr>
            <m:ctrlPr>
              <w:rPr>
                <w:rFonts w:ascii="Cambria Math" w:hAnsi="Cambria Math"/>
                <w:i/>
                <w:iCs/>
              </w:rPr>
            </m:ctrlPr>
          </m:sSupPr>
          <m:e>
            <m:r>
              <m:rPr/>
              <w:rPr>
                <w:rFonts w:ascii="Cambria Math" w:hAnsi="Cambria Math"/>
              </w:rPr>
              <m:t>d</m:t>
            </m:r>
            <m:ctrlPr>
              <w:rPr>
                <w:rFonts w:ascii="Cambria Math" w:hAnsi="Cambria Math"/>
                <w:i/>
                <w:iCs/>
              </w:rPr>
            </m:ctrlPr>
          </m:e>
          <m:sup>
            <m:r>
              <m:rPr/>
              <w:rPr>
                <w:rFonts w:ascii="Cambria Math" w:hAnsi="Cambria Math"/>
              </w:rPr>
              <m:t>2</m:t>
            </m:r>
            <m:ctrlPr>
              <w:rPr>
                <w:rFonts w:ascii="Cambria Math" w:hAnsi="Cambria Math"/>
                <w:i/>
                <w:iCs/>
              </w:rPr>
            </m:ctrlPr>
          </m:sup>
        </m:sSup>
      </m:oMath>
      <w:r>
        <w:rPr>
          <w:rFonts w:hint="eastAsia"/>
          <w:iCs/>
        </w:rPr>
        <w:t>（以GPT系列为例），规模扩张遵循经验幂律：</w:t>
      </w:r>
    </w:p>
    <w:p w14:paraId="04889076">
      <w:pPr>
        <w:ind w:firstLine="480"/>
        <w:rPr>
          <w:iCs/>
        </w:rPr>
      </w:pPr>
      <m:oMathPara>
        <m:oMath>
          <m:eqArr>
            <m:eqArrPr>
              <m:maxDist m:val="1"/>
              <m:ctrlPr>
                <w:rPr>
                  <w:rFonts w:ascii="Cambria Math" w:hAnsi="Cambria Math"/>
                  <w:i/>
                </w:rPr>
              </m:ctrlPr>
            </m:eqArrPr>
            <m:e>
              <m:sSub>
                <m:sSubPr>
                  <m:ctrlPr>
                    <w:rPr>
                      <w:rFonts w:ascii="Cambria Math" w:hAnsi="Cambria Math"/>
                      <w:i/>
                      <w:iCs/>
                    </w:rPr>
                  </m:ctrlPr>
                </m:sSubPr>
                <m:e>
                  <m:r>
                    <m:rPr>
                      <m:scr m:val="script"/>
                    </m:rPr>
                    <w:rPr>
                      <w:rFonts w:ascii="Cambria Math" w:hAnsi="Cambria Math"/>
                    </w:rPr>
                    <m:t>ℒ</m:t>
                  </m:r>
                  <m:ctrlPr>
                    <w:rPr>
                      <w:rFonts w:ascii="Cambria Math" w:hAnsi="Cambria Math"/>
                      <w:i/>
                      <w:iCs/>
                    </w:rPr>
                  </m:ctrlPr>
                </m:e>
                <m:sub>
                  <m:r>
                    <m:rPr/>
                    <w:rPr>
                      <w:rFonts w:ascii="Cambria Math" w:hAnsi="Cambria Math"/>
                    </w:rPr>
                    <m:t>CE</m:t>
                  </m:r>
                  <m:ctrlPr>
                    <w:rPr>
                      <w:rFonts w:ascii="Cambria Math" w:hAnsi="Cambria Math"/>
                      <w:i/>
                      <w:iCs/>
                    </w:rPr>
                  </m:ctrlPr>
                </m:sub>
              </m:sSub>
              <m:r>
                <m:rPr/>
                <w:rPr>
                  <w:rFonts w:ascii="Cambria Math" w:hAnsi="Cambria Math"/>
                </w:rPr>
                <m:t>∝</m:t>
              </m:r>
              <m:sSup>
                <m:sSupPr>
                  <m:ctrlPr>
                    <w:rPr>
                      <w:rFonts w:ascii="Cambria Math" w:hAnsi="Cambria Math"/>
                      <w:i/>
                      <w:iCs/>
                    </w:rPr>
                  </m:ctrlPr>
                </m:sSupPr>
                <m:e>
                  <m:r>
                    <m:rPr/>
                    <w:rPr>
                      <w:rFonts w:ascii="Cambria Math" w:hAnsi="Cambria Math"/>
                    </w:rPr>
                    <m:t>N</m:t>
                  </m:r>
                  <m:ctrlPr>
                    <w:rPr>
                      <w:rFonts w:ascii="Cambria Math" w:hAnsi="Cambria Math"/>
                      <w:i/>
                      <w:iCs/>
                    </w:rPr>
                  </m:ctrlPr>
                </m:e>
                <m:sup>
                  <m:r>
                    <m:rPr/>
                    <w:rPr>
                      <w:rFonts w:ascii="Cambria Math" w:hAnsi="Cambria Math"/>
                    </w:rPr>
                    <m:t>−α</m:t>
                  </m:r>
                  <m:ctrlPr>
                    <w:rPr>
                      <w:rFonts w:ascii="Cambria Math" w:hAnsi="Cambria Math"/>
                      <w:i/>
                      <w:iCs/>
                    </w:rPr>
                  </m:ctrlPr>
                </m:sup>
              </m:sSup>
              <m:r>
                <m:rPr/>
                <w:rPr>
                  <w:rFonts w:ascii="Cambria Math" w:hAnsi="Cambria Math"/>
                </w:rPr>
                <m:t>,    N=</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m:rPr/>
                        <w:rPr>
                          <w:rFonts w:ascii="Cambria Math" w:hAnsi="Cambria Math"/>
                        </w:rPr>
                        <m:t>P,D,C</m:t>
                      </m:r>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2−2</m:t>
                  </m:r>
                  <m:ctrlPr>
                    <w:rPr>
                      <w:rFonts w:ascii="Cambria Math" w:hAnsi="Cambria Math"/>
                      <w:i/>
                    </w:rPr>
                  </m:ctrlPr>
                </m:e>
              </m:d>
              <m:ctrlPr>
                <w:rPr>
                  <w:rFonts w:ascii="Cambria Math" w:hAnsi="Cambria Math"/>
                  <w:i/>
                  <w:iCs/>
                </w:rPr>
              </m:ctrlPr>
            </m:e>
          </m:eqArr>
        </m:oMath>
      </m:oMathPara>
    </w:p>
    <w:p w14:paraId="07D4F34E">
      <w:pPr>
        <w:ind w:firstLine="480"/>
        <w:rPr>
          <w:iCs/>
        </w:rPr>
      </w:pPr>
      <w:r>
        <w:rPr>
          <w:rFonts w:hint="eastAsia"/>
          <w:iCs/>
        </w:rPr>
        <w:t>其中</w:t>
      </w:r>
      <m:oMath>
        <m:sSub>
          <m:sSubPr>
            <m:ctrlPr>
              <w:rPr>
                <w:rFonts w:ascii="Cambria Math" w:hAnsi="Cambria Math"/>
                <w:i/>
                <w:iCs/>
              </w:rPr>
            </m:ctrlPr>
          </m:sSubPr>
          <m:e>
            <m:r>
              <m:rPr>
                <m:scr m:val="script"/>
              </m:rPr>
              <w:rPr>
                <w:rFonts w:ascii="Cambria Math" w:hAnsi="Cambria Math"/>
              </w:rPr>
              <m:t>ℒ</m:t>
            </m:r>
            <m:ctrlPr>
              <w:rPr>
                <w:rFonts w:ascii="Cambria Math" w:hAnsi="Cambria Math"/>
                <w:i/>
                <w:iCs/>
              </w:rPr>
            </m:ctrlPr>
          </m:e>
          <m:sub>
            <m:r>
              <m:rPr/>
              <w:rPr>
                <w:rFonts w:ascii="Cambria Math" w:hAnsi="Cambria Math"/>
              </w:rPr>
              <m:t>CE</m:t>
            </m:r>
            <m:ctrlPr>
              <w:rPr>
                <w:rFonts w:ascii="Cambria Math" w:hAnsi="Cambria Math"/>
                <w:i/>
                <w:iCs/>
              </w:rPr>
            </m:ctrlPr>
          </m:sub>
        </m:sSub>
      </m:oMath>
      <w:r>
        <w:rPr>
          <w:rFonts w:hint="eastAsia"/>
          <w:iCs/>
        </w:rPr>
        <w:t>为交叉熵损失，</w:t>
      </w:r>
      <m:oMath>
        <m:r>
          <m:rPr/>
          <w:rPr>
            <w:rFonts w:hint="eastAsia" w:ascii="Cambria Math" w:hAnsi="Cambria Math"/>
          </w:rPr>
          <m:t>D</m:t>
        </m:r>
      </m:oMath>
      <w:r>
        <w:rPr>
          <w:rFonts w:hint="eastAsia"/>
          <w:iCs/>
        </w:rPr>
        <w:t>为语料规模，</w:t>
      </w:r>
      <m:oMath>
        <m:r>
          <m:rPr/>
          <w:rPr>
            <w:rFonts w:ascii="Cambria Math" w:hAnsi="Cambria Math"/>
          </w:rPr>
          <m:t>C</m:t>
        </m:r>
      </m:oMath>
      <w:r>
        <w:rPr>
          <w:rFonts w:hint="eastAsia"/>
          <w:iCs/>
        </w:rPr>
        <w:t>为训练算力，</w:t>
      </w:r>
      <m:oMath>
        <m:r>
          <m:rPr/>
          <w:rPr>
            <w:rFonts w:ascii="Cambria Math" w:hAnsi="Cambria Math"/>
          </w:rPr>
          <m:t>α≈0.095</m:t>
        </m:r>
      </m:oMath>
      <w:r>
        <w:rPr>
          <w:rFonts w:hint="eastAsia"/>
          <w:iCs/>
        </w:rPr>
        <w:t>。</w:t>
      </w:r>
    </w:p>
    <w:p w14:paraId="76ECF245">
      <w:pPr>
        <w:ind w:firstLine="480"/>
      </w:pPr>
      <w:r>
        <w:rPr>
          <w:rFonts w:hint="eastAsia"/>
        </w:rPr>
        <w:t>为了增强表达能力，Transformer在每层会将隐藏向量按头数</w:t>
      </w:r>
      <m:oMath>
        <m:r>
          <m:rPr/>
          <w:rPr>
            <w:rFonts w:ascii="Cambria Math" w:hAnsi="Cambria Math"/>
          </w:rPr>
          <m:t>ℎ</m:t>
        </m:r>
      </m:oMath>
      <w:r>
        <w:rPr>
          <w:rFonts w:hint="eastAsia"/>
        </w:rPr>
        <w:t>划分成</w:t>
      </w:r>
      <m:oMath>
        <m:r>
          <m:rPr/>
          <w:rPr>
            <w:rFonts w:ascii="Cambria Math" w:hAnsi="Cambria Math"/>
          </w:rPr>
          <m:t>ℎ</m:t>
        </m:r>
      </m:oMath>
      <w:r>
        <w:rPr>
          <w:rFonts w:hint="eastAsia"/>
        </w:rPr>
        <w:t>个子空间，每个子空间的维度为：</w:t>
      </w:r>
    </w:p>
    <w:p w14:paraId="68D06C0A">
      <w:pPr>
        <w:ind w:firstLine="480"/>
      </w:pPr>
      <m:oMathPara>
        <m:oMath>
          <m:eqArr>
            <m:eqArrPr>
              <m:maxDist m:val="1"/>
              <m:ctrlPr>
                <w:rPr>
                  <w:rFonts w:ascii="Cambria Math" w:hAnsi="Cambria Math"/>
                  <w:i/>
                </w:rPr>
              </m:ctrlPr>
            </m:eqArr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k</m:t>
                  </m:r>
                  <m:ctrlPr>
                    <w:rPr>
                      <w:rFonts w:ascii="Cambria Math" w:hAnsi="Cambria Math"/>
                      <w:i/>
                    </w:rPr>
                  </m:ctrlPr>
                </m:sub>
              </m:sSub>
              <m:r>
                <m:rPr/>
                <w:rPr>
                  <w:rFonts w:ascii="Cambria Math" w:hAnsi="Cambria Math"/>
                </w:rPr>
                <m:t>=</m:t>
              </m:r>
              <m:f>
                <m:fPr>
                  <m:ctrlPr>
                    <w:rPr>
                      <w:rFonts w:ascii="Cambria Math" w:hAnsi="Cambria Math"/>
                      <w:i/>
                    </w:rPr>
                  </m:ctrlPr>
                </m:fPr>
                <m:num>
                  <m:r>
                    <m:rPr/>
                    <w:rPr>
                      <w:rFonts w:ascii="Cambria Math" w:hAnsi="Cambria Math"/>
                    </w:rPr>
                    <m:t>d</m:t>
                  </m:r>
                  <m:ctrlPr>
                    <w:rPr>
                      <w:rFonts w:ascii="Cambria Math" w:hAnsi="Cambria Math"/>
                      <w:i/>
                    </w:rPr>
                  </m:ctrlPr>
                </m:num>
                <m:den>
                  <m:r>
                    <m:rPr/>
                    <w:rPr>
                      <w:rFonts w:ascii="Cambria Math" w:hAnsi="Cambria Math"/>
                    </w:rPr>
                    <m:t>ℎ</m:t>
                  </m:r>
                  <m:ctrlPr>
                    <w:rPr>
                      <w:rFonts w:ascii="Cambria Math" w:hAnsi="Cambria Math"/>
                      <w:i/>
                    </w:rPr>
                  </m:ctrlPr>
                </m:den>
              </m:f>
              <m:r>
                <m:rPr/>
                <w:rPr>
                  <w:rFonts w:ascii="Cambria Math" w:hAnsi="Cambria Math"/>
                </w:rPr>
                <m:t>,    k=1,…,ℎ#</m:t>
              </m:r>
              <m:d>
                <m:dPr>
                  <m:ctrlPr>
                    <w:rPr>
                      <w:rFonts w:ascii="Cambria Math" w:hAnsi="Cambria Math"/>
                      <w:i/>
                    </w:rPr>
                  </m:ctrlPr>
                </m:dPr>
                <m:e>
                  <m:r>
                    <m:rPr/>
                    <w:rPr>
                      <w:rFonts w:ascii="Cambria Math" w:hAnsi="Cambria Math"/>
                    </w:rPr>
                    <m:t>2−3</m:t>
                  </m:r>
                  <m:ctrlPr>
                    <w:rPr>
                      <w:rFonts w:ascii="Cambria Math" w:hAnsi="Cambria Math"/>
                      <w:i/>
                    </w:rPr>
                  </m:ctrlPr>
                </m:e>
              </m:d>
              <m:ctrlPr>
                <w:rPr>
                  <w:rFonts w:ascii="Cambria Math" w:hAnsi="Cambria Math"/>
                  <w:i/>
                </w:rPr>
              </m:ctrlPr>
            </m:e>
          </m:eqArr>
        </m:oMath>
      </m:oMathPara>
    </w:p>
    <w:p w14:paraId="6D2A9D93">
      <w:pPr>
        <w:ind w:firstLine="0" w:firstLineChars="0"/>
      </w:pPr>
      <w:r>
        <w:rPr>
          <w:rFonts w:hint="eastAsia"/>
        </w:rPr>
        <w:t>并计算组合自注意力后再拼接映射回原维度：</w:t>
      </w:r>
    </w:p>
    <w:p w14:paraId="2CDDCCE7">
      <w:pPr>
        <w:ind w:firstLine="480"/>
      </w:pPr>
      <m:oMathPara>
        <m:oMath>
          <m:eqArr>
            <m:eqArrPr>
              <m:maxDist m:val="1"/>
              <m:ctrlPr>
                <w:rPr>
                  <w:rFonts w:ascii="Cambria Math" w:hAnsi="Cambria Math"/>
                  <w:i/>
                </w:rPr>
              </m:ctrlPr>
            </m:eqArrPr>
            <m:e>
              <m:r>
                <m:rPr/>
                <w:rPr>
                  <w:rFonts w:ascii="Cambria Math" w:hAnsi="Cambria Math"/>
                </w:rPr>
                <m:t>MultiHead</m:t>
              </m:r>
              <m:d>
                <m:dPr>
                  <m:ctrlPr>
                    <w:rPr>
                      <w:rFonts w:ascii="Cambria Math" w:hAnsi="Cambria Math"/>
                      <w:i/>
                    </w:rPr>
                  </m:ctrlPr>
                </m:dPr>
                <m:e>
                  <m:r>
                    <m:rPr/>
                    <w:rPr>
                      <w:rFonts w:ascii="Cambria Math" w:hAnsi="Cambria Math"/>
                    </w:rPr>
                    <m:t>Q,K,V</m:t>
                  </m:r>
                  <m:ctrlPr>
                    <w:rPr>
                      <w:rFonts w:ascii="Cambria Math" w:hAnsi="Cambria Math"/>
                      <w:i/>
                    </w:rPr>
                  </m:ctrlPr>
                </m:e>
              </m:d>
              <m:r>
                <m:rPr/>
                <w:rPr>
                  <w:rFonts w:ascii="Cambria Math" w:hAnsi="Cambria Math"/>
                </w:rPr>
                <m:t>=Concat</m:t>
              </m:r>
              <m:d>
                <m:dPr>
                  <m:ctrlPr>
                    <w:rPr>
                      <w:rFonts w:ascii="Cambria Math" w:hAnsi="Cambria Math"/>
                      <w:i/>
                    </w:rPr>
                  </m:ctrlPr>
                </m:dPr>
                <m:e>
                  <m:r>
                    <m:rPr/>
                    <w:rPr>
                      <w:rFonts w:ascii="Cambria Math" w:hAnsi="Cambria Math"/>
                    </w:rPr>
                    <m:t>ℎea</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,…,ℎea</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ℎ</m:t>
                      </m:r>
                      <m:ctrlPr>
                        <w:rPr>
                          <w:rFonts w:ascii="Cambria Math" w:hAnsi="Cambria Math"/>
                          <w:i/>
                        </w:rPr>
                      </m:ctrlPr>
                    </m:sub>
                  </m:sSub>
                  <m:ctrlPr>
                    <w:rPr>
                      <w:rFonts w:ascii="Cambria Math" w:hAnsi="Cambria Math"/>
                      <w:i/>
                    </w:rPr>
                  </m:ctrlPr>
                </m:e>
              </m:d>
              <m:sSup>
                <m:sSupPr>
                  <m:ctrlPr>
                    <w:rPr>
                      <w:rFonts w:ascii="Cambria Math" w:hAnsi="Cambria Math"/>
                      <w:i/>
                    </w:rPr>
                  </m:ctrlPr>
                </m:sSupPr>
                <m:e>
                  <m:r>
                    <m:rPr/>
                    <w:rPr>
                      <w:rFonts w:ascii="Cambria Math" w:hAnsi="Cambria Math"/>
                    </w:rPr>
                    <m:t>W</m:t>
                  </m:r>
                  <m:ctrlPr>
                    <w:rPr>
                      <w:rFonts w:ascii="Cambria Math" w:hAnsi="Cambria Math"/>
                      <w:i/>
                    </w:rPr>
                  </m:ctrlPr>
                </m:e>
                <m:sup>
                  <m:r>
                    <m:rPr/>
                    <w:rPr>
                      <w:rFonts w:ascii="Cambria Math" w:hAnsi="Cambria Math"/>
                    </w:rPr>
                    <m:t>O</m:t>
                  </m:r>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2−4</m:t>
                  </m:r>
                  <m:ctrlPr>
                    <w:rPr>
                      <w:rFonts w:ascii="Cambria Math" w:hAnsi="Cambria Math"/>
                      <w:i/>
                    </w:rPr>
                  </m:ctrlPr>
                </m:e>
              </m:d>
              <m:ctrlPr>
                <w:rPr>
                  <w:rFonts w:ascii="Cambria Math" w:hAnsi="Cambria Math"/>
                  <w:i/>
                </w:rPr>
              </m:ctrlPr>
            </m:e>
          </m:eqArr>
        </m:oMath>
      </m:oMathPara>
    </w:p>
    <w:p w14:paraId="7F932037">
      <w:pPr>
        <w:ind w:firstLine="480"/>
      </w:pPr>
      <m:oMathPara>
        <m:oMath>
          <m:eqArr>
            <m:eqArrPr>
              <m:maxDist m:val="1"/>
              <m:ctrlPr>
                <w:rPr>
                  <w:rFonts w:ascii="Cambria Math" w:hAnsi="Cambria Math"/>
                  <w:i/>
                </w:rPr>
              </m:ctrlPr>
            </m:eqArrPr>
            <m:e>
              <m:r>
                <m:rPr/>
                <w:rPr>
                  <w:rFonts w:ascii="Cambria Math" w:hAnsi="Cambria Math"/>
                </w:rPr>
                <m:t>ℎea</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=Attention</m:t>
              </m:r>
              <m:d>
                <m:dPr>
                  <m:ctrlPr>
                    <w:rPr>
                      <w:rFonts w:ascii="Cambria Math" w:hAnsi="Cambria Math"/>
                      <w:i/>
                    </w:rPr>
                  </m:ctrlPr>
                </m:dPr>
                <m:e>
                  <m:r>
                    <m:rPr/>
                    <w:rPr>
                      <w:rFonts w:ascii="Cambria Math" w:hAnsi="Cambria Math"/>
                    </w:rPr>
                    <m:t>Q</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Q</m:t>
                      </m:r>
                      <m:ctrlPr>
                        <w:rPr>
                          <w:rFonts w:ascii="Cambria Math" w:hAnsi="Cambria Math"/>
                          <w:i/>
                        </w:rPr>
                      </m:ctrlPr>
                    </m:sup>
                  </m:sSubSup>
                  <m:r>
                    <m:rPr/>
                    <w:rPr>
                      <w:rFonts w:ascii="Cambria Math" w:hAnsi="Cambria Math"/>
                    </w:rPr>
                    <m:t>,K</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K</m:t>
                      </m:r>
                      <m:ctrlPr>
                        <w:rPr>
                          <w:rFonts w:ascii="Cambria Math" w:hAnsi="Cambria Math"/>
                          <w:i/>
                        </w:rPr>
                      </m:ctrlPr>
                    </m:sup>
                  </m:sSubSup>
                  <m:r>
                    <m:rPr/>
                    <w:rPr>
                      <w:rFonts w:ascii="Cambria Math" w:hAnsi="Cambria Math"/>
                    </w:rPr>
                    <m:t>,V</m:t>
                  </m:r>
                  <m:sSubSup>
                    <m:sSubSupPr>
                      <m:ctrlPr>
                        <w:rPr>
                          <w:rFonts w:ascii="Cambria Math" w:hAnsi="Cambria Math"/>
                          <w:i/>
                        </w:rPr>
                      </m:ctrlPr>
                    </m:sSubSupPr>
                    <m:e>
                      <m:r>
                        <m:rPr/>
                        <w:rPr>
                          <w:rFonts w:ascii="Cambria Math" w:hAnsi="Cambria Math"/>
                        </w:rPr>
                        <m:t>W</m:t>
                      </m:r>
                      <m:ctrlPr>
                        <w:rPr>
                          <w:rFonts w:ascii="Cambria Math" w:hAnsi="Cambria Math"/>
                          <w:i/>
                        </w:rPr>
                      </m:ctrlPr>
                    </m:e>
                    <m:sub>
                      <m:r>
                        <m:rPr/>
                        <w:rPr>
                          <w:rFonts w:ascii="Cambria Math" w:hAnsi="Cambria Math"/>
                        </w:rPr>
                        <m:t>i</m:t>
                      </m:r>
                      <m:ctrlPr>
                        <w:rPr>
                          <w:rFonts w:ascii="Cambria Math" w:hAnsi="Cambria Math"/>
                          <w:i/>
                        </w:rPr>
                      </m:ctrlPr>
                    </m:sub>
                    <m:sup>
                      <m:r>
                        <m:rPr/>
                        <w:rPr>
                          <w:rFonts w:ascii="Cambria Math" w:hAnsi="Cambria Math"/>
                        </w:rPr>
                        <m:t>V</m:t>
                      </m:r>
                      <m:ctrlPr>
                        <w:rPr>
                          <w:rFonts w:ascii="Cambria Math" w:hAnsi="Cambria Math"/>
                          <w:i/>
                        </w:rPr>
                      </m:ctrlPr>
                    </m:sup>
                  </m:sSubSup>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2−5</m:t>
                  </m:r>
                  <m:ctrlPr>
                    <w:rPr>
                      <w:rFonts w:ascii="Cambria Math" w:hAnsi="Cambria Math"/>
                      <w:i/>
                    </w:rPr>
                  </m:ctrlPr>
                </m:e>
              </m:d>
              <m:ctrlPr>
                <w:rPr>
                  <w:rFonts w:ascii="Cambria Math" w:hAnsi="Cambria Math"/>
                  <w:i/>
                </w:rPr>
              </m:ctrlPr>
            </m:e>
          </m:eqArr>
        </m:oMath>
      </m:oMathPara>
    </w:p>
    <w:p w14:paraId="15B420C2">
      <w:pPr>
        <w:ind w:firstLine="0" w:firstLineChars="0"/>
        <w:rPr>
          <w:rStyle w:val="55"/>
          <w:rFonts w:cs="Times New Roman"/>
          <w:color w:val="333333"/>
        </w:rPr>
      </w:pPr>
      <w:r>
        <w:rPr>
          <w:rFonts w:hint="eastAsia"/>
        </w:rPr>
        <w:t>其中</w:t>
      </w:r>
      <m:oMath>
        <m:sSubSup>
          <m:sSubSupPr>
            <m:ctrlPr>
              <w:rPr>
                <w:rStyle w:val="55"/>
                <w:rFonts w:ascii="Cambria Math" w:hAnsi="Cambria Math" w:cs="Open Sans"/>
                <w:i/>
                <w:color w:val="333333"/>
              </w:rPr>
            </m:ctrlPr>
          </m:sSubSupPr>
          <m:e>
            <m:r>
              <m:rPr/>
              <w:rPr>
                <w:rStyle w:val="55"/>
                <w:rFonts w:ascii="Cambria Math" w:hAnsi="Cambria Math" w:cs="Open Sans"/>
                <w:color w:val="333333"/>
              </w:rPr>
              <m:t>W</m:t>
            </m:r>
            <m:ctrlPr>
              <w:rPr>
                <w:rStyle w:val="55"/>
                <w:rFonts w:ascii="Cambria Math" w:hAnsi="Cambria Math" w:cs="Open Sans"/>
                <w:i/>
                <w:color w:val="333333"/>
              </w:rPr>
            </m:ctrlPr>
          </m:e>
          <m:sub>
            <m:r>
              <m:rPr/>
              <w:rPr>
                <w:rStyle w:val="55"/>
                <w:rFonts w:ascii="Cambria Math" w:hAnsi="Cambria Math" w:cs="Open Sans"/>
                <w:color w:val="333333"/>
              </w:rPr>
              <m:t>i</m:t>
            </m:r>
            <m:ctrlPr>
              <w:rPr>
                <w:rStyle w:val="55"/>
                <w:rFonts w:ascii="Cambria Math" w:hAnsi="Cambria Math" w:cs="Open Sans"/>
                <w:i/>
                <w:color w:val="333333"/>
              </w:rPr>
            </m:ctrlPr>
          </m:sub>
          <m:sup>
            <m:r>
              <m:rPr/>
              <w:rPr>
                <w:rStyle w:val="55"/>
                <w:rFonts w:ascii="Cambria Math" w:hAnsi="Cambria Math" w:cs="Open Sans"/>
                <w:color w:val="333333"/>
              </w:rPr>
              <m:t>Q,K,V</m:t>
            </m:r>
            <m:ctrlPr>
              <w:rPr>
                <w:rStyle w:val="55"/>
                <w:rFonts w:ascii="Cambria Math" w:hAnsi="Cambria Math" w:cs="Open Sans"/>
                <w:i/>
                <w:color w:val="333333"/>
              </w:rPr>
            </m:ctrlPr>
          </m:sup>
        </m:sSubSup>
        <m:r>
          <m:rPr/>
          <w:rPr>
            <w:rStyle w:val="55"/>
            <w:rFonts w:ascii="Cambria Math" w:hAnsi="Cambria Math" w:cs="Open Sans"/>
            <w:color w:val="333333"/>
          </w:rPr>
          <m:t>∈</m:t>
        </m:r>
        <m:sSup>
          <m:sSupPr>
            <m:ctrlPr>
              <w:rPr>
                <w:rStyle w:val="55"/>
                <w:rFonts w:ascii="Cambria Math" w:hAnsi="Cambria Math" w:cs="Open Sans"/>
                <w:i/>
                <w:color w:val="333333"/>
              </w:rPr>
            </m:ctrlPr>
          </m:sSupPr>
          <m:e>
            <m:r>
              <m:rPr>
                <m:scr m:val="double-struck"/>
              </m:rPr>
              <w:rPr>
                <w:rStyle w:val="55"/>
                <w:rFonts w:ascii="Cambria Math" w:hAnsi="Cambria Math" w:cs="Open Sans"/>
                <w:color w:val="333333"/>
              </w:rPr>
              <m:t>ℝ</m:t>
            </m:r>
            <m:ctrlPr>
              <w:rPr>
                <w:rStyle w:val="55"/>
                <w:rFonts w:ascii="Cambria Math" w:hAnsi="Cambria Math" w:cs="Open Sans"/>
                <w:i/>
                <w:color w:val="333333"/>
              </w:rPr>
            </m:ctrlPr>
          </m:e>
          <m:sup>
            <m:r>
              <m:rPr/>
              <w:rPr>
                <w:rStyle w:val="55"/>
                <w:rFonts w:ascii="Cambria Math" w:hAnsi="Cambria Math" w:cs="Open Sans"/>
                <w:color w:val="333333"/>
              </w:rPr>
              <m:t>d×</m:t>
            </m:r>
            <m:sSub>
              <m:sSubPr>
                <m:ctrlPr>
                  <w:rPr>
                    <w:rStyle w:val="55"/>
                    <w:rFonts w:ascii="Cambria Math" w:hAnsi="Cambria Math" w:cs="Open Sans"/>
                    <w:i/>
                    <w:color w:val="333333"/>
                  </w:rPr>
                </m:ctrlPr>
              </m:sSubPr>
              <m:e>
                <m:r>
                  <m:rPr/>
                  <w:rPr>
                    <w:rStyle w:val="55"/>
                    <w:rFonts w:ascii="Cambria Math" w:hAnsi="Cambria Math" w:cs="Open Sans"/>
                    <w:color w:val="333333"/>
                  </w:rPr>
                  <m:t>d</m:t>
                </m:r>
                <m:ctrlPr>
                  <w:rPr>
                    <w:rStyle w:val="55"/>
                    <w:rFonts w:ascii="Cambria Math" w:hAnsi="Cambria Math" w:cs="Open Sans"/>
                    <w:i/>
                    <w:color w:val="333333"/>
                  </w:rPr>
                </m:ctrlPr>
              </m:e>
              <m:sub>
                <m:r>
                  <m:rPr/>
                  <w:rPr>
                    <w:rStyle w:val="55"/>
                    <w:rFonts w:ascii="Cambria Math" w:hAnsi="Cambria Math" w:cs="Open Sans"/>
                    <w:color w:val="333333"/>
                  </w:rPr>
                  <m:t>k</m:t>
                </m:r>
                <m:ctrlPr>
                  <w:rPr>
                    <w:rStyle w:val="55"/>
                    <w:rFonts w:ascii="Cambria Math" w:hAnsi="Cambria Math" w:cs="Open Sans"/>
                    <w:i/>
                    <w:color w:val="333333"/>
                  </w:rPr>
                </m:ctrlPr>
              </m:sub>
            </m:sSub>
            <m:ctrlPr>
              <w:rPr>
                <w:rStyle w:val="55"/>
                <w:rFonts w:ascii="Cambria Math" w:hAnsi="Cambria Math" w:cs="Open Sans"/>
                <w:i/>
                <w:color w:val="333333"/>
              </w:rPr>
            </m:ctrlPr>
          </m:sup>
        </m:sSup>
      </m:oMath>
      <w:r>
        <w:rPr>
          <w:rStyle w:val="55"/>
          <w:rFonts w:hint="eastAsia" w:ascii="Open Sans" w:hAnsi="Open Sans" w:cs="Open Sans"/>
          <w:color w:val="333333"/>
        </w:rPr>
        <w:t>，</w:t>
      </w:r>
      <m:oMath>
        <m:sSup>
          <m:sSupPr>
            <m:ctrlPr>
              <w:rPr>
                <w:rStyle w:val="55"/>
                <w:rFonts w:ascii="Cambria Math" w:hAnsi="Cambria Math" w:cs="Open Sans"/>
                <w:i/>
                <w:color w:val="333333"/>
              </w:rPr>
            </m:ctrlPr>
          </m:sSupPr>
          <m:e>
            <m:r>
              <m:rPr/>
              <w:rPr>
                <w:rStyle w:val="55"/>
                <w:rFonts w:ascii="Cambria Math" w:hAnsi="Cambria Math" w:cs="Open Sans"/>
                <w:color w:val="333333"/>
              </w:rPr>
              <m:t>W</m:t>
            </m:r>
            <m:ctrlPr>
              <w:rPr>
                <w:rStyle w:val="55"/>
                <w:rFonts w:ascii="Cambria Math" w:hAnsi="Cambria Math" w:cs="Open Sans"/>
                <w:i/>
                <w:color w:val="333333"/>
              </w:rPr>
            </m:ctrlPr>
          </m:e>
          <m:sup>
            <m:r>
              <m:rPr/>
              <w:rPr>
                <w:rStyle w:val="55"/>
                <w:rFonts w:ascii="Cambria Math" w:hAnsi="Cambria Math" w:cs="Open Sans"/>
                <w:color w:val="333333"/>
              </w:rPr>
              <m:t>O</m:t>
            </m:r>
            <m:ctrlPr>
              <w:rPr>
                <w:rStyle w:val="55"/>
                <w:rFonts w:ascii="Cambria Math" w:hAnsi="Cambria Math" w:cs="Open Sans"/>
                <w:i/>
                <w:color w:val="333333"/>
              </w:rPr>
            </m:ctrlPr>
          </m:sup>
        </m:sSup>
        <m:r>
          <m:rPr/>
          <w:rPr>
            <w:rStyle w:val="55"/>
            <w:rFonts w:ascii="Cambria Math" w:hAnsi="Cambria Math" w:cs="Open Sans"/>
            <w:color w:val="333333"/>
          </w:rPr>
          <m:t>∈</m:t>
        </m:r>
        <m:sSup>
          <m:sSupPr>
            <m:ctrlPr>
              <w:rPr>
                <w:rStyle w:val="55"/>
                <w:rFonts w:ascii="Cambria Math" w:hAnsi="Cambria Math" w:cs="Open Sans"/>
                <w:i/>
                <w:color w:val="333333"/>
              </w:rPr>
            </m:ctrlPr>
          </m:sSupPr>
          <m:e>
            <m:r>
              <m:rPr>
                <m:scr m:val="double-struck"/>
              </m:rPr>
              <w:rPr>
                <w:rStyle w:val="55"/>
                <w:rFonts w:ascii="Cambria Math" w:hAnsi="Cambria Math" w:cs="Open Sans"/>
                <w:color w:val="333333"/>
              </w:rPr>
              <m:t>ℝ</m:t>
            </m:r>
            <m:ctrlPr>
              <w:rPr>
                <w:rStyle w:val="55"/>
                <w:rFonts w:ascii="Cambria Math" w:hAnsi="Cambria Math" w:cs="Open Sans"/>
                <w:i/>
                <w:color w:val="333333"/>
              </w:rPr>
            </m:ctrlPr>
          </m:e>
          <m:sup>
            <m:r>
              <m:rPr/>
              <w:rPr>
                <w:rStyle w:val="55"/>
                <w:rFonts w:ascii="Cambria Math" w:hAnsi="Cambria Math" w:cs="Open Sans"/>
                <w:color w:val="333333"/>
              </w:rPr>
              <m:t>ℎ</m:t>
            </m:r>
            <m:sSub>
              <m:sSubPr>
                <m:ctrlPr>
                  <w:rPr>
                    <w:rStyle w:val="55"/>
                    <w:rFonts w:ascii="Cambria Math" w:hAnsi="Cambria Math" w:cs="Open Sans"/>
                    <w:i/>
                    <w:color w:val="333333"/>
                  </w:rPr>
                </m:ctrlPr>
              </m:sSubPr>
              <m:e>
                <m:r>
                  <m:rPr/>
                  <w:rPr>
                    <w:rStyle w:val="55"/>
                    <w:rFonts w:ascii="Cambria Math" w:hAnsi="Cambria Math" w:cs="Open Sans"/>
                    <w:color w:val="333333"/>
                  </w:rPr>
                  <m:t>d</m:t>
                </m:r>
                <m:ctrlPr>
                  <w:rPr>
                    <w:rStyle w:val="55"/>
                    <w:rFonts w:ascii="Cambria Math" w:hAnsi="Cambria Math" w:cs="Open Sans"/>
                    <w:i/>
                    <w:color w:val="333333"/>
                  </w:rPr>
                </m:ctrlPr>
              </m:e>
              <m:sub>
                <m:r>
                  <m:rPr/>
                  <w:rPr>
                    <w:rStyle w:val="55"/>
                    <w:rFonts w:ascii="Cambria Math" w:hAnsi="Cambria Math" w:cs="Open Sans"/>
                    <w:color w:val="333333"/>
                  </w:rPr>
                  <m:t>k</m:t>
                </m:r>
                <m:ctrlPr>
                  <w:rPr>
                    <w:rStyle w:val="55"/>
                    <w:rFonts w:ascii="Cambria Math" w:hAnsi="Cambria Math" w:cs="Open Sans"/>
                    <w:i/>
                    <w:color w:val="333333"/>
                  </w:rPr>
                </m:ctrlPr>
              </m:sub>
            </m:sSub>
            <m:r>
              <m:rPr/>
              <w:rPr>
                <w:rStyle w:val="55"/>
                <w:rFonts w:ascii="Cambria Math" w:hAnsi="Cambria Math" w:cs="Open Sans"/>
                <w:color w:val="333333"/>
              </w:rPr>
              <m:t>×d</m:t>
            </m:r>
            <m:ctrlPr>
              <w:rPr>
                <w:rStyle w:val="55"/>
                <w:rFonts w:ascii="Cambria Math" w:hAnsi="Cambria Math" w:cs="Open Sans"/>
                <w:i/>
                <w:color w:val="333333"/>
              </w:rPr>
            </m:ctrlPr>
          </m:sup>
        </m:sSup>
      </m:oMath>
      <w:r>
        <w:rPr>
          <w:rStyle w:val="55"/>
          <w:rFonts w:hint="eastAsia" w:ascii="Open Sans" w:hAnsi="Open Sans" w:cs="Open Sans"/>
          <w:color w:val="333333"/>
        </w:rPr>
        <w:t>，为可训练的参数矩阵。多头注意力机制允许模型在不同子空间捕获句法、语义、长程依赖等互补信息，并通过残差连接与</w:t>
      </w:r>
      <w:r>
        <w:rPr>
          <w:rStyle w:val="55"/>
          <w:rFonts w:cs="Times New Roman"/>
          <w:color w:val="333333"/>
        </w:rPr>
        <w:t>LayerNorm</w:t>
      </w:r>
      <w:r>
        <w:rPr>
          <w:rStyle w:val="55"/>
          <w:rFonts w:cs="Times New Roman"/>
          <w:color w:val="333333"/>
          <w:vertAlign w:val="superscript"/>
        </w:rPr>
        <w:fldChar w:fldCharType="begin"/>
      </w:r>
      <w:r>
        <w:rPr>
          <w:rStyle w:val="55"/>
          <w:rFonts w:cs="Times New Roman"/>
          <w:color w:val="333333"/>
          <w:vertAlign w:val="superscript"/>
        </w:rPr>
        <w:instrText xml:space="preserve"> REF _Ref196927293 \r \h  \* MERGEFORMAT </w:instrText>
      </w:r>
      <w:r>
        <w:rPr>
          <w:rStyle w:val="55"/>
          <w:rFonts w:cs="Times New Roman"/>
          <w:color w:val="333333"/>
          <w:vertAlign w:val="superscript"/>
        </w:rPr>
        <w:fldChar w:fldCharType="separate"/>
      </w:r>
      <w:r>
        <w:rPr>
          <w:rStyle w:val="55"/>
          <w:rFonts w:cs="Times New Roman"/>
          <w:color w:val="333333"/>
          <w:vertAlign w:val="superscript"/>
        </w:rPr>
        <w:t>[39]</w:t>
      </w:r>
      <w:r>
        <w:rPr>
          <w:rStyle w:val="55"/>
          <w:rFonts w:cs="Times New Roman"/>
          <w:color w:val="333333"/>
          <w:vertAlign w:val="superscript"/>
        </w:rPr>
        <w:fldChar w:fldCharType="end"/>
      </w:r>
      <w:r>
        <w:rPr>
          <w:rStyle w:val="55"/>
          <w:rFonts w:hint="eastAsia" w:cs="Times New Roman"/>
          <w:color w:val="333333"/>
        </w:rPr>
        <w:t>保持梯度稳定。</w:t>
      </w:r>
    </w:p>
    <w:p w14:paraId="62590B6A">
      <w:pPr>
        <w:ind w:firstLine="480"/>
        <w:rPr>
          <w:rStyle w:val="55"/>
          <w:rFonts w:cs="Times New Roman"/>
          <w:color w:val="333333"/>
        </w:rPr>
      </w:pPr>
      <w:r>
        <w:rPr>
          <w:rStyle w:val="55"/>
          <w:rFonts w:hint="eastAsia" w:cs="Times New Roman"/>
          <w:color w:val="333333"/>
        </w:rPr>
        <w:t>而且，自注意力本身与序列的顺序无关，为注入位置信息，主流的大模型使用绝对位置</w:t>
      </w:r>
      <w:r>
        <w:rPr>
          <w:rStyle w:val="55"/>
          <w:rFonts w:cs="Times New Roman"/>
          <w:color w:val="333333"/>
        </w:rPr>
        <w:t>(Positional Encoding)</w:t>
      </w:r>
      <w:r>
        <w:rPr>
          <w:rStyle w:val="55"/>
          <w:rFonts w:hint="eastAsia" w:cs="Times New Roman"/>
          <w:color w:val="333333"/>
        </w:rPr>
        <w:t>或旋转相对位置</w:t>
      </w:r>
      <w:r>
        <w:rPr>
          <w:rStyle w:val="55"/>
          <w:rFonts w:cs="Times New Roman"/>
          <w:color w:val="333333"/>
        </w:rPr>
        <w:t>(RoPE</w:t>
      </w:r>
      <w:r>
        <w:rPr>
          <w:rStyle w:val="55"/>
          <w:rFonts w:cs="Times New Roman"/>
          <w:color w:val="333333"/>
          <w:vertAlign w:val="superscript"/>
        </w:rPr>
        <w:fldChar w:fldCharType="begin"/>
      </w:r>
      <w:r>
        <w:rPr>
          <w:rStyle w:val="55"/>
          <w:rFonts w:cs="Times New Roman"/>
          <w:color w:val="333333"/>
          <w:vertAlign w:val="superscript"/>
        </w:rPr>
        <w:instrText xml:space="preserve"> REF _Ref196927302 \r \h  \* MERGEFORMAT </w:instrText>
      </w:r>
      <w:r>
        <w:rPr>
          <w:rStyle w:val="55"/>
          <w:rFonts w:cs="Times New Roman"/>
          <w:color w:val="333333"/>
          <w:vertAlign w:val="superscript"/>
        </w:rPr>
        <w:fldChar w:fldCharType="separate"/>
      </w:r>
      <w:r>
        <w:rPr>
          <w:rStyle w:val="55"/>
          <w:rFonts w:cs="Times New Roman"/>
          <w:color w:val="333333"/>
          <w:vertAlign w:val="superscript"/>
        </w:rPr>
        <w:t>[40]</w:t>
      </w:r>
      <w:r>
        <w:rPr>
          <w:rStyle w:val="55"/>
          <w:rFonts w:cs="Times New Roman"/>
          <w:color w:val="333333"/>
          <w:vertAlign w:val="superscript"/>
        </w:rPr>
        <w:fldChar w:fldCharType="end"/>
      </w:r>
      <w:r>
        <w:rPr>
          <w:rStyle w:val="55"/>
          <w:rFonts w:cs="Times New Roman"/>
          <w:color w:val="333333"/>
        </w:rPr>
        <w:t>)</w:t>
      </w:r>
      <w:r>
        <w:rPr>
          <w:rStyle w:val="55"/>
          <w:rFonts w:hint="eastAsia" w:cs="Times New Roman"/>
          <w:color w:val="333333"/>
        </w:rPr>
        <w:t>为每个token注入位置信息，公式可写为：</w:t>
      </w:r>
    </w:p>
    <w:p w14:paraId="37AFDFE7">
      <w:pPr>
        <w:ind w:firstLine="480"/>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acc>
                    <m:accPr>
                      <m:chr m:val="̃"/>
                      <m:ctrlPr>
                        <w:rPr>
                          <w:rFonts w:ascii="Cambria Math" w:hAnsi="Cambria Math" w:cs="Times New Roman"/>
                          <w:i/>
                        </w:rPr>
                      </m:ctrlPr>
                    </m:accPr>
                    <m:e>
                      <m:r>
                        <m:rP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r>
                <m:rPr/>
                <w:rPr>
                  <w:rFonts w:ascii="Cambria Math" w:hAnsi="Cambria Math" w:cs="Times New Roman"/>
                </w:rPr>
                <m:t>+PE</m:t>
              </m:r>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r>
                <m:rPr/>
                <w:rPr>
                  <w:rFonts w:ascii="Cambria Math" w:hAnsi="Cambria Math" w:cs="Times New Roman"/>
                </w:rPr>
                <m:t>#</m:t>
              </m:r>
              <m:d>
                <m:dPr>
                  <m:ctrlPr>
                    <w:rPr>
                      <w:rFonts w:ascii="Cambria Math" w:hAnsi="Cambria Math" w:cs="Times New Roman"/>
                      <w:i/>
                    </w:rPr>
                  </m:ctrlPr>
                </m:dPr>
                <m:e>
                  <m:r>
                    <m:rPr/>
                    <w:rPr>
                      <w:rFonts w:ascii="Cambria Math" w:hAnsi="Cambria Math" w:cs="Times New Roman"/>
                    </w:rPr>
                    <m:t>2−6</m:t>
                  </m:r>
                  <m:ctrlPr>
                    <w:rPr>
                      <w:rFonts w:ascii="Cambria Math" w:hAnsi="Cambria Math" w:cs="Times New Roman"/>
                      <w:i/>
                    </w:rPr>
                  </m:ctrlPr>
                </m:e>
              </m:d>
              <m:ctrlPr>
                <w:rPr>
                  <w:rFonts w:ascii="Cambria Math" w:hAnsi="Cambria Math" w:cs="Times New Roman"/>
                  <w:i/>
                </w:rPr>
              </m:ctrlPr>
            </m:e>
          </m:eqArr>
        </m:oMath>
      </m:oMathPara>
    </w:p>
    <w:p w14:paraId="21F1946D">
      <w:pPr>
        <w:ind w:firstLine="0" w:firstLineChars="0"/>
        <w:rPr>
          <w:rFonts w:ascii="宋体" w:hAnsi="宋体" w:cs="Times New Roman"/>
        </w:rPr>
      </w:pPr>
      <w:r>
        <w:rPr>
          <w:rFonts w:hint="eastAsia" w:ascii="宋体" w:hAnsi="宋体" w:cs="Times New Roman"/>
        </w:rPr>
        <w:t>或</w:t>
      </w:r>
    </w:p>
    <w:p w14:paraId="5BBD24A0">
      <w:pPr>
        <w:ind w:firstLine="480"/>
        <w:rPr>
          <w:rFonts w:ascii="宋体" w:hAnsi="宋体"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m:rPr/>
                    <w:rPr>
                      <w:rFonts w:ascii="Cambria Math" w:hAnsi="Cambria Math" w:cs="Times New Roman"/>
                    </w:rPr>
                    <m:t>Q</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K</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R</m:t>
                  </m:r>
                  <m:ctrlPr>
                    <w:rPr>
                      <w:rFonts w:ascii="Cambria Math" w:hAnsi="Cambria Math" w:cs="Times New Roman"/>
                      <w:i/>
                    </w:rPr>
                  </m:ctrlPr>
                </m:e>
                <m:sub>
                  <m:r>
                    <m:rPr/>
                    <w:rPr>
                      <w:rFonts w:ascii="Cambria Math" w:hAnsi="Cambria Math" w:cs="Times New Roman"/>
                    </w:rPr>
                    <m:t>θ</m:t>
                  </m:r>
                  <m:ctrlPr>
                    <w:rPr>
                      <w:rFonts w:ascii="Cambria Math" w:hAnsi="Cambria Math" w:cs="Times New Roman"/>
                      <w:i/>
                    </w:rPr>
                  </m:ctrlPr>
                </m:sub>
              </m:sSub>
              <m:d>
                <m:dPr>
                  <m:ctrlPr>
                    <w:rPr>
                      <w:rFonts w:ascii="Cambria Math" w:hAnsi="Cambria Math" w:cs="Times New Roman"/>
                      <w:i/>
                    </w:rPr>
                  </m:ctrlPr>
                </m:dPr>
                <m:e>
                  <m:r>
                    <m:rPr/>
                    <w:rPr>
                      <w:rFonts w:ascii="Cambria Math" w:hAnsi="Cambria Math" w:cs="Times New Roman"/>
                    </w:rPr>
                    <m:t>t</m:t>
                  </m:r>
                  <m:ctrlPr>
                    <w:rPr>
                      <w:rFonts w:ascii="Cambria Math" w:hAnsi="Cambria Math" w:cs="Times New Roman"/>
                      <w:i/>
                    </w:rPr>
                  </m:ctrlPr>
                </m:e>
              </m:d>
              <m:sSub>
                <m:sSubPr>
                  <m:ctrlPr>
                    <w:rPr>
                      <w:rFonts w:ascii="Cambria Math" w:hAnsi="Cambria Math" w:cs="Times New Roman"/>
                      <w:i/>
                    </w:rPr>
                  </m:ctrlPr>
                </m:sSubPr>
                <m:e>
                  <m:r>
                    <m:rPr/>
                    <w:rPr>
                      <w:rFonts w:ascii="Cambria Math" w:hAnsi="Cambria Math" w:cs="Times New Roman"/>
                    </w:rPr>
                    <m:t>x</m:t>
                  </m:r>
                  <m:ctrlPr>
                    <w:rPr>
                      <w:rFonts w:ascii="Cambria Math" w:hAnsi="Cambria Math" w:cs="Times New Roman"/>
                      <w:i/>
                    </w:rPr>
                  </m:ctrlPr>
                </m:e>
                <m:sub>
                  <m:r>
                    <m:rPr/>
                    <w:rPr>
                      <w:rFonts w:ascii="Cambria Math" w:hAnsi="Cambria Math" w:cs="Times New Roman"/>
                    </w:rPr>
                    <m:t>t</m:t>
                  </m:r>
                  <m:ctrlPr>
                    <w:rPr>
                      <w:rFonts w:ascii="Cambria Math" w:hAnsi="Cambria Math" w:cs="Times New Roman"/>
                      <w:i/>
                    </w:rPr>
                  </m:ctrlPr>
                </m:sub>
              </m:sSub>
              <m:r>
                <m:rPr/>
                <w:rPr>
                  <w:rFonts w:ascii="Cambria Math" w:hAnsi="Cambria Math" w:cs="Times New Roman"/>
                </w:rPr>
                <m:t>#</m:t>
              </m:r>
              <m:d>
                <m:dPr>
                  <m:ctrlPr>
                    <w:rPr>
                      <w:rFonts w:ascii="Cambria Math" w:hAnsi="Cambria Math" w:cs="Times New Roman"/>
                      <w:i/>
                    </w:rPr>
                  </m:ctrlPr>
                </m:dPr>
                <m:e>
                  <m:r>
                    <m:rPr/>
                    <w:rPr>
                      <w:rFonts w:ascii="Cambria Math" w:hAnsi="Cambria Math" w:cs="Times New Roman"/>
                    </w:rPr>
                    <m:t>2−7</m:t>
                  </m:r>
                  <m:ctrlPr>
                    <w:rPr>
                      <w:rFonts w:ascii="Cambria Math" w:hAnsi="Cambria Math" w:cs="Times New Roman"/>
                      <w:i/>
                    </w:rPr>
                  </m:ctrlPr>
                </m:e>
              </m:d>
              <m:ctrlPr>
                <w:rPr>
                  <w:rFonts w:ascii="Cambria Math" w:hAnsi="Cambria Math" w:cs="Times New Roman"/>
                  <w:i/>
                </w:rPr>
              </m:ctrlPr>
            </m:e>
          </m:eqArr>
        </m:oMath>
      </m:oMathPara>
    </w:p>
    <w:p w14:paraId="3DB926FF">
      <w:pPr>
        <w:ind w:firstLine="0" w:firstLineChars="0"/>
        <w:rPr>
          <w:rFonts w:ascii="宋体" w:hAnsi="宋体" w:cs="Times New Roman"/>
        </w:rPr>
      </w:pPr>
      <w:r>
        <w:rPr>
          <w:rFonts w:hint="eastAsia" w:ascii="宋体" w:hAnsi="宋体" w:cs="Times New Roman"/>
        </w:rPr>
        <w:t>其中</w:t>
      </w:r>
      <m:oMath>
        <m:sSub>
          <m:sSubPr>
            <m:ctrlPr>
              <w:rPr>
                <w:rFonts w:ascii="Cambria Math" w:hAnsi="Cambria Math" w:cs="Times New Roman"/>
                <w:i/>
              </w:rPr>
            </m:ctrlPr>
          </m:sSubPr>
          <m:e>
            <m:r>
              <m:rPr/>
              <w:rPr>
                <w:rFonts w:ascii="Cambria Math" w:hAnsi="Cambria Math" w:cs="Times New Roman"/>
              </w:rPr>
              <m:t>R</m:t>
            </m:r>
            <m:ctrlPr>
              <w:rPr>
                <w:rFonts w:ascii="Cambria Math" w:hAnsi="Cambria Math" w:cs="Times New Roman"/>
                <w:i/>
              </w:rPr>
            </m:ctrlPr>
          </m:e>
          <m:sub>
            <m:r>
              <m:rPr/>
              <w:rPr>
                <w:rFonts w:ascii="Cambria Math" w:hAnsi="Cambria Math" w:cs="Times New Roman"/>
              </w:rPr>
              <m:t>θ</m:t>
            </m:r>
            <m:ctrlPr>
              <w:rPr>
                <w:rFonts w:ascii="Cambria Math" w:hAnsi="Cambria Math" w:cs="Times New Roman"/>
                <w:i/>
              </w:rPr>
            </m:ctrlPr>
          </m:sub>
        </m:sSub>
      </m:oMath>
      <w:r>
        <w:rPr>
          <w:rFonts w:hint="eastAsia" w:ascii="宋体" w:hAnsi="宋体" w:cs="Times New Roman"/>
        </w:rPr>
        <w:t>表示旋转矩阵，可以在保持</w:t>
      </w:r>
      <m:oMath>
        <m:r>
          <m:rPr>
            <m:scr m:val="script"/>
          </m:rPr>
          <w:rPr>
            <w:rFonts w:ascii="Cambria Math" w:hAnsi="Cambria Math" w:cs="Times New Roman"/>
          </w:rPr>
          <m:t>O(</m:t>
        </m:r>
        <m:sSup>
          <m:sSupPr>
            <m:ctrlPr>
              <w:rPr>
                <w:rFonts w:ascii="Cambria Math" w:hAnsi="Cambria Math" w:cs="Times New Roman"/>
                <w:i/>
              </w:rPr>
            </m:ctrlPr>
          </m:sSupPr>
          <m:e>
            <m:r>
              <m:rPr/>
              <w:rPr>
                <w:rFonts w:ascii="Cambria Math" w:hAnsi="Cambria Math" w:cs="Times New Roman"/>
              </w:rPr>
              <m:t>L</m:t>
            </m:r>
            <m:ctrlPr>
              <w:rPr>
                <w:rFonts w:ascii="Cambria Math" w:hAnsi="Cambria Math" w:cs="Times New Roman"/>
                <w:i/>
              </w:rPr>
            </m:ctrlPr>
          </m:e>
          <m:sup>
            <m:r>
              <m:rPr/>
              <w:rPr>
                <w:rFonts w:ascii="Cambria Math" w:hAnsi="Cambria Math" w:cs="Times New Roman"/>
              </w:rPr>
              <m:t>2</m:t>
            </m:r>
            <m:ctrlPr>
              <w:rPr>
                <w:rFonts w:ascii="Cambria Math" w:hAnsi="Cambria Math" w:cs="Times New Roman"/>
                <w:i/>
              </w:rPr>
            </m:ctrlPr>
          </m:sup>
        </m:sSup>
        <m:r>
          <m:rPr/>
          <w:rPr>
            <w:rFonts w:ascii="Cambria Math" w:hAnsi="Cambria Math" w:cs="Times New Roman"/>
          </w:rPr>
          <m:t>)</m:t>
        </m:r>
      </m:oMath>
      <w:r>
        <w:rPr>
          <w:rFonts w:hint="eastAsia" w:ascii="宋体" w:hAnsi="宋体" w:cs="Times New Roman"/>
        </w:rPr>
        <w:t>复杂度的同时，把相对位置信息融入到注意力得分中。主流自回归语言模型以“下一个</w:t>
      </w:r>
      <w:r>
        <w:rPr>
          <w:rFonts w:cs="Times New Roman"/>
        </w:rPr>
        <w:t>token</w:t>
      </w:r>
      <w:r>
        <w:rPr>
          <w:rFonts w:hint="eastAsia" w:ascii="宋体" w:hAnsi="宋体" w:cs="Times New Roman"/>
        </w:rPr>
        <w:t>预测”为预训练目标，最小化公式</w:t>
      </w:r>
      <w:r>
        <w:rPr>
          <w:rFonts w:ascii="宋体" w:hAnsi="宋体" w:cs="Times New Roman"/>
        </w:rPr>
        <w:t>(2-2)</w:t>
      </w:r>
      <w:r>
        <w:rPr>
          <w:rFonts w:hint="eastAsia" w:ascii="宋体" w:hAnsi="宋体" w:cs="Times New Roman"/>
        </w:rPr>
        <w:t>中的交叉熵损失</w:t>
      </w:r>
      <m:oMath>
        <m:sSub>
          <m:sSubPr>
            <m:ctrlPr>
              <w:rPr>
                <w:rFonts w:ascii="Cambria Math" w:hAnsi="Cambria Math"/>
                <w:i/>
                <w:iCs/>
              </w:rPr>
            </m:ctrlPr>
          </m:sSubPr>
          <m:e>
            <m:r>
              <m:rPr>
                <m:scr m:val="script"/>
              </m:rPr>
              <w:rPr>
                <w:rFonts w:ascii="Cambria Math" w:hAnsi="Cambria Math"/>
              </w:rPr>
              <m:t>ℒ</m:t>
            </m:r>
            <m:ctrlPr>
              <w:rPr>
                <w:rFonts w:ascii="Cambria Math" w:hAnsi="Cambria Math"/>
                <w:i/>
                <w:iCs/>
              </w:rPr>
            </m:ctrlPr>
          </m:e>
          <m:sub>
            <m:r>
              <m:rPr/>
              <w:rPr>
                <w:rFonts w:ascii="Cambria Math" w:hAnsi="Cambria Math"/>
              </w:rPr>
              <m:t>CE</m:t>
            </m:r>
            <m:ctrlPr>
              <w:rPr>
                <w:rFonts w:ascii="Cambria Math" w:hAnsi="Cambria Math"/>
                <w:i/>
                <w:iCs/>
              </w:rPr>
            </m:ctrlPr>
          </m:sub>
        </m:sSub>
      </m:oMath>
      <w:r>
        <w:rPr>
          <w:rFonts w:hint="eastAsia" w:ascii="宋体" w:hAnsi="宋体" w:cs="Times New Roman"/>
        </w:rPr>
        <w:t>，完成基础语料预训练之后，再通过指令微调或强化学习进一步对齐人类意图，实现较好的实际生成效果。</w:t>
      </w:r>
    </w:p>
    <w:p w14:paraId="1ACA9995">
      <w:pPr>
        <w:ind w:firstLine="0" w:firstLineChars="0"/>
        <w:jc w:val="center"/>
        <w:rPr>
          <w:rFonts w:ascii="宋体" w:hAnsi="宋体" w:cs="Times New Roman"/>
        </w:rPr>
      </w:pPr>
      <w:r>
        <w:rPr>
          <w:rFonts w:ascii="宋体" w:hAnsi="宋体" w:cs="Times New Roman"/>
        </w:rPr>
        <w:drawing>
          <wp:inline distT="0" distB="0" distL="0" distR="0">
            <wp:extent cx="4218940" cy="4064000"/>
            <wp:effectExtent l="0" t="0" r="0" b="0"/>
            <wp:docPr id="4754364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436456" name="图片 2"/>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50502" cy="4094013"/>
                    </a:xfrm>
                    <a:prstGeom prst="rect">
                      <a:avLst/>
                    </a:prstGeom>
                  </pic:spPr>
                </pic:pic>
              </a:graphicData>
            </a:graphic>
          </wp:inline>
        </w:drawing>
      </w:r>
    </w:p>
    <w:p w14:paraId="2C83F9B4">
      <w:pPr>
        <w:ind w:firstLine="0" w:firstLineChars="0"/>
        <w:jc w:val="center"/>
        <w:rPr>
          <w:rFonts w:eastAsia="楷体"/>
          <w:iCs/>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 xml:space="preserve">2-1  </w:t>
      </w:r>
      <w:r>
        <w:rPr>
          <w:rFonts w:eastAsia="楷体" w:cs="Times New Roman"/>
          <w:iCs/>
          <w:color w:val="000000" w:themeColor="text1"/>
          <w:sz w:val="21"/>
          <w:szCs w:val="21"/>
          <w14:textFill>
            <w14:solidFill>
              <w14:schemeClr w14:val="tx1"/>
            </w14:solidFill>
          </w14:textFill>
        </w:rPr>
        <w:t>Transformer Decoder</w:t>
      </w:r>
      <w:r>
        <w:rPr>
          <w:rFonts w:hint="eastAsia" w:ascii="楷体" w:hAnsi="楷体" w:eastAsia="楷体"/>
          <w:iCs/>
          <w:color w:val="000000" w:themeColor="text1"/>
          <w:sz w:val="21"/>
          <w:szCs w:val="21"/>
          <w14:textFill>
            <w14:solidFill>
              <w14:schemeClr w14:val="tx1"/>
            </w14:solidFill>
          </w14:textFill>
        </w:rPr>
        <w:t>结构图</w:t>
      </w:r>
      <w:r>
        <w:rPr>
          <w:rFonts w:ascii="楷体" w:hAnsi="楷体" w:eastAsia="楷体"/>
          <w:iCs/>
          <w:color w:val="000000" w:themeColor="text1"/>
          <w:sz w:val="21"/>
          <w:szCs w:val="21"/>
          <w:vertAlign w:val="superscript"/>
          <w14:textFill>
            <w14:solidFill>
              <w14:schemeClr w14:val="tx1"/>
            </w14:solidFill>
          </w14:textFill>
        </w:rPr>
        <w:fldChar w:fldCharType="begin"/>
      </w:r>
      <w:r>
        <w:rPr>
          <w:rFonts w:ascii="楷体" w:hAnsi="楷体" w:eastAsia="楷体"/>
          <w:iCs/>
          <w:color w:val="000000" w:themeColor="text1"/>
          <w:sz w:val="21"/>
          <w:szCs w:val="21"/>
          <w:vertAlign w:val="superscript"/>
          <w14:textFill>
            <w14:solidFill>
              <w14:schemeClr w14:val="tx1"/>
            </w14:solidFill>
          </w14:textFill>
        </w:rPr>
        <w:instrText xml:space="preserve"> </w:instrText>
      </w:r>
      <w:r>
        <w:rPr>
          <w:rFonts w:hint="eastAsia" w:ascii="楷体" w:hAnsi="楷体" w:eastAsia="楷体"/>
          <w:iCs/>
          <w:color w:val="000000" w:themeColor="text1"/>
          <w:sz w:val="21"/>
          <w:szCs w:val="21"/>
          <w:vertAlign w:val="superscript"/>
          <w14:textFill>
            <w14:solidFill>
              <w14:schemeClr w14:val="tx1"/>
            </w14:solidFill>
          </w14:textFill>
        </w:rPr>
        <w:instrText xml:space="preserve">REF _Ref196299064 \r \h</w:instrText>
      </w:r>
      <w:r>
        <w:rPr>
          <w:rFonts w:ascii="楷体" w:hAnsi="楷体" w:eastAsia="楷体"/>
          <w:iCs/>
          <w:color w:val="000000" w:themeColor="text1"/>
          <w:sz w:val="21"/>
          <w:szCs w:val="21"/>
          <w:vertAlign w:val="superscript"/>
          <w14:textFill>
            <w14:solidFill>
              <w14:schemeClr w14:val="tx1"/>
            </w14:solidFill>
          </w14:textFill>
        </w:rPr>
        <w:instrText xml:space="preserve">  \* MERGEFORMAT </w:instrText>
      </w:r>
      <w:r>
        <w:rPr>
          <w:rFonts w:ascii="楷体" w:hAnsi="楷体" w:eastAsia="楷体"/>
          <w:iCs/>
          <w:color w:val="000000" w:themeColor="text1"/>
          <w:sz w:val="21"/>
          <w:szCs w:val="21"/>
          <w:vertAlign w:val="superscript"/>
          <w14:textFill>
            <w14:solidFill>
              <w14:schemeClr w14:val="tx1"/>
            </w14:solidFill>
          </w14:textFill>
        </w:rPr>
        <w:fldChar w:fldCharType="separate"/>
      </w:r>
      <w:r>
        <w:rPr>
          <w:rFonts w:ascii="楷体" w:hAnsi="楷体" w:eastAsia="楷体"/>
          <w:iCs/>
          <w:color w:val="000000" w:themeColor="text1"/>
          <w:sz w:val="21"/>
          <w:szCs w:val="21"/>
          <w:vertAlign w:val="superscript"/>
          <w14:textFill>
            <w14:solidFill>
              <w14:schemeClr w14:val="tx1"/>
            </w14:solidFill>
          </w14:textFill>
        </w:rPr>
        <w:t>[23]</w:t>
      </w:r>
      <w:r>
        <w:rPr>
          <w:rFonts w:ascii="楷体" w:hAnsi="楷体" w:eastAsia="楷体"/>
          <w:iCs/>
          <w:color w:val="000000" w:themeColor="text1"/>
          <w:sz w:val="21"/>
          <w:szCs w:val="21"/>
          <w:vertAlign w:val="superscript"/>
          <w14:textFill>
            <w14:solidFill>
              <w14:schemeClr w14:val="tx1"/>
            </w14:solidFill>
          </w14:textFill>
        </w:rPr>
        <w:fldChar w:fldCharType="end"/>
      </w:r>
    </w:p>
    <w:p w14:paraId="756419A1">
      <w:pPr>
        <w:ind w:firstLine="480"/>
        <w:rPr>
          <w:rFonts w:ascii="宋体" w:hAnsi="宋体" w:cs="Times New Roman"/>
        </w:rPr>
      </w:pPr>
      <w:r>
        <w:rPr>
          <w:rFonts w:hint="eastAsia" w:ascii="宋体" w:hAnsi="宋体" w:cs="Times New Roman"/>
        </w:rPr>
        <w:t>在整体结构上，</w:t>
      </w:r>
      <w:r>
        <w:rPr>
          <w:rFonts w:cs="Times New Roman"/>
        </w:rPr>
        <w:t>Transformer</w:t>
      </w:r>
      <w:r>
        <w:rPr>
          <w:rFonts w:hint="eastAsia" w:ascii="宋体" w:hAnsi="宋体" w:cs="Times New Roman"/>
        </w:rPr>
        <w:t>由编码器</w:t>
      </w:r>
      <w:r>
        <w:rPr>
          <w:rFonts w:cs="Times New Roman"/>
        </w:rPr>
        <w:t>(Encoder)</w:t>
      </w:r>
      <w:r>
        <w:rPr>
          <w:rFonts w:hint="eastAsia" w:ascii="宋体" w:hAnsi="宋体" w:cs="Times New Roman"/>
        </w:rPr>
        <w:t>和解码器</w:t>
      </w:r>
      <w:r>
        <w:rPr>
          <w:rFonts w:cs="Times New Roman"/>
        </w:rPr>
        <w:t>(Decoder)</w:t>
      </w:r>
      <w:r>
        <w:rPr>
          <w:rFonts w:hint="eastAsia" w:ascii="宋体" w:hAnsi="宋体" w:cs="Times New Roman"/>
        </w:rPr>
        <w:t>两部分组成，其中编码器提取特征，解码器生成内容。自回归语言模型通常仅使用</w:t>
      </w:r>
      <w:r>
        <w:rPr>
          <w:rFonts w:cs="Times New Roman"/>
        </w:rPr>
        <w:t>Decoder</w:t>
      </w:r>
      <w:r>
        <w:rPr>
          <w:rFonts w:hint="eastAsia" w:ascii="宋体" w:hAnsi="宋体" w:cs="Times New Roman"/>
        </w:rPr>
        <w:t>堆叠模块。每个</w:t>
      </w:r>
      <w:r>
        <w:rPr>
          <w:rFonts w:cs="Times New Roman"/>
        </w:rPr>
        <w:t>Transformer</w:t>
      </w:r>
      <w:r>
        <w:rPr>
          <w:rFonts w:hint="eastAsia" w:ascii="宋体" w:hAnsi="宋体" w:cs="Times New Roman"/>
        </w:rPr>
        <w:t>层包含多头自注意力子层与前馈神经网络</w:t>
      </w:r>
      <w:r>
        <w:rPr>
          <w:rFonts w:cs="Times New Roman"/>
        </w:rPr>
        <w:t>(FFN)</w:t>
      </w:r>
      <w:r>
        <w:rPr>
          <w:rFonts w:hint="eastAsia" w:ascii="宋体" w:hAnsi="宋体" w:cs="Times New Roman"/>
        </w:rPr>
        <w:t>子层，中间通过残差连接与层归一化相连接。前馈神经网络由两层线性映射及中间非线性激活</w:t>
      </w:r>
      <w:r>
        <w:rPr>
          <w:rFonts w:cs="Times New Roman"/>
        </w:rPr>
        <w:t>(如GELU</w:t>
      </w:r>
      <w:r>
        <w:rPr>
          <w:rFonts w:cs="Times New Roman"/>
          <w:vertAlign w:val="superscript"/>
        </w:rPr>
        <w:fldChar w:fldCharType="begin"/>
      </w:r>
      <w:r>
        <w:rPr>
          <w:rFonts w:cs="Times New Roman"/>
          <w:vertAlign w:val="superscript"/>
        </w:rPr>
        <w:instrText xml:space="preserve"> REF _Ref196927424 \r \h  \* MERGEFORMAT </w:instrText>
      </w:r>
      <w:r>
        <w:rPr>
          <w:rFonts w:cs="Times New Roman"/>
          <w:vertAlign w:val="superscript"/>
        </w:rPr>
        <w:fldChar w:fldCharType="separate"/>
      </w:r>
      <w:r>
        <w:rPr>
          <w:rFonts w:cs="Times New Roman"/>
          <w:vertAlign w:val="superscript"/>
        </w:rPr>
        <w:t>[41]</w:t>
      </w:r>
      <w:r>
        <w:rPr>
          <w:rFonts w:cs="Times New Roman"/>
          <w:vertAlign w:val="superscript"/>
        </w:rPr>
        <w:fldChar w:fldCharType="end"/>
      </w:r>
      <w:r>
        <w:rPr>
          <w:rFonts w:cs="Times New Roman"/>
        </w:rPr>
        <w:t>)</w:t>
      </w:r>
      <w:r>
        <w:rPr>
          <w:rFonts w:hint="eastAsia" w:ascii="宋体" w:hAnsi="宋体" w:cs="Times New Roman"/>
        </w:rPr>
        <w:t>构成：</w:t>
      </w:r>
    </w:p>
    <w:p w14:paraId="7A3871F2">
      <w:pPr>
        <w:ind w:firstLine="480"/>
        <w:rPr>
          <w:rFonts w:ascii="宋体" w:hAnsi="宋体" w:cs="Times New Roman"/>
        </w:rPr>
      </w:pPr>
      <m:oMathPara>
        <m:oMath>
          <m:eqArr>
            <m:eqArrPr>
              <m:maxDist m:val="1"/>
              <m:ctrlPr>
                <w:rPr>
                  <w:rFonts w:ascii="Cambria Math" w:hAnsi="Cambria Math" w:cs="Times New Roman"/>
                  <w:i/>
                </w:rPr>
              </m:ctrlPr>
            </m:eqArrPr>
            <m:e>
              <m:r>
                <m:rPr/>
                <w:rPr>
                  <w:rFonts w:ascii="Cambria Math" w:hAnsi="Cambria Math" w:cs="Times New Roman"/>
                </w:rPr>
                <m:t>FFN</m:t>
              </m:r>
              <m:d>
                <m:dPr>
                  <m:ctrlPr>
                    <w:rPr>
                      <w:rFonts w:ascii="Cambria Math" w:hAnsi="Cambria Math" w:cs="Times New Roman"/>
                      <w:i/>
                    </w:rPr>
                  </m:ctrlPr>
                </m:dPr>
                <m:e>
                  <m:r>
                    <m:rPr/>
                    <w:rPr>
                      <w:rFonts w:ascii="Cambria Math" w:hAnsi="Cambria Math" w:cs="Times New Roman"/>
                    </w:rPr>
                    <m:t>x</m:t>
                  </m:r>
                  <m:ctrlPr>
                    <w:rPr>
                      <w:rFonts w:ascii="Cambria Math" w:hAnsi="Cambria Math" w:cs="Times New Roman"/>
                      <w:i/>
                    </w:rPr>
                  </m:ctrlPr>
                </m:e>
              </m:d>
              <m:r>
                <m:rPr/>
                <w:rPr>
                  <w:rFonts w:ascii="Cambria Math" w:hAnsi="Cambria Math" w:cs="Times New Roman"/>
                </w:rPr>
                <m:t>=GELU</m:t>
              </m:r>
              <m:d>
                <m:dPr>
                  <m:ctrlPr>
                    <w:rPr>
                      <w:rFonts w:ascii="Cambria Math" w:hAnsi="Cambria Math" w:cs="Times New Roman"/>
                      <w:i/>
                    </w:rPr>
                  </m:ctrlPr>
                </m:dPr>
                <m:e>
                  <m:r>
                    <m:rPr/>
                    <w:rPr>
                      <w:rFonts w:ascii="Cambria Math" w:hAnsi="Cambria Math" w:cs="Times New Roman"/>
                    </w:rPr>
                    <m:t>x</m:t>
                  </m:r>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1</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e>
              </m:d>
              <m:sSub>
                <m:sSubPr>
                  <m:ctrlPr>
                    <w:rPr>
                      <w:rFonts w:ascii="Cambria Math" w:hAnsi="Cambria Math" w:cs="Times New Roman"/>
                      <w:i/>
                    </w:rPr>
                  </m:ctrlPr>
                </m:sSubPr>
                <m:e>
                  <m:r>
                    <m:rPr/>
                    <w:rPr>
                      <w:rFonts w:ascii="Cambria Math" w:hAnsi="Cambria Math" w:cs="Times New Roman"/>
                    </w:rPr>
                    <m:t>W</m:t>
                  </m:r>
                  <m:ctrlPr>
                    <w:rPr>
                      <w:rFonts w:ascii="Cambria Math" w:hAnsi="Cambria Math" w:cs="Times New Roman"/>
                      <w:i/>
                    </w:rPr>
                  </m:ctrlPr>
                </m:e>
                <m:sub>
                  <m:r>
                    <m:rPr/>
                    <w:rPr>
                      <w:rFonts w:ascii="Cambria Math" w:hAnsi="Cambria Math" w:cs="Times New Roman"/>
                    </w:rPr>
                    <m:t>2</m:t>
                  </m:r>
                  <m:ctrlPr>
                    <w:rPr>
                      <w:rFonts w:ascii="Cambria Math" w:hAnsi="Cambria Math" w:cs="Times New Roman"/>
                      <w:i/>
                    </w:rPr>
                  </m:ctrlPr>
                </m:sub>
              </m:sSub>
              <m:r>
                <m:rPr/>
                <w:rPr>
                  <w:rFonts w:ascii="Cambria Math" w:hAnsi="Cambria Math" w:cs="Times New Roman"/>
                </w:rPr>
                <m:t>+</m:t>
              </m:r>
              <m:sSub>
                <m:sSubPr>
                  <m:ctrlPr>
                    <w:rPr>
                      <w:rFonts w:ascii="Cambria Math" w:hAnsi="Cambria Math" w:cs="Times New Roman"/>
                      <w:i/>
                    </w:rPr>
                  </m:ctrlPr>
                </m:sSubPr>
                <m:e>
                  <m:r>
                    <m:rPr/>
                    <w:rPr>
                      <w:rFonts w:ascii="Cambria Math" w:hAnsi="Cambria Math" w:cs="Times New Roman"/>
                    </w:rPr>
                    <m:t>b</m:t>
                  </m:r>
                  <m:ctrlPr>
                    <w:rPr>
                      <w:rFonts w:ascii="Cambria Math" w:hAnsi="Cambria Math" w:cs="Times New Roman"/>
                      <w:i/>
                    </w:rPr>
                  </m:ctrlPr>
                </m:e>
                <m:sub>
                  <m:r>
                    <m:rPr/>
                    <w:rPr>
                      <w:rFonts w:ascii="Cambria Math" w:hAnsi="Cambria Math" w:cs="Times New Roman"/>
                    </w:rPr>
                    <m:t>2</m:t>
                  </m:r>
                  <m:ctrlPr>
                    <w:rPr>
                      <w:rFonts w:ascii="Cambria Math" w:hAnsi="Cambria Math" w:cs="Times New Roman"/>
                      <w:i/>
                    </w:rPr>
                  </m:ctrlPr>
                </m:sub>
              </m:sSub>
              <m:r>
                <m:rPr/>
                <w:rPr>
                  <w:rFonts w:ascii="Cambria Math" w:hAnsi="Cambria Math" w:cs="Times New Roman"/>
                </w:rPr>
                <m:t>#</m:t>
              </m:r>
              <m:d>
                <m:dPr>
                  <m:ctrlPr>
                    <w:rPr>
                      <w:rFonts w:ascii="Cambria Math" w:hAnsi="Cambria Math" w:cs="Times New Roman"/>
                      <w:i/>
                    </w:rPr>
                  </m:ctrlPr>
                </m:dPr>
                <m:e>
                  <m:r>
                    <m:rPr/>
                    <w:rPr>
                      <w:rFonts w:ascii="Cambria Math" w:hAnsi="Cambria Math" w:cs="Times New Roman"/>
                    </w:rPr>
                    <m:t>2−8</m:t>
                  </m:r>
                  <m:ctrlPr>
                    <w:rPr>
                      <w:rFonts w:ascii="Cambria Math" w:hAnsi="Cambria Math" w:cs="Times New Roman"/>
                      <w:i/>
                    </w:rPr>
                  </m:ctrlPr>
                </m:e>
              </m:d>
              <m:ctrlPr>
                <w:rPr>
                  <w:rFonts w:ascii="Cambria Math" w:hAnsi="Cambria Math" w:cs="Times New Roman"/>
                  <w:i/>
                </w:rPr>
              </m:ctrlPr>
            </m:e>
          </m:eqArr>
        </m:oMath>
      </m:oMathPara>
    </w:p>
    <w:p w14:paraId="42ACA744">
      <w:pPr>
        <w:ind w:firstLine="480"/>
      </w:pPr>
      <w:r>
        <w:rPr>
          <w:rFonts w:hint="eastAsia"/>
        </w:rPr>
        <w:t>在解码器中，为保证自回归生成的合理性，引入了因果掩码</w:t>
      </w:r>
      <w:r>
        <w:t>(Causal Masking)</w:t>
      </w:r>
      <w:r>
        <w:rPr>
          <w:rFonts w:hint="eastAsia"/>
        </w:rPr>
        <w:t>，定义掩码矩阵</w:t>
      </w:r>
      <m:oMath>
        <m:r>
          <m:rPr/>
          <w:rPr>
            <w:rFonts w:ascii="Cambria Math" w:hAnsi="Cambria Math"/>
          </w:rPr>
          <m:t>M</m:t>
        </m:r>
      </m:oMath>
      <w:r>
        <w:rPr>
          <w:rFonts w:hint="eastAsia"/>
        </w:rPr>
        <w:t>为：</w:t>
      </w:r>
    </w:p>
    <w:p w14:paraId="4B33CC3B">
      <w:pPr>
        <w:ind w:firstLine="0" w:firstLineChars="0"/>
        <w:rPr>
          <w:rFonts w:cs="Times New Roman"/>
        </w:rPr>
      </w:pPr>
      <m:oMathPara>
        <m:oMath>
          <m:eqArr>
            <m:eqArrPr>
              <m:maxDist m:val="1"/>
              <m:ctrlPr>
                <w:rPr>
                  <w:rFonts w:ascii="Cambria Math" w:hAnsi="Cambria Math" w:cs="Times New Roman"/>
                  <w:i/>
                </w:rPr>
              </m:ctrlPr>
            </m:eqArrPr>
            <m:e>
              <m:sSub>
                <m:sSubPr>
                  <m:ctrlPr>
                    <w:rPr>
                      <w:rFonts w:ascii="Cambria Math" w:hAnsi="Cambria Math" w:cs="Times New Roman"/>
                      <w:i/>
                    </w:rPr>
                  </m:ctrlPr>
                </m:sSubPr>
                <m:e>
                  <m:r>
                    <m:rPr/>
                    <w:rPr>
                      <w:rFonts w:ascii="Cambria Math" w:hAnsi="Cambria Math" w:cs="Times New Roman"/>
                    </w:rPr>
                    <m:t>M</m:t>
                  </m:r>
                  <m:ctrlPr>
                    <w:rPr>
                      <w:rFonts w:ascii="Cambria Math" w:hAnsi="Cambria Math" w:cs="Times New Roman"/>
                      <w:i/>
                    </w:rPr>
                  </m:ctrlPr>
                </m:e>
                <m:sub>
                  <m:r>
                    <m:rPr/>
                    <w:rPr>
                      <w:rFonts w:ascii="Cambria Math" w:hAnsi="Cambria Math" w:cs="Times New Roman"/>
                    </w:rPr>
                    <m:t>ij</m:t>
                  </m:r>
                  <m:ctrlPr>
                    <w:rPr>
                      <w:rFonts w:ascii="Cambria Math" w:hAnsi="Cambria Math" w:cs="Times New Roman"/>
                      <w:i/>
                    </w:rPr>
                  </m:ctrlPr>
                </m:sub>
              </m:sSub>
              <m:r>
                <m:rPr/>
                <w:rPr>
                  <w:rFonts w:ascii="Cambria Math" w:hAnsi="Cambria Math" w:cs="Times New Roman"/>
                </w:rPr>
                <m:t>=</m:t>
              </m:r>
              <m:d>
                <m:dPr>
                  <m:begChr m:val="{"/>
                  <m:endChr m:val=""/>
                  <m:ctrlPr>
                    <w:rPr>
                      <w:rFonts w:ascii="Cambria Math" w:hAnsi="Cambria Math" w:cs="Times New Roman"/>
                      <w:i/>
                    </w:rPr>
                  </m:ctrlPr>
                </m:dPr>
                <m:e>
                  <m:eqArr>
                    <m:eqArrPr>
                      <m:ctrlPr>
                        <w:rPr>
                          <w:rFonts w:ascii="Cambria Math" w:hAnsi="Cambria Math" w:cs="Times New Roman"/>
                          <w:i/>
                        </w:rPr>
                      </m:ctrlPr>
                    </m:eqArrPr>
                    <m:e>
                      <m:r>
                        <m:rPr/>
                        <w:rPr>
                          <w:rFonts w:ascii="Cambria Math" w:hAnsi="Cambria Math" w:cs="Times New Roman"/>
                        </w:rPr>
                        <m:t>0,           i≥j</m:t>
                      </m:r>
                      <m:ctrlPr>
                        <w:rPr>
                          <w:rFonts w:ascii="Cambria Math" w:hAnsi="Cambria Math" w:cs="Times New Roman"/>
                          <w:i/>
                        </w:rPr>
                      </m:ctrlPr>
                    </m:e>
                    <m:e>
                      <m:r>
                        <m:rPr/>
                        <w:rPr>
                          <w:rFonts w:ascii="Cambria Math" w:hAnsi="Cambria Math" w:cs="Times New Roman"/>
                        </w:rPr>
                        <m:t>−∞,       i&lt;j</m:t>
                      </m:r>
                      <m:ctrlPr>
                        <w:rPr>
                          <w:rFonts w:ascii="Cambria Math" w:hAnsi="Cambria Math" w:cs="Times New Roman"/>
                          <w:i/>
                        </w:rPr>
                      </m:ctrlPr>
                    </m:e>
                  </m:eqArr>
                  <m:ctrlPr>
                    <w:rPr>
                      <w:rFonts w:ascii="Cambria Math" w:hAnsi="Cambria Math" w:cs="Times New Roman"/>
                      <w:i/>
                    </w:rPr>
                  </m:ctrlPr>
                </m:e>
              </m:d>
              <m:r>
                <m:rPr/>
                <w:rPr>
                  <w:rFonts w:ascii="Cambria Math" w:hAnsi="Cambria Math" w:cs="Times New Roman"/>
                </w:rPr>
                <m:t>#</m:t>
              </m:r>
              <m:d>
                <m:dPr>
                  <m:ctrlPr>
                    <w:rPr>
                      <w:rFonts w:ascii="Cambria Math" w:hAnsi="Cambria Math" w:cs="Times New Roman"/>
                      <w:i/>
                    </w:rPr>
                  </m:ctrlPr>
                </m:dPr>
                <m:e>
                  <m:r>
                    <m:rPr/>
                    <w:rPr>
                      <w:rFonts w:ascii="Cambria Math" w:hAnsi="Cambria Math" w:cs="Times New Roman"/>
                    </w:rPr>
                    <m:t>2−9</m:t>
                  </m:r>
                  <m:ctrlPr>
                    <w:rPr>
                      <w:rFonts w:ascii="Cambria Math" w:hAnsi="Cambria Math" w:cs="Times New Roman"/>
                      <w:i/>
                    </w:rPr>
                  </m:ctrlPr>
                </m:e>
              </m:d>
              <m:ctrlPr>
                <w:rPr>
                  <w:rFonts w:ascii="Cambria Math" w:hAnsi="Cambria Math" w:cs="Times New Roman"/>
                  <w:i/>
                </w:rPr>
              </m:ctrlPr>
            </m:e>
          </m:eqArr>
        </m:oMath>
      </m:oMathPara>
    </w:p>
    <w:p w14:paraId="3661A372">
      <w:pPr>
        <w:ind w:firstLine="420" w:firstLineChars="0"/>
        <w:rPr>
          <w:rFonts w:cs="Times New Roman"/>
        </w:rPr>
      </w:pPr>
      <w:r>
        <w:rPr>
          <w:rFonts w:hint="eastAsia" w:cs="Times New Roman"/>
        </w:rPr>
        <w:t>通过屏蔽未来信息，确保每个位置只能关注过去或当前</w:t>
      </w:r>
      <w:r>
        <w:rPr>
          <w:rFonts w:cs="Times New Roman"/>
        </w:rPr>
        <w:t>t</w:t>
      </w:r>
      <w:r>
        <w:rPr>
          <w:rFonts w:hint="eastAsia" w:cs="Times New Roman"/>
        </w:rPr>
        <w:t>oken，符合生成的因果顺序。凭借强大的建模长程依赖能力、高度并行性及良好的可扩展性，Transformer架构已成为大型语言模型的基础框架。伴随模型规模的不断扩大，各种改进技术（如稀疏注意力、混合专家MoE等）也在持续推进LLMs的性能边界。主流的一些模型主要基于Transformer Decoder结构</w:t>
      </w:r>
      <w:r>
        <w:rPr>
          <w:rFonts w:cs="Times New Roman"/>
          <w:vertAlign w:val="superscript"/>
        </w:rPr>
        <w:fldChar w:fldCharType="begin"/>
      </w:r>
      <w:r>
        <w:rPr>
          <w:rFonts w:cs="Times New Roman"/>
          <w:vertAlign w:val="superscript"/>
        </w:rPr>
        <w:instrText xml:space="preserve"> </w:instrText>
      </w:r>
      <w:r>
        <w:rPr>
          <w:rFonts w:hint="eastAsia" w:cs="Times New Roman"/>
          <w:vertAlign w:val="superscript"/>
        </w:rPr>
        <w:instrText xml:space="preserve">REF _Ref196299064 \r \h</w:instrText>
      </w:r>
      <w:r>
        <w:rPr>
          <w:rFonts w:cs="Times New Roman"/>
          <w:vertAlign w:val="superscript"/>
        </w:rPr>
        <w:instrText xml:space="preserve">  \* MERGEFORMAT </w:instrText>
      </w:r>
      <w:r>
        <w:rPr>
          <w:rFonts w:cs="Times New Roman"/>
          <w:vertAlign w:val="superscript"/>
        </w:rPr>
        <w:fldChar w:fldCharType="separate"/>
      </w:r>
      <w:r>
        <w:rPr>
          <w:rFonts w:cs="Times New Roman"/>
          <w:vertAlign w:val="superscript"/>
        </w:rPr>
        <w:t>[23]</w:t>
      </w:r>
      <w:r>
        <w:rPr>
          <w:rFonts w:cs="Times New Roman"/>
          <w:vertAlign w:val="superscript"/>
        </w:rPr>
        <w:fldChar w:fldCharType="end"/>
      </w:r>
      <w:r>
        <w:rPr>
          <w:rFonts w:hint="eastAsia" w:cs="Times New Roman"/>
        </w:rPr>
        <w:t>，如图2-1所示。</w:t>
      </w:r>
    </w:p>
    <w:p w14:paraId="261F5722">
      <w:pPr>
        <w:pStyle w:val="3"/>
        <w:spacing w:before="240" w:after="240"/>
        <w:ind w:firstLine="0" w:firstLineChars="0"/>
      </w:pPr>
      <w:bookmarkStart w:id="22" w:name="_Toc197274519"/>
      <w:r>
        <w:rPr>
          <w:rFonts w:hint="eastAsia"/>
        </w:rPr>
        <w:t>2.2 混合专家模型</w:t>
      </w:r>
      <w:bookmarkEnd w:id="22"/>
    </w:p>
    <w:p w14:paraId="4F9A5731">
      <w:pPr>
        <w:ind w:firstLine="480"/>
        <w:rPr>
          <w:rFonts w:cs="Times New Roman"/>
        </w:rPr>
      </w:pPr>
      <w:r>
        <w:rPr>
          <w:rFonts w:hint="eastAsia"/>
        </w:rPr>
        <w:t>混合专家模型</w:t>
      </w:r>
      <w:r>
        <w:t>(Mixture of Experts, MoE)</w:t>
      </w:r>
      <w:r>
        <w:rPr>
          <w:vertAlign w:val="superscript"/>
        </w:rPr>
        <w:fldChar w:fldCharType="begin"/>
      </w:r>
      <w:r>
        <w:rPr>
          <w:vertAlign w:val="superscript"/>
        </w:rPr>
        <w:instrText xml:space="preserve"> REF _Ref196927606 \r \h  \* MERGEFORMAT </w:instrText>
      </w:r>
      <w:r>
        <w:rPr>
          <w:vertAlign w:val="superscript"/>
        </w:rPr>
        <w:fldChar w:fldCharType="separate"/>
      </w:r>
      <w:r>
        <w:rPr>
          <w:vertAlign w:val="superscript"/>
        </w:rPr>
        <w:t>[42]</w:t>
      </w:r>
      <w:r>
        <w:rPr>
          <w:vertAlign w:val="superscript"/>
        </w:rPr>
        <w:fldChar w:fldCharType="end"/>
      </w:r>
      <w:r>
        <w:rPr>
          <w:rFonts w:hint="eastAsia"/>
        </w:rPr>
        <w:t>是一种旨在提高模型容量和计算效率的神经网络架构，特别适用于大规模语言模型的训练和推理。</w:t>
      </w:r>
      <w:r>
        <w:rPr>
          <w:rFonts w:cs="Times New Roman"/>
        </w:rPr>
        <w:t>​</w:t>
      </w:r>
      <w:r>
        <w:rPr>
          <w:rFonts w:hint="eastAsia"/>
        </w:rPr>
        <w:t>其核心思想是引入多个专门处理不同子任务的“专家”子网络，并通过一个“门控网络”</w:t>
      </w:r>
      <w:r>
        <w:t xml:space="preserve">(gating network) </w:t>
      </w:r>
      <w:r>
        <w:rPr>
          <w:rFonts w:hint="eastAsia"/>
        </w:rPr>
        <w:t>根据输入动态选择最相关的专家进行处理，从而实现条件计算</w:t>
      </w:r>
      <w:r>
        <w:t>(conditional computation</w:t>
      </w:r>
      <w:r>
        <w:rPr>
          <w:rFonts w:hint="eastAsia"/>
        </w:rPr>
        <w:t>）。</w:t>
      </w:r>
      <w:r>
        <w:rPr>
          <w:rFonts w:cs="Times New Roman"/>
        </w:rPr>
        <w:t>​</w:t>
      </w:r>
    </w:p>
    <w:p w14:paraId="045EF4A1">
      <w:pPr>
        <w:ind w:firstLine="480"/>
      </w:pPr>
      <w:r>
        <w:rPr>
          <w:rFonts w:hint="eastAsia"/>
        </w:rPr>
        <w:t>在传统的MoE架构中，给定输入</w:t>
      </w:r>
      <m:oMath>
        <m:r>
          <m:rPr/>
          <w:rPr>
            <w:rFonts w:ascii="Cambria Math" w:hAnsi="Cambria Math"/>
          </w:rPr>
          <m:t>x</m:t>
        </m:r>
      </m:oMath>
      <w:r>
        <w:rPr>
          <w:rFonts w:hint="eastAsia"/>
        </w:rPr>
        <w:t>，门控网络</w:t>
      </w:r>
      <m:oMath>
        <m:r>
          <m:rPr/>
          <w:rPr>
            <w:rFonts w:ascii="Cambria Math" w:hAnsi="Cambria Math"/>
          </w:rPr>
          <m:t>G(x)</m:t>
        </m:r>
      </m:oMath>
      <w:r>
        <w:tab/>
      </w:r>
      <w:r>
        <w:rPr>
          <w:rFonts w:hint="eastAsia"/>
        </w:rPr>
        <w:t>会输出一个权重向量</w:t>
      </w:r>
      <m:oMath>
        <m:r>
          <m:rPr/>
          <w:rPr>
            <w:rFonts w:ascii="Cambria Math" w:hAnsi="Cambria Math"/>
          </w:rPr>
          <m:t>p=[</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1</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2</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n</m:t>
            </m:r>
            <m:ctrlPr>
              <w:rPr>
                <w:rFonts w:ascii="Cambria Math" w:hAnsi="Cambria Math"/>
                <w:i/>
              </w:rPr>
            </m:ctrlPr>
          </m:sub>
        </m:sSub>
        <m:r>
          <m:rPr/>
          <w:rPr>
            <w:rFonts w:ascii="Cambria Math" w:hAnsi="Cambria Math"/>
          </w:rPr>
          <m:t>]</m:t>
        </m:r>
      </m:oMath>
      <w:r>
        <w:rPr>
          <w:rFonts w:hint="eastAsia"/>
        </w:rPr>
        <w:t>，其中</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表示第</w:t>
      </w:r>
      <m:oMath>
        <m:r>
          <m:rPr/>
          <w:rPr>
            <w:rFonts w:ascii="Cambria Math" w:hAnsi="Cambria Math"/>
          </w:rPr>
          <m:t>i</m:t>
        </m:r>
      </m:oMath>
      <w:r>
        <w:rPr>
          <w:rFonts w:hint="eastAsia"/>
        </w:rPr>
        <w:t>个专家</w:t>
      </w:r>
      <m:oMath>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i</m:t>
            </m:r>
            <m:ctrlPr>
              <w:rPr>
                <w:rFonts w:ascii="Cambria Math" w:hAnsi="Cambria Math"/>
                <w:i/>
              </w:rPr>
            </m:ctrlPr>
          </m:sub>
        </m:sSub>
      </m:oMath>
      <w:r>
        <w:rPr>
          <w:rFonts w:hint="eastAsia"/>
        </w:rPr>
        <w:t>的激活权重。这些权重通常通过</w:t>
      </w:r>
      <w:r>
        <w:t>S</w:t>
      </w:r>
      <w:r>
        <w:rPr>
          <w:rFonts w:hint="eastAsia"/>
        </w:rPr>
        <w:t>oftmax函数计算：</w:t>
      </w:r>
    </w:p>
    <w:p w14:paraId="64602F77">
      <w:pPr>
        <w:ind w:firstLine="480"/>
      </w:pPr>
      <m:oMathPara>
        <m:oMath>
          <m:eqArr>
            <m:eqArrPr>
              <m:maxDist m:val="1"/>
              <m:ctrlPr>
                <w:rPr>
                  <w:rFonts w:ascii="Cambria Math" w:hAnsi="Cambria Math"/>
                  <w:i/>
                </w:rPr>
              </m:ctrlPr>
            </m:eqArrPr>
            <m:e>
              <m:r>
                <m:rPr/>
                <w:rPr>
                  <w:rFonts w:ascii="Cambria Math" w:hAnsi="Cambria Math"/>
                </w:rPr>
                <m:t>p=softmax</m:t>
              </m:r>
              <m:d>
                <m:dPr>
                  <m:ctrlPr>
                    <w:rPr>
                      <w:rFonts w:ascii="Cambria Math" w:hAnsi="Cambria Math"/>
                      <w:i/>
                    </w:rPr>
                  </m:ctrlPr>
                </m:dPr>
                <m:e>
                  <m:r>
                    <m:rPr/>
                    <w:rPr>
                      <w:rFonts w:ascii="Cambria Math" w:hAnsi="Cambria Math"/>
                    </w:rPr>
                    <m:t>G</m:t>
                  </m:r>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e>
              </m:d>
              <m:r>
                <m:rPr/>
                <w:rPr>
                  <w:rFonts w:ascii="Cambria Math" w:hAnsi="Cambria Math"/>
                </w:rPr>
                <m:t>#</m:t>
              </m:r>
              <m:d>
                <m:dPr>
                  <m:ctrlPr>
                    <w:rPr>
                      <w:rFonts w:ascii="Cambria Math" w:hAnsi="Cambria Math"/>
                      <w:i/>
                    </w:rPr>
                  </m:ctrlPr>
                </m:dPr>
                <m:e>
                  <m:r>
                    <m:rPr/>
                    <w:rPr>
                      <w:rFonts w:ascii="Cambria Math" w:hAnsi="Cambria Math"/>
                    </w:rPr>
                    <m:t>2−10</m:t>
                  </m:r>
                  <m:ctrlPr>
                    <w:rPr>
                      <w:rFonts w:ascii="Cambria Math" w:hAnsi="Cambria Math"/>
                      <w:i/>
                    </w:rPr>
                  </m:ctrlPr>
                </m:e>
              </m:d>
              <m:ctrlPr>
                <w:rPr>
                  <w:rFonts w:ascii="Cambria Math" w:hAnsi="Cambria Math"/>
                  <w:i/>
                </w:rPr>
              </m:ctrlPr>
            </m:e>
          </m:eqArr>
        </m:oMath>
      </m:oMathPara>
    </w:p>
    <w:p w14:paraId="30461EE8">
      <w:pPr>
        <w:ind w:firstLine="480"/>
      </w:pPr>
      <w:r>
        <w:rPr>
          <w:rFonts w:hint="eastAsia"/>
        </w:rPr>
        <w:t>随后，模型将输入传递给所有专家，并根据权重对专家的输出进行加权求和，得到最终输出：</w:t>
      </w:r>
    </w:p>
    <w:p w14:paraId="058E87AE">
      <w:pPr>
        <w:ind w:firstLine="0" w:firstLineChars="0"/>
      </w:pPr>
      <m:oMathPara>
        <m:oMath>
          <m:eqArr>
            <m:eqArrPr>
              <m:maxDist m:val="1"/>
              <m:ctrlPr>
                <w:rPr>
                  <w:rFonts w:ascii="Cambria Math" w:hAnsi="Cambria Math"/>
                  <w:i/>
                </w:rPr>
              </m:ctrlPr>
            </m:eqArrPr>
            <m:e>
              <m:r>
                <m:rPr/>
                <w:rPr>
                  <w:rFonts w:ascii="Cambria Math" w:hAnsi="Cambria Math"/>
                </w:rPr>
                <m:t>y=</m:t>
              </m:r>
              <m:nary>
                <m:naryPr>
                  <m:chr m:val="∑"/>
                  <m:limLoc m:val="undOvr"/>
                  <m:ctrlPr>
                    <w:rPr>
                      <w:rFonts w:ascii="Cambria Math" w:hAnsi="Cambria Math"/>
                      <w:i/>
                    </w:rPr>
                  </m:ctrlPr>
                </m:naryPr>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E</m:t>
                      </m:r>
                      <m:ctrlPr>
                        <w:rPr>
                          <w:rFonts w:ascii="Cambria Math" w:hAnsi="Cambria Math"/>
                          <w:i/>
                        </w:rPr>
                      </m:ctrlPr>
                    </m:e>
                    <m:sub>
                      <m:r>
                        <m:rPr/>
                        <w:rPr>
                          <w:rFonts w:ascii="Cambria Math" w:hAnsi="Cambria Math"/>
                        </w:rPr>
                        <m:t>i</m:t>
                      </m:r>
                      <m:ctrlPr>
                        <w:rPr>
                          <w:rFonts w:ascii="Cambria Math" w:hAnsi="Cambria Math"/>
                          <w:i/>
                        </w:rPr>
                      </m:ctrlPr>
                    </m:sub>
                  </m:sSub>
                  <m:d>
                    <m:dPr>
                      <m:ctrlPr>
                        <w:rPr>
                          <w:rFonts w:ascii="Cambria Math" w:hAnsi="Cambria Math"/>
                          <w:i/>
                        </w:rPr>
                      </m:ctrlPr>
                    </m:dPr>
                    <m:e>
                      <m:r>
                        <m:rPr/>
                        <w:rPr>
                          <w:rFonts w:ascii="Cambria Math" w:hAnsi="Cambria Math"/>
                        </w:rPr>
                        <m:t>x</m:t>
                      </m:r>
                      <m:ctrlPr>
                        <w:rPr>
                          <w:rFonts w:ascii="Cambria Math" w:hAnsi="Cambria Math"/>
                          <w:i/>
                        </w:rPr>
                      </m:ctrlPr>
                    </m:e>
                  </m:d>
                  <m:ctrlPr>
                    <w:rPr>
                      <w:rFonts w:ascii="Cambria Math" w:hAnsi="Cambria Math"/>
                      <w:i/>
                    </w:rPr>
                  </m:ctrlPr>
                </m:e>
              </m:nary>
              <m:r>
                <m:rPr/>
                <w:rPr>
                  <w:rFonts w:ascii="Cambria Math" w:hAnsi="Cambria Math"/>
                </w:rPr>
                <m:t>#</m:t>
              </m:r>
              <m:d>
                <m:dPr>
                  <m:ctrlPr>
                    <w:rPr>
                      <w:rFonts w:ascii="Cambria Math" w:hAnsi="Cambria Math"/>
                      <w:i/>
                    </w:rPr>
                  </m:ctrlPr>
                </m:dPr>
                <m:e>
                  <m:r>
                    <m:rPr/>
                    <w:rPr>
                      <w:rFonts w:ascii="Cambria Math" w:hAnsi="Cambria Math"/>
                    </w:rPr>
                    <m:t>2−11</m:t>
                  </m:r>
                  <m:ctrlPr>
                    <w:rPr>
                      <w:rFonts w:ascii="Cambria Math" w:hAnsi="Cambria Math"/>
                      <w:i/>
                    </w:rPr>
                  </m:ctrlPr>
                </m:e>
              </m:d>
              <m:ctrlPr>
                <w:rPr>
                  <w:rFonts w:ascii="Cambria Math" w:hAnsi="Cambria Math"/>
                  <w:i/>
                </w:rPr>
              </m:ctrlPr>
            </m:e>
          </m:eqArr>
        </m:oMath>
      </m:oMathPara>
    </w:p>
    <w:p w14:paraId="65522990">
      <w:pPr>
        <w:ind w:firstLine="480"/>
      </w:pPr>
      <w:r>
        <w:rPr>
          <w:rFonts w:hint="eastAsia"/>
        </w:rPr>
        <w:t>然而，在深度学习中，为了提高计算效率，通常会采用稀疏激活机制，即在每次前向传播中仅激活前</w:t>
      </w:r>
      <m:oMath>
        <m:r>
          <m:rPr/>
          <w:rPr>
            <w:rFonts w:ascii="Cambria Math" w:hAnsi="Cambria Math"/>
          </w:rPr>
          <m:t>k</m:t>
        </m:r>
      </m:oMath>
      <w:r>
        <w:rPr>
          <w:rFonts w:hint="eastAsia"/>
        </w:rPr>
        <w:t>个权重最大的专家（例如</w:t>
      </w:r>
      <m:oMath>
        <m:r>
          <m:rPr/>
          <w:rPr>
            <w:rFonts w:ascii="Cambria Math" w:hAnsi="Cambria Math"/>
          </w:rPr>
          <m:t>k=1</m:t>
        </m:r>
      </m:oMath>
      <w:r>
        <w:rPr>
          <w:rFonts w:hint="eastAsia"/>
        </w:rPr>
        <w:t>或</w:t>
      </w:r>
      <m:oMath>
        <m:r>
          <m:rPr/>
          <w:rPr>
            <w:rFonts w:ascii="Cambria Math" w:hAnsi="Cambria Math"/>
          </w:rPr>
          <m:t>k=2</m:t>
        </m:r>
      </m:oMath>
      <w:r>
        <w:rPr>
          <w:rFonts w:hint="eastAsia"/>
        </w:rPr>
        <w:t>），基本结构如图2-2所示。这种策略显著减少了计算资源的消耗，同时保持了模型的性能。例如，Switch Transformer</w:t>
      </w:r>
      <w:r>
        <w:rPr>
          <w:vertAlign w:val="superscript"/>
        </w:rPr>
        <w:fldChar w:fldCharType="begin"/>
      </w:r>
      <w:r>
        <w:rPr>
          <w:vertAlign w:val="superscript"/>
        </w:rPr>
        <w:instrText xml:space="preserve"> </w:instrText>
      </w:r>
      <w:r>
        <w:rPr>
          <w:rFonts w:hint="eastAsia"/>
          <w:vertAlign w:val="superscript"/>
        </w:rPr>
        <w:instrText xml:space="preserve">REF _Ref196927643 \r \h</w:instrText>
      </w:r>
      <w:r>
        <w:rPr>
          <w:vertAlign w:val="superscript"/>
        </w:rPr>
        <w:instrText xml:space="preserve">  \* MERGEFORMAT </w:instrText>
      </w:r>
      <w:r>
        <w:rPr>
          <w:vertAlign w:val="superscript"/>
        </w:rPr>
        <w:fldChar w:fldCharType="separate"/>
      </w:r>
      <w:r>
        <w:rPr>
          <w:vertAlign w:val="superscript"/>
        </w:rPr>
        <w:t>[43]</w:t>
      </w:r>
      <w:r>
        <w:rPr>
          <w:vertAlign w:val="superscript"/>
        </w:rPr>
        <w:fldChar w:fldCharType="end"/>
      </w:r>
      <w:r>
        <w:rPr>
          <w:rFonts w:hint="eastAsia"/>
        </w:rPr>
        <w:t>就是一种仅激活单个专家的 MoE 变体。</w:t>
      </w:r>
    </w:p>
    <w:p w14:paraId="6E2D24BE">
      <w:pPr>
        <w:ind w:firstLine="480"/>
      </w:pPr>
      <w:r>
        <w:t xml:space="preserve">MoE </w:t>
      </w:r>
      <w:r>
        <w:rPr>
          <w:rFonts w:hint="eastAsia"/>
        </w:rPr>
        <w:t>架构的一个关键挑战是负载均衡问题，即某些专家可能被频繁激活，而其他专家很少被使用。</w:t>
      </w:r>
      <w:r>
        <w:rPr>
          <w:rFonts w:cs="Times New Roman"/>
        </w:rPr>
        <w:t>​</w:t>
      </w:r>
      <w:r>
        <w:rPr>
          <w:rFonts w:hint="eastAsia"/>
        </w:rPr>
        <w:t>为了解决这一问题，研究者引入了辅助损失函数，鼓励门控网络在每个批次中均匀地分配输入到各个专家，从而避免专家之间的负载不均。</w:t>
      </w:r>
    </w:p>
    <w:p w14:paraId="22D86001">
      <w:pPr>
        <w:ind w:firstLine="480"/>
      </w:pPr>
      <w:r>
        <w:rPr>
          <w:rFonts w:hint="eastAsia"/>
        </w:rPr>
        <w:t>此外，</w:t>
      </w:r>
      <w:r>
        <w:t>MoE</w:t>
      </w:r>
      <w:r>
        <w:rPr>
          <w:rFonts w:hint="eastAsia"/>
        </w:rPr>
        <w:t>架构还可以扩展为层次化结构</w:t>
      </w:r>
      <w:r>
        <w:t>(Hierarchical MoE)</w:t>
      </w:r>
      <w:r>
        <w:rPr>
          <w:rFonts w:hint="eastAsia"/>
        </w:rPr>
        <w:t>，即在多个层次上引入门控机制，每个层次的门控网络负责选择下一层的专家组合，从而实现更细粒度的专家选择和更强的模型表达能力。</w:t>
      </w:r>
      <w:r>
        <w:rPr>
          <w:rFonts w:cs="Times New Roman"/>
        </w:rPr>
        <w:t>​</w:t>
      </w:r>
      <w:r>
        <w:rPr>
          <w:rFonts w:hint="eastAsia"/>
        </w:rPr>
        <w:t>这种结构在处理复杂任务时表现出更高的灵活性和效率。</w:t>
      </w:r>
    </w:p>
    <w:p w14:paraId="599F20E3">
      <w:pPr>
        <w:ind w:firstLine="480"/>
      </w:pPr>
      <w:r>
        <w:rPr>
          <w:rFonts w:hint="eastAsia"/>
        </w:rPr>
        <w:t>近年来，</w:t>
      </w:r>
      <w:r>
        <w:t>MoE</w:t>
      </w:r>
      <w:r>
        <w:rPr>
          <w:rFonts w:hint="eastAsia"/>
        </w:rPr>
        <w:t>架构在大规模语言模型中的应用取得了显著成果。例如，</w:t>
      </w:r>
      <w:r>
        <w:t>GShard</w:t>
      </w:r>
      <w:r>
        <w:rPr>
          <w:vertAlign w:val="superscript"/>
        </w:rPr>
        <w:fldChar w:fldCharType="begin"/>
      </w:r>
      <w:r>
        <w:rPr>
          <w:vertAlign w:val="superscript"/>
        </w:rPr>
        <w:instrText xml:space="preserve"> REF _Ref196927766 \r \h  \* MERGEFORMAT </w:instrText>
      </w:r>
      <w:r>
        <w:rPr>
          <w:vertAlign w:val="superscript"/>
        </w:rPr>
        <w:fldChar w:fldCharType="separate"/>
      </w:r>
      <w:r>
        <w:rPr>
          <w:vertAlign w:val="superscript"/>
        </w:rPr>
        <w:t>[44]</w:t>
      </w:r>
      <w:r>
        <w:rPr>
          <w:vertAlign w:val="superscript"/>
        </w:rPr>
        <w:fldChar w:fldCharType="end"/>
      </w:r>
      <w:r>
        <w:rPr>
          <w:rFonts w:hint="eastAsia"/>
        </w:rPr>
        <w:t>和</w:t>
      </w:r>
      <w:r>
        <w:t xml:space="preserve"> GLaM</w:t>
      </w:r>
      <w:r>
        <w:rPr>
          <w:vertAlign w:val="superscript"/>
        </w:rPr>
        <w:fldChar w:fldCharType="begin"/>
      </w:r>
      <w:r>
        <w:rPr>
          <w:vertAlign w:val="superscript"/>
        </w:rPr>
        <w:instrText xml:space="preserve"> REF _Ref196927773 \r \h  \* MERGEFORMAT </w:instrText>
      </w:r>
      <w:r>
        <w:rPr>
          <w:vertAlign w:val="superscript"/>
        </w:rPr>
        <w:fldChar w:fldCharType="separate"/>
      </w:r>
      <w:r>
        <w:rPr>
          <w:vertAlign w:val="superscript"/>
        </w:rPr>
        <w:t>[45]</w:t>
      </w:r>
      <w:r>
        <w:rPr>
          <w:vertAlign w:val="superscript"/>
        </w:rPr>
        <w:fldChar w:fldCharType="end"/>
      </w:r>
      <w:r>
        <w:rPr>
          <w:rFonts w:hint="eastAsia"/>
        </w:rPr>
        <w:t>等模型通过引入数十个甚至数百个专家，实现了参数规模的显著扩展，同时保持了训练和推理的可行性。</w:t>
      </w:r>
      <w:r>
        <w:rPr>
          <w:rFonts w:cs="Times New Roman"/>
        </w:rPr>
        <w:t>​</w:t>
      </w:r>
      <w:r>
        <w:rPr>
          <w:rFonts w:hint="eastAsia"/>
        </w:rPr>
        <w:t>这些模型在多语言处理、机器翻译等任务中表现出色，展示了</w:t>
      </w:r>
      <w:r>
        <w:t xml:space="preserve"> MoE</w:t>
      </w:r>
      <w:r>
        <w:rPr>
          <w:rFonts w:hint="eastAsia"/>
        </w:rPr>
        <w:t>架构在实际应用中的巨大潜力。</w:t>
      </w:r>
    </w:p>
    <w:p w14:paraId="2D8BC2E4">
      <w:pPr>
        <w:ind w:firstLine="480"/>
      </w:pPr>
      <w:r>
        <w:rPr>
          <w:rFonts w:hint="eastAsia"/>
        </w:rPr>
        <w:t>总的来说，混合专家模型通过引入专家子网络和动态门控机制，实现了模型容量与计算效率的平衡，成为构建高效、可扩展神经网络的重要工具。其在大规模语言模型中的成功应用，进一步证明了其在处理复杂任务和大规模数据方面的优势。</w:t>
      </w:r>
    </w:p>
    <w:p w14:paraId="62124534">
      <w:pPr>
        <w:ind w:firstLine="0" w:firstLineChars="0"/>
        <w:jc w:val="center"/>
        <w:rPr>
          <w:iCs/>
        </w:rPr>
      </w:pPr>
      <w:r>
        <w:drawing>
          <wp:inline distT="0" distB="0" distL="0" distR="0">
            <wp:extent cx="4076065" cy="3048000"/>
            <wp:effectExtent l="0" t="0" r="635" b="0"/>
            <wp:docPr id="18402658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265896" name="图片 3"/>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63821" cy="3113227"/>
                    </a:xfrm>
                    <a:prstGeom prst="rect">
                      <a:avLst/>
                    </a:prstGeom>
                  </pic:spPr>
                </pic:pic>
              </a:graphicData>
            </a:graphic>
          </wp:inline>
        </w:drawing>
      </w:r>
    </w:p>
    <w:p w14:paraId="788D4755">
      <w:pPr>
        <w:ind w:firstLine="0" w:firstLineChars="0"/>
        <w:jc w:val="center"/>
        <w:rPr>
          <w:iCs/>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2-</w:t>
      </w:r>
      <w:r>
        <w:rPr>
          <w:iCs/>
          <w:color w:val="000000" w:themeColor="text1"/>
          <w:sz w:val="21"/>
          <w:szCs w:val="21"/>
          <w14:textFill>
            <w14:solidFill>
              <w14:schemeClr w14:val="tx1"/>
            </w14:solidFill>
          </w14:textFill>
        </w:rPr>
        <w:t>2</w:t>
      </w:r>
      <w:r>
        <w:rPr>
          <w:rFonts w:hint="eastAsia"/>
          <w:iCs/>
          <w:color w:val="000000" w:themeColor="text1"/>
          <w:sz w:val="21"/>
          <w:szCs w:val="21"/>
          <w14:textFill>
            <w14:solidFill>
              <w14:schemeClr w14:val="tx1"/>
            </w14:solidFill>
          </w14:textFill>
        </w:rPr>
        <w:t xml:space="preserve">  </w:t>
      </w:r>
      <w:r>
        <w:rPr>
          <w:rFonts w:hint="eastAsia" w:eastAsia="楷体" w:cs="Times New Roman"/>
          <w:iCs/>
          <w:color w:val="000000" w:themeColor="text1"/>
          <w:sz w:val="21"/>
          <w:szCs w:val="21"/>
          <w14:textFill>
            <w14:solidFill>
              <w14:schemeClr w14:val="tx1"/>
            </w14:solidFill>
          </w14:textFill>
        </w:rPr>
        <w:t>稀疏混合专家模型基本结构</w:t>
      </w:r>
    </w:p>
    <w:p w14:paraId="16AEE971">
      <w:pPr>
        <w:pStyle w:val="3"/>
        <w:spacing w:before="240" w:after="240"/>
        <w:ind w:firstLine="0" w:firstLineChars="0"/>
      </w:pPr>
      <w:bookmarkStart w:id="23" w:name="_Toc197274520"/>
      <w:r>
        <w:rPr>
          <w:rFonts w:hint="eastAsia"/>
        </w:rPr>
        <w:t>2.3 参数高效微调</w:t>
      </w:r>
      <w:r>
        <w:t>LoRA</w:t>
      </w:r>
      <w:bookmarkEnd w:id="23"/>
    </w:p>
    <w:p w14:paraId="5FFAB61D">
      <w:pPr>
        <w:ind w:firstLine="480"/>
      </w:pPr>
      <w:r>
        <w:rPr>
          <w:rFonts w:hint="eastAsia"/>
        </w:rPr>
        <w:t>Qwen</w:t>
      </w:r>
      <w:r>
        <w:t>2-1.5B-Instruct</w:t>
      </w:r>
      <w:r>
        <w:rPr>
          <w:rFonts w:hint="eastAsia"/>
        </w:rPr>
        <w:t>大约含15亿参数，若全量微调，不仅需双倍存储完整权重，还会在训练阶段占用大量显存，难以在资源受限的推理服务或快速迭代环境中部署。为实现“高效+轻量”的越狱提示检测器，本文选择LoRA</w:t>
      </w:r>
      <w:r>
        <w:rPr>
          <w:vertAlign w:val="superscript"/>
        </w:rPr>
        <w:fldChar w:fldCharType="begin"/>
      </w:r>
      <w:r>
        <w:rPr>
          <w:vertAlign w:val="superscript"/>
        </w:rPr>
        <w:instrText xml:space="preserve"> REF _Ref196257757 \r \h  \* MERGEFORMAT </w:instrText>
      </w:r>
      <w:r>
        <w:rPr>
          <w:vertAlign w:val="superscript"/>
        </w:rPr>
        <w:fldChar w:fldCharType="separate"/>
      </w:r>
      <w:r>
        <w:rPr>
          <w:vertAlign w:val="superscript"/>
        </w:rPr>
        <w:t>[32]</w:t>
      </w:r>
      <w:r>
        <w:rPr>
          <w:vertAlign w:val="superscript"/>
        </w:rPr>
        <w:fldChar w:fldCharType="end"/>
      </w:r>
      <w:r>
        <w:t xml:space="preserve"> </w:t>
      </w:r>
      <w:r>
        <w:rPr>
          <w:rFonts w:hint="eastAsia"/>
        </w:rPr>
        <w:t>—— 一种将更新限制在低秩矩阵上的参数高效微调方法，可在保持推理延迟不变的情况下，将可训练参数量削减至小于原模型的1%。</w:t>
      </w:r>
    </w:p>
    <w:p w14:paraId="3789294C">
      <w:pPr>
        <w:ind w:firstLine="480"/>
      </w:pPr>
      <w:r>
        <w:rPr>
          <w:rFonts w:hint="eastAsia"/>
        </w:rPr>
        <w:t>设Trans</w:t>
      </w:r>
      <w:r>
        <w:t>former</w:t>
      </w:r>
      <w:r>
        <w:rPr>
          <w:rFonts w:hint="eastAsia"/>
        </w:rPr>
        <w:t>中某线性映射为</w:t>
      </w:r>
    </w:p>
    <w:p w14:paraId="480758EA">
      <w:pPr>
        <w:ind w:firstLine="480"/>
      </w:pPr>
      <m:oMathPara>
        <m:oMath>
          <m:eqArr>
            <m:eqArrPr>
              <m:maxDist m:val="1"/>
              <m:ctrlPr>
                <w:rPr>
                  <w:rFonts w:ascii="Cambria Math" w:hAnsi="Cambria Math"/>
                  <w:i/>
                </w:rPr>
              </m:ctrlPr>
            </m:eqArrPr>
            <m:e>
              <m:r>
                <m:rPr/>
                <w:rPr>
                  <w:rFonts w:ascii="Cambria Math" w:hAnsi="Cambria Math"/>
                </w:rPr>
                <m:t>y=</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 xml:space="preserve">x,    </m:t>
              </m:r>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0</m:t>
                  </m:r>
                  <m:ctrlPr>
                    <w:rPr>
                      <w:rFonts w:ascii="Cambria Math" w:hAnsi="Cambria Math"/>
                      <w:i/>
                    </w:rPr>
                  </m:ctrlPr>
                </m:sub>
              </m:sSub>
              <m:r>
                <m:rPr/>
                <w:rPr>
                  <w:rFonts w:ascii="Cambria Math" w:hAnsi="Cambria Math"/>
                </w:rPr>
                <m:t>∈</m:t>
              </m:r>
              <m:sSup>
                <m:sSupPr>
                  <m:ctrlPr>
                    <w:rPr>
                      <w:rFonts w:ascii="Cambria Math" w:hAnsi="Cambria Math"/>
                      <w:i/>
                    </w:rPr>
                  </m:ctrlPr>
                </m:sSupPr>
                <m:e>
                  <m:r>
                    <m:rPr>
                      <m:scr m:val="double-struck"/>
                    </m:rPr>
                    <w:rPr>
                      <w:rFonts w:ascii="Cambria Math" w:hAnsi="Cambria Math"/>
                    </w:rPr>
                    <m:t>ℝ</m:t>
                  </m:r>
                  <m:ctrlPr>
                    <w:rPr>
                      <w:rFonts w:ascii="Cambria Math" w:hAnsi="Cambria Math"/>
                      <w:i/>
                    </w:rPr>
                  </m:ctrlPr>
                </m:e>
                <m:sup>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out</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in</m:t>
                      </m:r>
                      <m:ctrlPr>
                        <w:rPr>
                          <w:rFonts w:ascii="Cambria Math" w:hAnsi="Cambria Math"/>
                          <w:i/>
                        </w:rPr>
                      </m:ctrlPr>
                    </m:sub>
                  </m:sSub>
                  <m:ctrlPr>
                    <w:rPr>
                      <w:rFonts w:ascii="Cambria Math" w:hAnsi="Cambria Math"/>
                      <w:i/>
                    </w:rPr>
                  </m:ctrlPr>
                </m:sup>
              </m:sSup>
              <m:r>
                <m:rPr/>
                <w:rPr>
                  <w:rFonts w:ascii="Cambria Math" w:hAnsi="Cambria Math"/>
                </w:rPr>
                <m:t>#</m:t>
              </m:r>
              <m:d>
                <m:dPr>
                  <m:ctrlPr>
                    <w:rPr>
                      <w:rFonts w:ascii="Cambria Math" w:hAnsi="Cambria Math"/>
                      <w:i/>
                    </w:rPr>
                  </m:ctrlPr>
                </m:dPr>
                <m:e>
                  <m:r>
                    <m:rPr/>
                    <w:rPr>
                      <w:rFonts w:ascii="Cambria Math" w:hAnsi="Cambria Math"/>
                    </w:rPr>
                    <m:t>2−12</m:t>
                  </m:r>
                  <m:ctrlPr>
                    <w:rPr>
                      <w:rFonts w:ascii="Cambria Math" w:hAnsi="Cambria Math"/>
                      <w:i/>
                    </w:rPr>
                  </m:ctrlPr>
                </m:e>
              </m:d>
              <m:ctrlPr>
                <w:rPr>
                  <w:rFonts w:ascii="Cambria Math" w:hAnsi="Cambria Math"/>
                  <w:i/>
                </w:rPr>
              </m:ctrlPr>
            </m:e>
          </m:eqArr>
        </m:oMath>
      </m:oMathPara>
    </w:p>
    <w:p w14:paraId="703F3D5E">
      <w:pPr>
        <w:ind w:firstLine="480"/>
      </w:pPr>
      <w:r>
        <w:rPr>
          <w:rFonts w:hint="eastAsia"/>
        </w:rPr>
        <w:t>LoRA冻结</w:t>
      </w:r>
      <m:oMath>
        <m:sSub>
          <m:sSubPr>
            <m:ctrlPr>
              <w:rPr>
                <w:rFonts w:ascii="Cambria Math" w:hAnsi="Cambria Math"/>
                <w:i/>
              </w:rPr>
            </m:ctrlPr>
          </m:sSubPr>
          <m:e>
            <m:r>
              <m:rPr/>
              <w:rPr>
                <w:rFonts w:hint="eastAsia" w:ascii="Cambria Math" w:hAnsi="Cambria Math"/>
              </w:rPr>
              <m:t>W</m:t>
            </m:r>
            <m:ctrlPr>
              <w:rPr>
                <w:rFonts w:hint="eastAsia" w:ascii="Cambria Math" w:hAnsi="Cambria Math"/>
                <w:i/>
              </w:rPr>
            </m:ctrlPr>
          </m:e>
          <m:sub>
            <m:r>
              <m:rPr/>
              <w:rPr>
                <w:rFonts w:ascii="Cambria Math" w:hAnsi="Cambria Math"/>
              </w:rPr>
              <m:t>0</m:t>
            </m:r>
            <m:ctrlPr>
              <w:rPr>
                <w:rFonts w:ascii="Cambria Math" w:hAnsi="Cambria Math"/>
                <w:i/>
              </w:rPr>
            </m:ctrlPr>
          </m:sub>
        </m:sSub>
      </m:oMath>
      <w:r>
        <w:rPr>
          <w:rFonts w:hint="eastAsia"/>
        </w:rPr>
        <w:t>，仅在其上叠加一项低秩更新</w:t>
      </w:r>
      <m:oMath>
        <m:r>
          <m:rPr/>
          <w:rPr>
            <w:rFonts w:ascii="Cambria Math" w:hAnsi="Cambria Math"/>
          </w:rPr>
          <m:t>∆W</m:t>
        </m:r>
      </m:oMath>
      <w:r>
        <w:rPr>
          <w:rFonts w:hint="eastAsia"/>
        </w:rPr>
        <w:t>：</w:t>
      </w:r>
    </w:p>
    <w:p w14:paraId="558DC205">
      <w:pPr>
        <w:ind w:firstLine="480"/>
      </w:pPr>
      <m:oMathPara>
        <m:oMath>
          <m:eqArr>
            <m:eqArrPr>
              <m:maxDist m:val="1"/>
              <m:ctrlPr>
                <w:rPr>
                  <w:rFonts w:ascii="Cambria Math" w:hAnsi="Cambria Math"/>
                  <w:i/>
                </w:rPr>
              </m:ctrlPr>
            </m:eqArrPr>
            <m:e>
              <m:r>
                <m:rPr/>
                <w:rPr>
                  <w:rFonts w:ascii="Cambria Math" w:hAnsi="Cambria Math"/>
                </w:rPr>
                <m:t>W=</m:t>
              </m:r>
              <m:sSub>
                <m:sSubPr>
                  <m:ctrlPr>
                    <w:rPr>
                      <w:rFonts w:ascii="Cambria Math" w:hAnsi="Cambria Math"/>
                      <w:i/>
                      <w:iCs/>
                    </w:rPr>
                  </m:ctrlPr>
                </m:sSubPr>
                <m:e>
                  <m:r>
                    <m:rPr/>
                    <w:rPr>
                      <w:rFonts w:ascii="Cambria Math" w:hAnsi="Cambria Math"/>
                    </w:rPr>
                    <m:t>W</m:t>
                  </m:r>
                  <m:ctrlPr>
                    <w:rPr>
                      <w:rFonts w:ascii="Cambria Math" w:hAnsi="Cambria Math"/>
                      <w:i/>
                      <w:iCs/>
                    </w:rPr>
                  </m:ctrlPr>
                </m:e>
                <m:sub>
                  <m:r>
                    <m:rPr/>
                    <w:rPr>
                      <w:rFonts w:ascii="Cambria Math" w:hAnsi="Cambria Math"/>
                    </w:rPr>
                    <m:t>0</m:t>
                  </m:r>
                  <m:ctrlPr>
                    <w:rPr>
                      <w:rFonts w:ascii="Cambria Math" w:hAnsi="Cambria Math"/>
                      <w:i/>
                      <w:iCs/>
                    </w:rPr>
                  </m:ctrlPr>
                </m:sub>
              </m:sSub>
              <m:r>
                <m:rPr/>
                <w:rPr>
                  <w:rFonts w:ascii="Cambria Math" w:hAnsi="Cambria Math"/>
                </w:rPr>
                <m:t>+∆W,    ∆W=BA,    rank</m:t>
              </m:r>
              <m:d>
                <m:dPr>
                  <m:ctrlPr>
                    <w:rPr>
                      <w:rFonts w:ascii="Cambria Math" w:hAnsi="Cambria Math"/>
                      <w:i/>
                    </w:rPr>
                  </m:ctrlPr>
                </m:dPr>
                <m:e>
                  <m:r>
                    <m:rPr/>
                    <w:rPr>
                      <w:rFonts w:ascii="Cambria Math" w:hAnsi="Cambria Math"/>
                    </w:rPr>
                    <m:t>∆W</m:t>
                  </m:r>
                  <m:ctrlPr>
                    <w:rPr>
                      <w:rFonts w:ascii="Cambria Math" w:hAnsi="Cambria Math"/>
                      <w:i/>
                    </w:rPr>
                  </m:ctrlPr>
                </m:e>
              </m:d>
              <m:r>
                <m:rPr/>
                <w:rPr>
                  <w:rFonts w:ascii="Cambria Math" w:hAnsi="Cambria Math"/>
                </w:rPr>
                <m:t>≤r≪</m:t>
              </m:r>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sSub>
                        <m:sSubPr>
                          <m:ctrlPr>
                            <w:rPr>
                              <w:rFonts w:ascii="Cambria Math" w:hAnsi="Cambria Math"/>
                              <w:i/>
                              <w:iCs/>
                            </w:rPr>
                          </m:ctrlPr>
                        </m:sSubPr>
                        <m:e>
                          <m:r>
                            <m:rPr/>
                            <w:rPr>
                              <w:rFonts w:ascii="Cambria Math" w:hAnsi="Cambria Math"/>
                            </w:rPr>
                            <m:t>d</m:t>
                          </m:r>
                          <m:ctrlPr>
                            <w:rPr>
                              <w:rFonts w:ascii="Cambria Math" w:hAnsi="Cambria Math"/>
                              <w:i/>
                              <w:iCs/>
                            </w:rPr>
                          </m:ctrlPr>
                        </m:e>
                        <m:sub>
                          <m:r>
                            <m:rPr/>
                            <w:rPr>
                              <w:rFonts w:ascii="Cambria Math" w:hAnsi="Cambria Math"/>
                            </w:rPr>
                            <m:t>in</m:t>
                          </m:r>
                          <m:ctrlPr>
                            <w:rPr>
                              <w:rFonts w:ascii="Cambria Math" w:hAnsi="Cambria Math"/>
                              <w:i/>
                              <w:iCs/>
                            </w:rPr>
                          </m:ctrlPr>
                        </m:sub>
                      </m:sSub>
                      <m:r>
                        <m:rPr/>
                        <w:rPr>
                          <w:rFonts w:ascii="Cambria Math" w:hAnsi="Cambria Math"/>
                        </w:rPr>
                        <m:t xml:space="preserve">, </m:t>
                      </m:r>
                      <m:sSub>
                        <m:sSubPr>
                          <m:ctrlPr>
                            <w:rPr>
                              <w:rFonts w:ascii="Cambria Math" w:hAnsi="Cambria Math"/>
                              <w:i/>
                              <w:iCs/>
                            </w:rPr>
                          </m:ctrlPr>
                        </m:sSubPr>
                        <m:e>
                          <m:r>
                            <m:rPr/>
                            <w:rPr>
                              <w:rFonts w:ascii="Cambria Math" w:hAnsi="Cambria Math"/>
                            </w:rPr>
                            <m:t>d</m:t>
                          </m:r>
                          <m:ctrlPr>
                            <w:rPr>
                              <w:rFonts w:ascii="Cambria Math" w:hAnsi="Cambria Math"/>
                              <w:i/>
                              <w:iCs/>
                            </w:rPr>
                          </m:ctrlPr>
                        </m:e>
                        <m:sub>
                          <m:r>
                            <m:rPr/>
                            <w:rPr>
                              <w:rFonts w:ascii="Cambria Math" w:hAnsi="Cambria Math"/>
                            </w:rPr>
                            <m:t>out</m:t>
                          </m:r>
                          <m:ctrlPr>
                            <w:rPr>
                              <w:rFonts w:ascii="Cambria Math" w:hAnsi="Cambria Math"/>
                              <w:i/>
                              <w:iCs/>
                            </w:rPr>
                          </m:ctrlPr>
                        </m:sub>
                      </m:sSub>
                      <m:ctrlPr>
                        <w:rPr>
                          <w:rFonts w:ascii="Cambria Math" w:hAnsi="Cambria Math"/>
                          <w:i/>
                        </w:rPr>
                      </m:ctrlPr>
                    </m:e>
                  </m:d>
                  <m:ctrlPr>
                    <w:rPr>
                      <w:rFonts w:ascii="Cambria Math" w:hAnsi="Cambria Math"/>
                    </w:rPr>
                  </m:ctrlPr>
                </m:e>
              </m:func>
              <m:r>
                <m:rPr/>
                <w:rPr>
                  <w:rFonts w:ascii="Cambria Math" w:hAnsi="Cambria Math"/>
                </w:rPr>
                <m:t>#</m:t>
              </m:r>
              <m:d>
                <m:dPr>
                  <m:ctrlPr>
                    <w:rPr>
                      <w:rFonts w:ascii="Cambria Math" w:hAnsi="Cambria Math"/>
                      <w:i/>
                    </w:rPr>
                  </m:ctrlPr>
                </m:dPr>
                <m:e>
                  <m:r>
                    <m:rPr/>
                    <w:rPr>
                      <w:rFonts w:ascii="Cambria Math" w:hAnsi="Cambria Math"/>
                    </w:rPr>
                    <m:t>2−13</m:t>
                  </m:r>
                  <m:ctrlPr>
                    <w:rPr>
                      <w:rFonts w:ascii="Cambria Math" w:hAnsi="Cambria Math"/>
                      <w:i/>
                    </w:rPr>
                  </m:ctrlPr>
                </m:e>
              </m:d>
              <m:ctrlPr>
                <w:rPr>
                  <w:rFonts w:ascii="Cambria Math" w:hAnsi="Cambria Math"/>
                  <w:i/>
                </w:rPr>
              </m:ctrlPr>
            </m:e>
          </m:eqArr>
        </m:oMath>
      </m:oMathPara>
    </w:p>
    <w:p w14:paraId="11CC04E7">
      <w:pPr>
        <w:ind w:firstLine="0" w:firstLineChars="0"/>
        <w:rPr>
          <w:iCs/>
        </w:rPr>
      </w:pPr>
      <w:r>
        <w:rPr>
          <w:rFonts w:hint="eastAsia" w:hAnsi="Cambria Math"/>
        </w:rPr>
        <w:t>其中，</w:t>
      </w:r>
      <m:oMath>
        <m:r>
          <m:rPr/>
          <w:rPr>
            <w:rFonts w:ascii="Cambria Math" w:hAnsi="Cambria Math"/>
          </w:rPr>
          <m:t>A∈</m:t>
        </m:r>
        <m:sSup>
          <m:sSupPr>
            <m:ctrlPr>
              <w:rPr>
                <w:rFonts w:ascii="Cambria Math" w:hAnsi="Cambria Math"/>
                <w:i/>
                <w:iCs/>
              </w:rPr>
            </m:ctrlPr>
          </m:sSupPr>
          <m:e>
            <m:r>
              <m:rPr>
                <m:scr m:val="double-struck"/>
              </m:rPr>
              <w:rPr>
                <w:rFonts w:ascii="Cambria Math" w:hAnsi="Cambria Math"/>
              </w:rPr>
              <m:t>ℝ</m:t>
            </m:r>
            <m:ctrlPr>
              <w:rPr>
                <w:rFonts w:ascii="Cambria Math" w:hAnsi="Cambria Math"/>
                <w:i/>
                <w:iCs/>
              </w:rPr>
            </m:ctrlPr>
          </m:e>
          <m:sup>
            <m:r>
              <m:rPr/>
              <w:rPr>
                <w:rFonts w:ascii="Cambria Math" w:hAnsi="Cambria Math"/>
              </w:rPr>
              <m:t>r×</m:t>
            </m:r>
            <m:sSub>
              <m:sSubPr>
                <m:ctrlPr>
                  <w:rPr>
                    <w:rFonts w:ascii="Cambria Math" w:hAnsi="Cambria Math"/>
                    <w:i/>
                    <w:iCs/>
                  </w:rPr>
                </m:ctrlPr>
              </m:sSubPr>
              <m:e>
                <m:r>
                  <m:rPr/>
                  <w:rPr>
                    <w:rFonts w:ascii="Cambria Math" w:hAnsi="Cambria Math"/>
                  </w:rPr>
                  <m:t>d</m:t>
                </m:r>
                <m:ctrlPr>
                  <w:rPr>
                    <w:rFonts w:ascii="Cambria Math" w:hAnsi="Cambria Math"/>
                    <w:i/>
                    <w:iCs/>
                  </w:rPr>
                </m:ctrlPr>
              </m:e>
              <m:sub>
                <m:r>
                  <m:rPr/>
                  <w:rPr>
                    <w:rFonts w:ascii="Cambria Math" w:hAnsi="Cambria Math"/>
                  </w:rPr>
                  <m:t>in</m:t>
                </m:r>
                <m:ctrlPr>
                  <w:rPr>
                    <w:rFonts w:ascii="Cambria Math" w:hAnsi="Cambria Math"/>
                    <w:i/>
                    <w:iCs/>
                  </w:rPr>
                </m:ctrlPr>
              </m:sub>
            </m:sSub>
            <m:ctrlPr>
              <w:rPr>
                <w:rFonts w:ascii="Cambria Math" w:hAnsi="Cambria Math"/>
                <w:i/>
                <w:iCs/>
              </w:rPr>
            </m:ctrlPr>
          </m:sup>
        </m:sSup>
        <m:r>
          <m:rPr/>
          <w:rPr>
            <w:rFonts w:ascii="Cambria Math" w:hAnsi="Cambria Math"/>
          </w:rPr>
          <m:t>, B∈</m:t>
        </m:r>
        <m:sSup>
          <m:sSupPr>
            <m:ctrlPr>
              <w:rPr>
                <w:rFonts w:ascii="Cambria Math" w:hAnsi="Cambria Math"/>
                <w:i/>
                <w:iCs/>
              </w:rPr>
            </m:ctrlPr>
          </m:sSupPr>
          <m:e>
            <m:r>
              <m:rPr>
                <m:scr m:val="double-struck"/>
              </m:rPr>
              <w:rPr>
                <w:rFonts w:ascii="Cambria Math" w:hAnsi="Cambria Math"/>
              </w:rPr>
              <m:t>ℝ</m:t>
            </m:r>
            <m:ctrlPr>
              <w:rPr>
                <w:rFonts w:ascii="Cambria Math" w:hAnsi="Cambria Math"/>
                <w:i/>
                <w:iCs/>
              </w:rPr>
            </m:ctrlPr>
          </m:e>
          <m:sup>
            <m:sSub>
              <m:sSubPr>
                <m:ctrlPr>
                  <w:rPr>
                    <w:rFonts w:ascii="Cambria Math" w:hAnsi="Cambria Math"/>
                    <w:i/>
                    <w:iCs/>
                  </w:rPr>
                </m:ctrlPr>
              </m:sSubPr>
              <m:e>
                <m:r>
                  <m:rPr/>
                  <w:rPr>
                    <w:rFonts w:ascii="Cambria Math" w:hAnsi="Cambria Math"/>
                  </w:rPr>
                  <m:t>d</m:t>
                </m:r>
                <m:ctrlPr>
                  <w:rPr>
                    <w:rFonts w:ascii="Cambria Math" w:hAnsi="Cambria Math"/>
                    <w:i/>
                    <w:iCs/>
                  </w:rPr>
                </m:ctrlPr>
              </m:e>
              <m:sub>
                <m:r>
                  <m:rPr/>
                  <w:rPr>
                    <w:rFonts w:ascii="Cambria Math" w:hAnsi="Cambria Math"/>
                  </w:rPr>
                  <m:t>out</m:t>
                </m:r>
                <m:ctrlPr>
                  <w:rPr>
                    <w:rFonts w:ascii="Cambria Math" w:hAnsi="Cambria Math"/>
                    <w:i/>
                    <w:iCs/>
                  </w:rPr>
                </m:ctrlPr>
              </m:sub>
            </m:sSub>
            <m:r>
              <m:rPr/>
              <w:rPr>
                <w:rFonts w:ascii="Cambria Math" w:hAnsi="Cambria Math"/>
              </w:rPr>
              <m:t>×r</m:t>
            </m:r>
            <m:ctrlPr>
              <w:rPr>
                <w:rFonts w:ascii="Cambria Math" w:hAnsi="Cambria Math"/>
                <w:i/>
                <w:iCs/>
              </w:rPr>
            </m:ctrlPr>
          </m:sup>
        </m:sSup>
      </m:oMath>
      <w:r>
        <w:rPr>
          <w:rFonts w:hint="eastAsia"/>
          <w:iCs/>
        </w:rPr>
        <w:t>为可训练的参数，为控制初始扰动，引入缩放系数</w:t>
      </w:r>
      <m:oMath>
        <m:r>
          <m:rPr/>
          <w:rPr>
            <w:rFonts w:ascii="Cambria Math" w:hAnsi="Cambria Math"/>
          </w:rPr>
          <m:t>α</m:t>
        </m:r>
      </m:oMath>
      <w:r>
        <w:rPr>
          <w:rFonts w:hint="eastAsia"/>
          <w:iCs/>
        </w:rPr>
        <w:t>（经验上</w:t>
      </w:r>
      <m:oMath>
        <m:r>
          <m:rPr/>
          <w:rPr>
            <w:rFonts w:ascii="Cambria Math" w:hAnsi="Cambria Math"/>
          </w:rPr>
          <m:t>α=2r</m:t>
        </m:r>
      </m:oMath>
      <w:r>
        <w:rPr>
          <w:rFonts w:hint="eastAsia"/>
          <w:iCs/>
        </w:rPr>
        <w:t>或</w:t>
      </w:r>
      <m:oMath>
        <m:r>
          <m:rPr/>
          <w:rPr>
            <w:rFonts w:ascii="Cambria Math" w:hAnsi="Cambria Math"/>
          </w:rPr>
          <m:t>α=</m:t>
        </m:r>
        <m:r>
          <m:rPr/>
          <w:rPr>
            <w:rFonts w:hint="eastAsia" w:ascii="Cambria Math" w:hAnsi="Cambria Math"/>
          </w:rPr>
          <m:t>r</m:t>
        </m:r>
      </m:oMath>
      <w:r>
        <w:rPr>
          <w:rFonts w:hint="eastAsia"/>
          <w:iCs/>
        </w:rPr>
        <w:t>）：</w:t>
      </w:r>
    </w:p>
    <w:p w14:paraId="64484207">
      <w:pPr>
        <w:ind w:left="420" w:firstLine="0" w:firstLineChars="0"/>
      </w:pPr>
      <m:oMathPara>
        <m:oMath>
          <m:eqArr>
            <m:eqArrPr>
              <m:maxDist m:val="1"/>
              <m:ctrlPr>
                <w:rPr>
                  <w:rFonts w:ascii="Cambria Math" w:hAnsi="Cambria Math"/>
                  <w:i/>
                </w:rPr>
              </m:ctrlPr>
            </m:eqArrPr>
            <m:e>
              <m:r>
                <m:rPr/>
                <w:rPr>
                  <w:rFonts w:ascii="Cambria Math" w:hAnsi="Cambria Math"/>
                </w:rPr>
                <m:t>∆W=</m:t>
              </m:r>
              <m:f>
                <m:fPr>
                  <m:ctrlPr>
                    <w:rPr>
                      <w:rFonts w:ascii="Cambria Math" w:hAnsi="Cambria Math"/>
                      <w:i/>
                      <w:iCs/>
                    </w:rPr>
                  </m:ctrlPr>
                </m:fPr>
                <m:num>
                  <m:r>
                    <m:rPr/>
                    <w:rPr>
                      <w:rFonts w:ascii="Cambria Math" w:hAnsi="Cambria Math"/>
                    </w:rPr>
                    <m:t>α</m:t>
                  </m:r>
                  <m:ctrlPr>
                    <w:rPr>
                      <w:rFonts w:ascii="Cambria Math" w:hAnsi="Cambria Math"/>
                      <w:i/>
                      <w:iCs/>
                    </w:rPr>
                  </m:ctrlPr>
                </m:num>
                <m:den>
                  <m:r>
                    <m:rPr/>
                    <w:rPr>
                      <w:rFonts w:ascii="Cambria Math" w:hAnsi="Cambria Math"/>
                    </w:rPr>
                    <m:t>r</m:t>
                  </m:r>
                  <m:ctrlPr>
                    <w:rPr>
                      <w:rFonts w:ascii="Cambria Math" w:hAnsi="Cambria Math"/>
                      <w:i/>
                      <w:iCs/>
                    </w:rPr>
                  </m:ctrlPr>
                </m:den>
              </m:f>
              <m:r>
                <m:rPr/>
                <w:rPr>
                  <w:rFonts w:ascii="Cambria Math" w:hAnsi="Cambria Math"/>
                </w:rPr>
                <m:t>BA#</m:t>
              </m:r>
              <m:d>
                <m:dPr>
                  <m:ctrlPr>
                    <w:rPr>
                      <w:rFonts w:ascii="Cambria Math" w:hAnsi="Cambria Math"/>
                      <w:i/>
                    </w:rPr>
                  </m:ctrlPr>
                </m:dPr>
                <m:e>
                  <m:r>
                    <m:rPr/>
                    <w:rPr>
                      <w:rFonts w:ascii="Cambria Math" w:hAnsi="Cambria Math"/>
                    </w:rPr>
                    <m:t>2−14</m:t>
                  </m:r>
                  <m:ctrlPr>
                    <w:rPr>
                      <w:rFonts w:ascii="Cambria Math" w:hAnsi="Cambria Math"/>
                      <w:i/>
                    </w:rPr>
                  </m:ctrlPr>
                </m:e>
              </m:d>
              <m:ctrlPr>
                <w:rPr>
                  <w:rFonts w:ascii="Cambria Math" w:hAnsi="Cambria Math"/>
                  <w:i/>
                </w:rPr>
              </m:ctrlPr>
            </m:e>
          </m:eqArr>
        </m:oMath>
      </m:oMathPara>
    </w:p>
    <w:p w14:paraId="253E8FCA">
      <w:pPr>
        <w:ind w:firstLine="480"/>
      </w:pPr>
      <w:r>
        <w:rPr>
          <w:rFonts w:hint="eastAsia"/>
        </w:rPr>
        <w:t>由于</w:t>
      </w:r>
      <m:oMath>
        <m:r>
          <m:rPr/>
          <w:rPr>
            <w:rFonts w:ascii="Cambria Math" w:hAnsi="Cambria Math"/>
          </w:rPr>
          <m:t>r</m:t>
        </m:r>
      </m:oMath>
      <w:r>
        <w:rPr>
          <w:rFonts w:hint="eastAsia"/>
        </w:rPr>
        <w:t>一般比较小（比如</w:t>
      </w:r>
      <m:oMath>
        <m:r>
          <m:rPr/>
          <w:rPr>
            <w:rFonts w:ascii="Cambria Math" w:hAnsi="Cambria Math"/>
          </w:rPr>
          <m:t>r=8</m:t>
        </m:r>
      </m:oMath>
      <w:r>
        <w:rPr>
          <w:rFonts w:hint="eastAsia"/>
        </w:rPr>
        <w:t>），因此LoRA的额外参数量为：</w:t>
      </w:r>
    </w:p>
    <w:p w14:paraId="72FFCE0D">
      <w:pPr>
        <w:ind w:left="420" w:firstLine="0" w:firstLineChars="0"/>
      </w:pPr>
      <m:oMathPara>
        <m:oMath>
          <m:eqArr>
            <m:eqArrPr>
              <m:maxDist m:val="1"/>
              <m:ctrlPr>
                <w:rPr>
                  <w:rFonts w:ascii="Cambria Math" w:hAnsi="Cambria Math"/>
                  <w:i/>
                </w:rPr>
              </m:ctrlPr>
            </m:eqArrPr>
            <m:e>
              <m:r>
                <m:rPr/>
                <w:rPr>
                  <w:rFonts w:ascii="Cambria Math" w:hAnsi="Cambria Math"/>
                </w:rPr>
                <m:t>param</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LoRA</m:t>
                  </m:r>
                  <m:ctrlPr>
                    <w:rPr>
                      <w:rFonts w:ascii="Cambria Math" w:hAnsi="Cambria Math"/>
                      <w:i/>
                    </w:rPr>
                  </m:ctrlPr>
                </m:sub>
              </m:sSub>
              <m:r>
                <m:rPr/>
                <w:rPr>
                  <w:rFonts w:ascii="Cambria Math" w:hAnsi="Cambria Math"/>
                </w:rPr>
                <m:t>=r</m:t>
              </m:r>
              <m:d>
                <m:dPr>
                  <m:ctrlPr>
                    <w:rPr>
                      <w:rFonts w:ascii="Cambria Math" w:hAnsi="Cambria Math"/>
                      <w:i/>
                    </w:rPr>
                  </m:ctrlPr>
                </m:dPr>
                <m:e>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in</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out</m:t>
                      </m:r>
                      <m:ctrlPr>
                        <w:rPr>
                          <w:rFonts w:ascii="Cambria Math" w:hAnsi="Cambria Math"/>
                          <w:i/>
                        </w:rPr>
                      </m:ctrlPr>
                    </m:sub>
                  </m:sSub>
                  <m:ctrlPr>
                    <w:rPr>
                      <w:rFonts w:ascii="Cambria Math" w:hAnsi="Cambria Math"/>
                      <w:i/>
                    </w:rPr>
                  </m:ctrlPr>
                </m:e>
              </m:d>
              <m:r>
                <m:rPr/>
                <w:rPr>
                  <w:rFonts w:ascii="Cambria Math" w:hAnsi="Cambria Math"/>
                </w:rPr>
                <m:t>≪</m:t>
              </m:r>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in</m:t>
                  </m:r>
                  <m:ctrlPr>
                    <w:rPr>
                      <w:rFonts w:ascii="Cambria Math" w:hAnsi="Cambria Math"/>
                      <w:i/>
                    </w:rPr>
                  </m:ctrlPr>
                </m:sub>
              </m:sSub>
              <m:sSub>
                <m:sSubPr>
                  <m:ctrlPr>
                    <w:rPr>
                      <w:rFonts w:ascii="Cambria Math" w:hAnsi="Cambria Math"/>
                      <w:i/>
                    </w:rPr>
                  </m:ctrlPr>
                </m:sSubPr>
                <m:e>
                  <m:r>
                    <m:rPr/>
                    <w:rPr>
                      <w:rFonts w:ascii="Cambria Math" w:hAnsi="Cambria Math"/>
                    </w:rPr>
                    <m:t>d</m:t>
                  </m:r>
                  <m:ctrlPr>
                    <w:rPr>
                      <w:rFonts w:ascii="Cambria Math" w:hAnsi="Cambria Math"/>
                      <w:i/>
                    </w:rPr>
                  </m:ctrlPr>
                </m:e>
                <m:sub>
                  <m:r>
                    <m:rPr/>
                    <w:rPr>
                      <w:rFonts w:ascii="Cambria Math" w:hAnsi="Cambria Math"/>
                    </w:rPr>
                    <m:t>out</m:t>
                  </m:r>
                  <m:ctrlPr>
                    <w:rPr>
                      <w:rFonts w:ascii="Cambria Math" w:hAnsi="Cambria Math"/>
                      <w:i/>
                    </w:rPr>
                  </m:ctrlPr>
                </m:sub>
              </m:sSub>
              <m:r>
                <m:rPr/>
                <w:rPr>
                  <w:rFonts w:ascii="Cambria Math" w:hAnsi="Cambria Math"/>
                </w:rPr>
                <m:t>=param</m:t>
              </m:r>
              <m:sSub>
                <m:sSubPr>
                  <m:ctrlPr>
                    <w:rPr>
                      <w:rFonts w:ascii="Cambria Math" w:hAnsi="Cambria Math"/>
                      <w:i/>
                    </w:rPr>
                  </m:ctrlPr>
                </m:sSubPr>
                <m:e>
                  <m:r>
                    <m:rPr/>
                    <w:rPr>
                      <w:rFonts w:ascii="Cambria Math" w:hAnsi="Cambria Math"/>
                    </w:rPr>
                    <m:t>s</m:t>
                  </m:r>
                  <m:ctrlPr>
                    <w:rPr>
                      <w:rFonts w:ascii="Cambria Math" w:hAnsi="Cambria Math"/>
                      <w:i/>
                    </w:rPr>
                  </m:ctrlPr>
                </m:e>
                <m:sub>
                  <m:r>
                    <m:rPr/>
                    <w:rPr>
                      <w:rFonts w:ascii="Cambria Math" w:hAnsi="Cambria Math"/>
                    </w:rPr>
                    <m:t>full</m:t>
                  </m:r>
                  <m:ctrlPr>
                    <w:rPr>
                      <w:rFonts w:ascii="Cambria Math" w:hAnsi="Cambria Math"/>
                      <w:i/>
                    </w:rPr>
                  </m:ctrlPr>
                </m:sub>
              </m:sSub>
              <m:r>
                <m:rPr/>
                <w:rPr>
                  <w:rFonts w:ascii="Cambria Math" w:hAnsi="Cambria Math"/>
                </w:rPr>
                <m:t>#</m:t>
              </m:r>
              <m:d>
                <m:dPr>
                  <m:ctrlPr>
                    <w:rPr>
                      <w:rFonts w:ascii="Cambria Math" w:hAnsi="Cambria Math"/>
                      <w:i/>
                    </w:rPr>
                  </m:ctrlPr>
                </m:dPr>
                <m:e>
                  <m:r>
                    <m:rPr/>
                    <w:rPr>
                      <w:rFonts w:ascii="Cambria Math" w:hAnsi="Cambria Math"/>
                    </w:rPr>
                    <m:t>2−15</m:t>
                  </m:r>
                  <m:ctrlPr>
                    <w:rPr>
                      <w:rFonts w:ascii="Cambria Math" w:hAnsi="Cambria Math"/>
                      <w:i/>
                    </w:rPr>
                  </m:ctrlPr>
                </m:e>
              </m:d>
              <m:ctrlPr>
                <w:rPr>
                  <w:rFonts w:ascii="Cambria Math" w:hAnsi="Cambria Math"/>
                  <w:i/>
                </w:rPr>
              </m:ctrlPr>
            </m:e>
          </m:eqArr>
        </m:oMath>
      </m:oMathPara>
    </w:p>
    <w:p w14:paraId="65F8F4B7">
      <w:pPr>
        <w:ind w:firstLine="480"/>
        <w:rPr>
          <w:iCs/>
        </w:rPr>
      </w:pPr>
      <w:r>
        <w:rPr>
          <w:rFonts w:hint="eastAsia"/>
          <w:iCs/>
        </w:rPr>
        <w:t>对每个自注意力头的</w:t>
      </w:r>
      <m:oMath>
        <m:r>
          <m:rPr/>
          <w:rPr>
            <w:rFonts w:ascii="Cambria Math" w:hAnsi="Cambria Math"/>
          </w:rPr>
          <m:t>Q,K,V,O</m:t>
        </m:r>
      </m:oMath>
      <w:r>
        <w:rPr>
          <w:rFonts w:hint="eastAsia"/>
          <w:iCs/>
        </w:rPr>
        <w:t>投影分别插入一对</w:t>
      </w:r>
      <m:oMath>
        <m:r>
          <m:rPr/>
          <w:rPr>
            <w:rFonts w:ascii="Cambria Math" w:hAnsi="Cambria Math"/>
          </w:rPr>
          <m:t>(A,B)</m:t>
        </m:r>
      </m:oMath>
      <w:r>
        <w:rPr>
          <w:rFonts w:hint="eastAsia"/>
          <w:iCs/>
        </w:rPr>
        <w:t>后，推理阶段可将</w:t>
      </w:r>
      <m:oMath>
        <m:sSub>
          <m:sSubPr>
            <m:ctrlPr>
              <w:rPr>
                <w:rFonts w:ascii="Cambria Math" w:hAnsi="Cambria Math"/>
                <w:i/>
                <w:iCs/>
              </w:rPr>
            </m:ctrlPr>
          </m:sSubPr>
          <m:e>
            <m:r>
              <m:rPr/>
              <w:rPr>
                <w:rFonts w:hint="eastAsia" w:ascii="Cambria Math" w:hAnsi="Cambria Math"/>
              </w:rPr>
              <m:t>W</m:t>
            </m:r>
            <m:ctrlPr>
              <w:rPr>
                <w:rFonts w:hint="eastAsia" w:ascii="Cambria Math" w:hAnsi="Cambria Math"/>
                <w:i/>
                <w:iCs/>
              </w:rPr>
            </m:ctrlPr>
          </m:e>
          <m:sub>
            <m:r>
              <m:rPr/>
              <w:rPr>
                <w:rFonts w:ascii="Cambria Math" w:hAnsi="Cambria Math"/>
              </w:rPr>
              <m:t>0</m:t>
            </m:r>
            <m:ctrlPr>
              <w:rPr>
                <w:rFonts w:ascii="Cambria Math" w:hAnsi="Cambria Math"/>
                <w:i/>
                <w:iCs/>
              </w:rPr>
            </m:ctrlPr>
          </m:sub>
        </m:sSub>
        <m:r>
          <m:rPr/>
          <w:rPr>
            <w:rFonts w:ascii="Cambria Math" w:hAnsi="Cambria Math"/>
          </w:rPr>
          <m:t>+∆W</m:t>
        </m:r>
      </m:oMath>
      <w:r>
        <w:rPr>
          <w:rFonts w:hint="eastAsia"/>
          <w:iCs/>
        </w:rPr>
        <w:t>合并并重新量化，由此不增加任何前向延迟。</w:t>
      </w:r>
    </w:p>
    <w:p w14:paraId="41B6CA9D">
      <w:pPr>
        <w:ind w:firstLine="420" w:firstLineChars="0"/>
        <w:rPr>
          <w:iCs/>
        </w:rPr>
      </w:pPr>
      <w:r>
        <w:rPr>
          <w:iCs/>
        </w:rPr>
        <w:t>与其他</w:t>
      </w:r>
      <w:r>
        <w:rPr>
          <w:rFonts w:hint="eastAsia"/>
          <w:iCs/>
        </w:rPr>
        <w:t>参数高效微调</w:t>
      </w:r>
      <w:r>
        <w:rPr>
          <w:iCs/>
        </w:rPr>
        <w:t>方法比较：Prompt</w:t>
      </w:r>
      <w:r>
        <w:rPr>
          <w:rFonts w:ascii="Cambria Math" w:hAnsi="Cambria Math" w:cs="Cambria Math"/>
          <w:iCs/>
        </w:rPr>
        <w:t>‑</w:t>
      </w:r>
      <w:r>
        <w:rPr>
          <w:iCs/>
        </w:rPr>
        <w:t>Tuning需额外输入token</w:t>
      </w:r>
      <w:r>
        <w:rPr>
          <w:rFonts w:hint="eastAsia"/>
          <w:iCs/>
        </w:rPr>
        <w:t>，</w:t>
      </w:r>
      <w:r>
        <w:rPr>
          <w:iCs/>
        </w:rPr>
        <w:t>推理时长度受限；Adapter在推理时插入新层，增加延迟；而LoRA同时最省参数、最省时延，更契合</w:t>
      </w:r>
      <w:r>
        <w:rPr>
          <w:rFonts w:hint="eastAsia"/>
          <w:iCs/>
        </w:rPr>
        <w:t>高效</w:t>
      </w:r>
      <w:r>
        <w:rPr>
          <w:iCs/>
        </w:rPr>
        <w:t>检测场景。LoRA</w:t>
      </w:r>
      <w:r>
        <w:rPr>
          <w:rFonts w:hint="eastAsia"/>
          <w:iCs/>
        </w:rPr>
        <w:t>结构如图2-</w:t>
      </w:r>
      <w:r>
        <w:rPr>
          <w:iCs/>
        </w:rPr>
        <w:t>3</w:t>
      </w:r>
      <w:r>
        <w:rPr>
          <w:rFonts w:hint="eastAsia"/>
          <w:iCs/>
        </w:rPr>
        <w:t>所示。</w:t>
      </w:r>
    </w:p>
    <w:p w14:paraId="5D2A5783">
      <w:pPr>
        <w:ind w:firstLine="0" w:firstLineChars="0"/>
        <w:jc w:val="center"/>
        <w:rPr>
          <w:iCs/>
        </w:rPr>
      </w:pPr>
      <w:r>
        <w:rPr>
          <w:rFonts w:hint="eastAsia"/>
          <w:iCs/>
        </w:rPr>
        <w:drawing>
          <wp:inline distT="0" distB="0" distL="0" distR="0">
            <wp:extent cx="3623945" cy="3370580"/>
            <wp:effectExtent l="0" t="0" r="0" b="0"/>
            <wp:docPr id="171096583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65832" name="图片 4"/>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650848" cy="3396110"/>
                    </a:xfrm>
                    <a:prstGeom prst="rect">
                      <a:avLst/>
                    </a:prstGeom>
                  </pic:spPr>
                </pic:pic>
              </a:graphicData>
            </a:graphic>
          </wp:inline>
        </w:drawing>
      </w:r>
    </w:p>
    <w:p w14:paraId="50DA1F5E">
      <w:pPr>
        <w:ind w:firstLine="0" w:firstLineChars="0"/>
        <w:jc w:val="center"/>
        <w:rPr>
          <w:iCs/>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2-</w:t>
      </w:r>
      <w:r>
        <w:rPr>
          <w:iCs/>
          <w:color w:val="000000" w:themeColor="text1"/>
          <w:sz w:val="21"/>
          <w:szCs w:val="21"/>
          <w14:textFill>
            <w14:solidFill>
              <w14:schemeClr w14:val="tx1"/>
            </w14:solidFill>
          </w14:textFill>
        </w:rPr>
        <w:t>3</w:t>
      </w:r>
      <w:r>
        <w:rPr>
          <w:rFonts w:hint="eastAsia"/>
          <w:iCs/>
          <w:color w:val="000000" w:themeColor="text1"/>
          <w:sz w:val="21"/>
          <w:szCs w:val="21"/>
          <w14:textFill>
            <w14:solidFill>
              <w14:schemeClr w14:val="tx1"/>
            </w14:solidFill>
          </w14:textFill>
        </w:rPr>
        <w:t xml:space="preserve">  </w:t>
      </w:r>
      <w:r>
        <w:rPr>
          <w:rFonts w:eastAsia="楷体" w:cs="Times New Roman"/>
          <w:iCs/>
          <w:color w:val="000000" w:themeColor="text1"/>
          <w:sz w:val="21"/>
          <w:szCs w:val="21"/>
          <w14:textFill>
            <w14:solidFill>
              <w14:schemeClr w14:val="tx1"/>
            </w14:solidFill>
          </w14:textFill>
        </w:rPr>
        <w:t>LoRA</w:t>
      </w:r>
      <w:r>
        <w:rPr>
          <w:rFonts w:hint="eastAsia" w:ascii="楷体" w:hAnsi="楷体" w:eastAsia="楷体"/>
          <w:iCs/>
          <w:color w:val="000000" w:themeColor="text1"/>
          <w:sz w:val="21"/>
          <w:szCs w:val="21"/>
          <w14:textFill>
            <w14:solidFill>
              <w14:schemeClr w14:val="tx1"/>
            </w14:solidFill>
          </w14:textFill>
        </w:rPr>
        <w:t>结构图</w:t>
      </w:r>
    </w:p>
    <w:p w14:paraId="4B8C9D0E">
      <w:pPr>
        <w:pStyle w:val="3"/>
        <w:spacing w:before="240" w:after="240"/>
        <w:ind w:firstLine="0" w:firstLineChars="0"/>
      </w:pPr>
      <w:bookmarkStart w:id="24" w:name="_Toc197274521"/>
      <w:r>
        <w:rPr>
          <w:rFonts w:hint="eastAsia"/>
        </w:rPr>
        <w:t>2.4 指令微调</w:t>
      </w:r>
      <w:bookmarkEnd w:id="24"/>
    </w:p>
    <w:p w14:paraId="03A67C36">
      <w:pPr>
        <w:ind w:firstLine="480"/>
      </w:pPr>
      <w:r>
        <w:rPr>
          <w:rFonts w:hint="eastAsia"/>
        </w:rPr>
        <w:t>指令微调</w:t>
      </w:r>
      <w:r>
        <w:t>(Instruction Tuning)</w:t>
      </w:r>
      <w:r>
        <w:rPr>
          <w:rFonts w:hint="eastAsia"/>
        </w:rPr>
        <w:t xml:space="preserve"> 旨在将预训练LLM的泛化能力对齐到“遵循任意自然语言指令—输出合理回答”这一范式。其典型训练目标函数为有监督微调</w:t>
      </w:r>
      <w:r>
        <w:t>(Supervised Fine-Tuning, SFT)</w:t>
      </w:r>
      <w:r>
        <w:rPr>
          <w:rFonts w:hint="eastAsia"/>
        </w:rPr>
        <w:t>损失：</w:t>
      </w:r>
    </w:p>
    <w:p w14:paraId="48194603">
      <w:pPr>
        <w:ind w:firstLine="480"/>
      </w:pPr>
      <m:oMathPara>
        <m:oMath>
          <m:eqArr>
            <m:eqArrPr>
              <m:maxDist m:val="1"/>
              <m:ctrlPr>
                <w:rPr>
                  <w:rFonts w:ascii="Cambria Math" w:hAnsi="Cambria Math"/>
                  <w:i/>
                </w:rPr>
              </m:ctrlPr>
            </m:eqArrPr>
            <m:e>
              <m:sSub>
                <m:sSubPr>
                  <m:ctrlPr>
                    <w:rPr>
                      <w:rFonts w:ascii="Cambria Math" w:hAnsi="Cambria Math"/>
                      <w:i/>
                    </w:rPr>
                  </m:ctrlPr>
                </m:sSubPr>
                <m:e>
                  <m:r>
                    <m:rPr>
                      <m:scr m:val="script"/>
                    </m:rPr>
                    <w:rPr>
                      <w:rFonts w:ascii="Cambria Math" w:hAnsi="Cambria Math"/>
                    </w:rPr>
                    <m:t>ℒ</m:t>
                  </m:r>
                  <m:ctrlPr>
                    <w:rPr>
                      <w:rFonts w:ascii="Cambria Math" w:hAnsi="Cambria Math"/>
                      <w:i/>
                    </w:rPr>
                  </m:ctrlPr>
                </m:e>
                <m:sub>
                  <m:r>
                    <m:rPr/>
                    <w:rPr>
                      <w:rFonts w:ascii="Cambria Math" w:hAnsi="Cambria Math"/>
                    </w:rPr>
                    <m:t>SFT</m:t>
                  </m:r>
                  <m:ctrlPr>
                    <w:rPr>
                      <w:rFonts w:ascii="Cambria Math" w:hAnsi="Cambria Math"/>
                      <w:i/>
                    </w:rPr>
                  </m:ctrlPr>
                </m:sub>
              </m:sSub>
              <m:r>
                <m:rPr/>
                <w:rPr>
                  <w:rFonts w:ascii="Cambria Math" w:hAnsi="Cambria Math"/>
                </w:rPr>
                <m:t>=−</m:t>
              </m:r>
              <m:nary>
                <m:naryPr>
                  <m:chr m:val="∑"/>
                  <m:limLoc m:val="undOvr"/>
                  <m:supHide m:val="1"/>
                  <m:ctrlPr>
                    <w:rPr>
                      <w:rFonts w:ascii="Cambria Math" w:hAnsi="Cambria Math"/>
                      <w:i/>
                    </w:rPr>
                  </m:ctrlPr>
                </m:naryPr>
                <m:sub>
                  <m:d>
                    <m:dPr>
                      <m:ctrlPr>
                        <w:rPr>
                          <w:rFonts w:ascii="Cambria Math" w:hAnsi="Cambria Math"/>
                          <w:i/>
                        </w:rPr>
                      </m:ctrlPr>
                    </m:dPr>
                    <m:e>
                      <m:r>
                        <m:rPr/>
                        <w:rPr>
                          <w:rFonts w:ascii="Cambria Math" w:hAnsi="Cambria Math"/>
                        </w:rPr>
                        <m:t>x,I,y</m:t>
                      </m:r>
                      <m:ctrlPr>
                        <w:rPr>
                          <w:rFonts w:ascii="Cambria Math" w:hAnsi="Cambria Math"/>
                          <w:i/>
                        </w:rPr>
                      </m:ctrlPr>
                    </m:e>
                  </m:d>
                  <m:r>
                    <m:rPr>
                      <m:scr m:val="script"/>
                    </m:rPr>
                    <w:rPr>
                      <w:rFonts w:ascii="Cambria Math" w:hAnsi="Cambria Math"/>
                    </w:rPr>
                    <m:t>∈D</m:t>
                  </m:r>
                  <m:ctrlPr>
                    <w:rPr>
                      <w:rFonts w:ascii="Cambria Math" w:hAnsi="Cambria Math"/>
                      <w:i/>
                    </w:rPr>
                  </m:ctrlPr>
                </m:sub>
                <m:sup>
                  <m:ctrlPr>
                    <w:rPr>
                      <w:rFonts w:ascii="Cambria Math" w:hAnsi="Cambria Math"/>
                      <w:i/>
                    </w:rPr>
                  </m:ctrlPr>
                </m:sup>
                <m:e>
                  <m:func>
                    <m:funcPr>
                      <m:ctrlPr>
                        <w:rPr>
                          <w:rFonts w:ascii="Cambria Math" w:hAnsi="Cambria Math"/>
                          <w:i/>
                        </w:rPr>
                      </m:ctrlPr>
                    </m:funcPr>
                    <m:fName>
                      <m:r>
                        <m:rPr>
                          <m:sty m:val="p"/>
                        </m:rPr>
                        <w:rPr>
                          <w:rFonts w:ascii="Cambria Math" w:hAnsi="Cambria Math"/>
                        </w:rPr>
                        <m:t>log</m:t>
                      </m:r>
                      <m:ctrlPr>
                        <w:rPr>
                          <w:rFonts w:ascii="Cambria Math" w:hAnsi="Cambria Math"/>
                          <w:i/>
                        </w:rPr>
                      </m:ctrlPr>
                    </m:fName>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θ</m:t>
                          </m:r>
                          <m:ctrlPr>
                            <w:rPr>
                              <w:rFonts w:ascii="Cambria Math" w:hAnsi="Cambria Math"/>
                              <w:i/>
                            </w:rPr>
                          </m:ctrlPr>
                        </m:sub>
                      </m:sSub>
                      <m:d>
                        <m:dPr>
                          <m:ctrlPr>
                            <w:rPr>
                              <w:rFonts w:ascii="Cambria Math" w:hAnsi="Cambria Math"/>
                              <w:i/>
                            </w:rPr>
                          </m:ctrlPr>
                        </m:dPr>
                        <m:e>
                          <m:r>
                            <m:rPr/>
                            <w:rPr>
                              <w:rFonts w:ascii="Cambria Math" w:hAnsi="Cambria Math"/>
                            </w:rPr>
                            <m:t>y</m:t>
                          </m:r>
                          <m:ctrlPr>
                            <w:rPr>
                              <w:rFonts w:ascii="Cambria Math" w:hAnsi="Cambria Math"/>
                              <w:i/>
                            </w:rPr>
                          </m:ctrlPr>
                        </m:e>
                        <m:e>
                          <m:r>
                            <m:rPr/>
                            <w:rPr>
                              <w:rFonts w:ascii="Cambria Math" w:hAnsi="Cambria Math"/>
                            </w:rPr>
                            <m:t>x,I</m:t>
                          </m:r>
                          <m:ctrlPr>
                            <w:rPr>
                              <w:rFonts w:ascii="Cambria Math" w:hAnsi="Cambria Math"/>
                              <w:i/>
                            </w:rPr>
                          </m:ctrlPr>
                        </m:e>
                      </m:d>
                      <m:ctrlPr>
                        <w:rPr>
                          <w:rFonts w:ascii="Cambria Math" w:hAnsi="Cambria Math"/>
                          <w:i/>
                        </w:rPr>
                      </m:ctrlPr>
                    </m:e>
                  </m:func>
                  <m:ctrlPr>
                    <w:rPr>
                      <w:rFonts w:ascii="Cambria Math" w:hAnsi="Cambria Math"/>
                      <w:i/>
                    </w:rPr>
                  </m:ctrlPr>
                </m:e>
              </m:nary>
              <m:r>
                <m:rPr/>
                <w:rPr>
                  <w:rFonts w:ascii="Cambria Math" w:hAnsi="Cambria Math"/>
                </w:rPr>
                <m:t>#</m:t>
              </m:r>
              <m:d>
                <m:dPr>
                  <m:ctrlPr>
                    <w:rPr>
                      <w:rFonts w:ascii="Cambria Math" w:hAnsi="Cambria Math"/>
                      <w:i/>
                    </w:rPr>
                  </m:ctrlPr>
                </m:dPr>
                <m:e>
                  <m:r>
                    <m:rPr/>
                    <w:rPr>
                      <w:rFonts w:ascii="Cambria Math" w:hAnsi="Cambria Math"/>
                    </w:rPr>
                    <m:t>2−16</m:t>
                  </m:r>
                  <m:ctrlPr>
                    <w:rPr>
                      <w:rFonts w:ascii="Cambria Math" w:hAnsi="Cambria Math"/>
                      <w:i/>
                    </w:rPr>
                  </m:ctrlPr>
                </m:e>
              </m:d>
              <m:ctrlPr>
                <w:rPr>
                  <w:rFonts w:ascii="Cambria Math" w:hAnsi="Cambria Math"/>
                  <w:i/>
                </w:rPr>
              </m:ctrlPr>
            </m:e>
          </m:eqArr>
        </m:oMath>
      </m:oMathPara>
    </w:p>
    <w:p w14:paraId="5DD4094B">
      <w:pPr>
        <w:ind w:firstLine="0" w:firstLineChars="0"/>
      </w:pPr>
      <w:r>
        <w:rPr>
          <w:rFonts w:hint="eastAsia"/>
        </w:rPr>
        <w:t>其中，</w:t>
      </w:r>
      <m:oMath>
        <m:r>
          <m:rPr/>
          <w:rPr>
            <w:rFonts w:ascii="Cambria Math" w:hAnsi="Cambria Math"/>
          </w:rPr>
          <m:t>I</m:t>
        </m:r>
      </m:oMath>
      <w:r>
        <w:rPr>
          <w:rFonts w:hint="eastAsia"/>
        </w:rPr>
        <w:t>为自然语言指令</w:t>
      </w:r>
      <w:r>
        <w:t>(Instruction)</w:t>
      </w:r>
      <w:r>
        <w:rPr>
          <w:rFonts w:hint="eastAsia"/>
        </w:rPr>
        <w:t>，</w:t>
      </w:r>
      <m:oMath>
        <m:r>
          <m:rPr/>
          <w:rPr>
            <w:rFonts w:ascii="Cambria Math" w:hAnsi="Cambria Math"/>
          </w:rPr>
          <m:t>x</m:t>
        </m:r>
      </m:oMath>
      <w:r>
        <w:rPr>
          <w:rFonts w:hint="eastAsia"/>
        </w:rPr>
        <w:t>为上下文，</w:t>
      </w:r>
      <m:oMath>
        <m:r>
          <m:rPr/>
          <w:rPr>
            <w:rFonts w:ascii="Cambria Math" w:hAnsi="Cambria Math"/>
          </w:rPr>
          <m:t>y</m:t>
        </m:r>
      </m:oMath>
      <w:r>
        <w:rPr>
          <w:rFonts w:hint="eastAsia"/>
        </w:rPr>
        <w:t>为参考答案，</w:t>
      </w:r>
      <m:oMath>
        <m:r>
          <m:rPr/>
          <w:rPr>
            <w:rFonts w:ascii="Cambria Math" w:hAnsi="Cambria Math"/>
          </w:rPr>
          <m:t>θ</m:t>
        </m:r>
      </m:oMath>
      <w:r>
        <w:rPr>
          <w:rFonts w:hint="eastAsia"/>
        </w:rPr>
        <w:t>为待微调参数。在训练阶段，将自然语言指令连同上下文作为输入，显式引导模型生成符合指令要求的输出。相比传统的纯上下文建模，指令微调让模型学习到如何理解和执行人类的显式意图，从而实现更好的对齐</w:t>
      </w:r>
      <w:r>
        <w:t>(</w:t>
      </w:r>
      <w:r>
        <w:rPr>
          <w:rFonts w:hint="eastAsia"/>
        </w:rPr>
        <w:t>alignment</w:t>
      </w:r>
      <w:r>
        <w:t>)</w:t>
      </w:r>
      <w:r>
        <w:rPr>
          <w:rFonts w:hint="eastAsia"/>
        </w:rPr>
        <w:t>。在实际应用中，通过在微调时注入明确的Instruction，可以有效增强模型的指令遵循能力和输出稳定性，尤其在特定任务或领域适配中具有显著优势。</w:t>
      </w:r>
    </w:p>
    <w:p w14:paraId="09164B28">
      <w:pPr>
        <w:ind w:firstLine="480"/>
      </w:pPr>
      <w:r>
        <w:rPr>
          <w:rFonts w:hint="eastAsia"/>
        </w:rPr>
        <w:t>为提升指令理解与泛化能力，Google的FLAN系列</w:t>
      </w:r>
      <w:r>
        <w:t>(Fine-tuned L</w:t>
      </w:r>
      <w:r>
        <w:rPr>
          <w:rFonts w:hint="eastAsia"/>
        </w:rPr>
        <w:t>A</w:t>
      </w:r>
      <w:r>
        <w:t>nguage Net)</w:t>
      </w:r>
      <w:r>
        <w:rPr>
          <w:rFonts w:hint="eastAsia"/>
        </w:rPr>
        <w:t>集成了100+任务模板进行SFT微调，而且即便在较小模型规模下也能大幅提高指令遵循性。InstructGPT和后续的ChatGPT系列则在SFT阶段进一步引入基于人类反馈强化学习的方法优化策略，使输出更加符合人类偏好。</w:t>
      </w:r>
      <w:r>
        <w:t>RLHF</w:t>
      </w:r>
      <w:r>
        <w:rPr>
          <w:rFonts w:hint="eastAsia"/>
        </w:rPr>
        <w:t>的优化目标为：</w:t>
      </w:r>
    </w:p>
    <w:p w14:paraId="7ED6EF7D">
      <w:pPr>
        <w:ind w:firstLine="480"/>
        <w:rPr>
          <w:iCs/>
        </w:rPr>
      </w:pPr>
      <m:oMathPara>
        <m:oMath>
          <m:eqArr>
            <m:eqArrPr>
              <m:maxDist m:val="1"/>
              <m:ctrlPr>
                <w:rPr>
                  <w:rFonts w:ascii="Cambria Math" w:hAnsi="Cambria Math"/>
                  <w:i/>
                  <w:iCs/>
                </w:rPr>
              </m:ctrlPr>
            </m:eqArrPr>
            <m:e>
              <m:sSub>
                <m:sSubPr>
                  <m:ctrlPr>
                    <w:rPr>
                      <w:rFonts w:ascii="Cambria Math" w:hAnsi="Cambria Math"/>
                      <w:i/>
                      <w:iCs/>
                    </w:rPr>
                  </m:ctrlPr>
                </m:sSubPr>
                <m:e>
                  <m:func>
                    <m:funcPr>
                      <m:ctrlPr>
                        <w:rPr>
                          <w:rFonts w:ascii="Cambria Math" w:hAnsi="Cambria Math"/>
                          <w:i/>
                          <w:iCs/>
                        </w:rPr>
                      </m:ctrlPr>
                    </m:funcPr>
                    <m:fName>
                      <m:limLow>
                        <m:limLowPr>
                          <m:ctrlPr>
                            <w:rPr>
                              <w:rFonts w:ascii="Cambria Math" w:hAnsi="Cambria Math"/>
                              <w:i/>
                              <w:iCs/>
                            </w:rPr>
                          </m:ctrlPr>
                        </m:limLowPr>
                        <m:e>
                          <m:r>
                            <m:rPr>
                              <m:sty m:val="p"/>
                            </m:rPr>
                            <w:rPr>
                              <w:rFonts w:ascii="Cambria Math" w:hAnsi="Cambria Math"/>
                            </w:rPr>
                            <m:t>max</m:t>
                          </m:r>
                          <m:ctrlPr>
                            <w:rPr>
                              <w:rFonts w:ascii="Cambria Math" w:hAnsi="Cambria Math"/>
                              <w:iCs/>
                            </w:rPr>
                          </m:ctrlPr>
                        </m:e>
                        <m:lim>
                          <m:r>
                            <m:rPr/>
                            <w:rPr>
                              <w:rFonts w:ascii="Cambria Math" w:hAnsi="Cambria Math"/>
                            </w:rPr>
                            <m:t>θ</m:t>
                          </m:r>
                          <m:ctrlPr>
                            <w:rPr>
                              <w:rFonts w:ascii="Cambria Math" w:hAnsi="Cambria Math"/>
                              <w:iCs/>
                            </w:rPr>
                          </m:ctrlPr>
                        </m:lim>
                      </m:limLow>
                      <m:ctrlPr>
                        <w:rPr>
                          <w:rFonts w:ascii="Cambria Math" w:hAnsi="Cambria Math"/>
                          <w:i/>
                          <w:iCs/>
                        </w:rPr>
                      </m:ctrlPr>
                    </m:fName>
                    <m:e>
                      <m:r>
                        <m:rPr>
                          <m:scr m:val="double-struck"/>
                        </m:rPr>
                        <w:rPr>
                          <w:rFonts w:ascii="Cambria Math" w:hAnsi="Cambria Math"/>
                        </w:rPr>
                        <m:t>E</m:t>
                      </m:r>
                      <m:ctrlPr>
                        <w:rPr>
                          <w:rFonts w:ascii="Cambria Math" w:hAnsi="Cambria Math"/>
                          <w:i/>
                          <w:iCs/>
                        </w:rPr>
                      </m:ctrlPr>
                    </m:e>
                  </m:func>
                  <m:ctrlPr>
                    <w:rPr>
                      <w:rFonts w:ascii="Cambria Math" w:hAnsi="Cambria Math"/>
                      <w:i/>
                      <w:iCs/>
                    </w:rPr>
                  </m:ctrlPr>
                </m:e>
                <m:sub>
                  <m:r>
                    <m:rPr/>
                    <w:rPr>
                      <w:rFonts w:ascii="Cambria Math" w:hAnsi="Cambria Math"/>
                    </w:rPr>
                    <m:t>a~</m:t>
                  </m:r>
                  <m:sSub>
                    <m:sSubPr>
                      <m:ctrlPr>
                        <w:rPr>
                          <w:rFonts w:ascii="Cambria Math" w:hAnsi="Cambria Math"/>
                          <w:i/>
                          <w:iCs/>
                        </w:rPr>
                      </m:ctrlPr>
                    </m:sSubPr>
                    <m:e>
                      <m:r>
                        <m:rPr/>
                        <w:rPr>
                          <w:rFonts w:ascii="Cambria Math" w:hAnsi="Cambria Math"/>
                        </w:rPr>
                        <m:t>π</m:t>
                      </m:r>
                      <m:ctrlPr>
                        <w:rPr>
                          <w:rFonts w:ascii="Cambria Math" w:hAnsi="Cambria Math"/>
                          <w:i/>
                          <w:iCs/>
                        </w:rPr>
                      </m:ctrlPr>
                    </m:e>
                    <m:sub>
                      <m:r>
                        <m:rPr/>
                        <w:rPr>
                          <w:rFonts w:ascii="Cambria Math" w:hAnsi="Cambria Math"/>
                        </w:rPr>
                        <m:t>θ</m:t>
                      </m:r>
                      <m:ctrlPr>
                        <w:rPr>
                          <w:rFonts w:ascii="Cambria Math" w:hAnsi="Cambria Math"/>
                          <w:i/>
                          <w:iCs/>
                        </w:rPr>
                      </m:ctrlPr>
                    </m:sub>
                  </m:sSub>
                  <m:ctrlPr>
                    <w:rPr>
                      <w:rFonts w:ascii="Cambria Math" w:hAnsi="Cambria Math"/>
                      <w:i/>
                      <w:iCs/>
                    </w:rPr>
                  </m:ctrlPr>
                </m:sub>
              </m:sSub>
              <m:d>
                <m:dPr>
                  <m:begChr m:val="["/>
                  <m:endChr m:val="]"/>
                  <m:ctrlPr>
                    <w:rPr>
                      <w:rFonts w:ascii="Cambria Math" w:hAnsi="Cambria Math"/>
                      <w:i/>
                      <w:iCs/>
                    </w:rPr>
                  </m:ctrlPr>
                </m:dPr>
                <m:e>
                  <m:sSub>
                    <m:sSubPr>
                      <m:ctrlPr>
                        <w:rPr>
                          <w:rFonts w:ascii="Cambria Math" w:hAnsi="Cambria Math"/>
                          <w:i/>
                          <w:iCs/>
                        </w:rPr>
                      </m:ctrlPr>
                    </m:sSubPr>
                    <m:e>
                      <m:r>
                        <m:rPr/>
                        <w:rPr>
                          <w:rFonts w:ascii="Cambria Math" w:hAnsi="Cambria Math"/>
                        </w:rPr>
                        <m:t>r</m:t>
                      </m:r>
                      <m:ctrlPr>
                        <w:rPr>
                          <w:rFonts w:ascii="Cambria Math" w:hAnsi="Cambria Math"/>
                          <w:i/>
                          <w:iCs/>
                        </w:rPr>
                      </m:ctrlPr>
                    </m:e>
                    <m:sub>
                      <m:r>
                        <m:rPr/>
                        <w:rPr>
                          <w:rFonts w:ascii="Cambria Math" w:hAnsi="Cambria Math"/>
                        </w:rPr>
                        <m:t>ϕ</m:t>
                      </m:r>
                      <m:ctrlPr>
                        <w:rPr>
                          <w:rFonts w:ascii="Cambria Math" w:hAnsi="Cambria Math"/>
                          <w:i/>
                          <w:iCs/>
                        </w:rPr>
                      </m:ctrlPr>
                    </m:sub>
                  </m:sSub>
                  <m:d>
                    <m:dPr>
                      <m:ctrlPr>
                        <w:rPr>
                          <w:rFonts w:ascii="Cambria Math" w:hAnsi="Cambria Math"/>
                          <w:i/>
                          <w:iCs/>
                        </w:rPr>
                      </m:ctrlPr>
                    </m:dPr>
                    <m:e>
                      <m:r>
                        <m:rPr/>
                        <w:rPr>
                          <w:rFonts w:ascii="Cambria Math" w:hAnsi="Cambria Math"/>
                        </w:rPr>
                        <m:t>a</m:t>
                      </m:r>
                      <m:ctrlPr>
                        <w:rPr>
                          <w:rFonts w:ascii="Cambria Math" w:hAnsi="Cambria Math"/>
                          <w:i/>
                          <w:iCs/>
                        </w:rPr>
                      </m:ctrlPr>
                    </m:e>
                  </m:d>
                  <m:ctrlPr>
                    <w:rPr>
                      <w:rFonts w:ascii="Cambria Math" w:hAnsi="Cambria Math"/>
                      <w:i/>
                      <w:iCs/>
                    </w:rPr>
                  </m:ctrlPr>
                </m:e>
              </m:d>
              <m:r>
                <m:rPr/>
                <w:rPr>
                  <w:rFonts w:ascii="Cambria Math" w:hAnsi="Cambria Math"/>
                </w:rPr>
                <m:t>−βKL</m:t>
              </m:r>
              <m:d>
                <m:dPr>
                  <m:begChr m:val="["/>
                  <m:endChr m:val="]"/>
                  <m:ctrlPr>
                    <w:rPr>
                      <w:rFonts w:ascii="Cambria Math" w:hAnsi="Cambria Math"/>
                      <w:i/>
                      <w:iCs/>
                    </w:rPr>
                  </m:ctrlPr>
                </m:dPr>
                <m:e>
                  <m:sSub>
                    <m:sSubPr>
                      <m:ctrlPr>
                        <w:rPr>
                          <w:rFonts w:ascii="Cambria Math" w:hAnsi="Cambria Math"/>
                          <w:i/>
                          <w:iCs/>
                        </w:rPr>
                      </m:ctrlPr>
                    </m:sSubPr>
                    <m:e>
                      <m:r>
                        <m:rPr/>
                        <w:rPr>
                          <w:rFonts w:ascii="Cambria Math" w:hAnsi="Cambria Math"/>
                        </w:rPr>
                        <m:t>π</m:t>
                      </m:r>
                      <m:ctrlPr>
                        <w:rPr>
                          <w:rFonts w:ascii="Cambria Math" w:hAnsi="Cambria Math"/>
                          <w:i/>
                          <w:iCs/>
                        </w:rPr>
                      </m:ctrlPr>
                    </m:e>
                    <m:sub>
                      <m:r>
                        <m:rPr/>
                        <w:rPr>
                          <w:rFonts w:ascii="Cambria Math" w:hAnsi="Cambria Math"/>
                        </w:rPr>
                        <m:t>θ</m:t>
                      </m:r>
                      <m:ctrlPr>
                        <w:rPr>
                          <w:rFonts w:ascii="Cambria Math" w:hAnsi="Cambria Math"/>
                          <w:i/>
                          <w:iCs/>
                        </w:rPr>
                      </m:ctrlPr>
                    </m:sub>
                  </m:sSub>
                  <m:r>
                    <m:rPr/>
                    <w:rPr>
                      <w:rFonts w:ascii="Cambria Math" w:hAnsi="Cambria Math"/>
                    </w:rPr>
                    <m:t>∥</m:t>
                  </m:r>
                  <m:sSub>
                    <m:sSubPr>
                      <m:ctrlPr>
                        <w:rPr>
                          <w:rFonts w:ascii="Cambria Math" w:hAnsi="Cambria Math"/>
                          <w:i/>
                          <w:iCs/>
                        </w:rPr>
                      </m:ctrlPr>
                    </m:sSubPr>
                    <m:e>
                      <m:r>
                        <m:rPr/>
                        <w:rPr>
                          <w:rFonts w:ascii="Cambria Math" w:hAnsi="Cambria Math"/>
                        </w:rPr>
                        <m:t>π</m:t>
                      </m:r>
                      <m:ctrlPr>
                        <w:rPr>
                          <w:rFonts w:ascii="Cambria Math" w:hAnsi="Cambria Math"/>
                          <w:i/>
                          <w:iCs/>
                        </w:rPr>
                      </m:ctrlPr>
                    </m:e>
                    <m:sub>
                      <m:r>
                        <m:rPr/>
                        <w:rPr>
                          <w:rFonts w:ascii="Cambria Math" w:hAnsi="Cambria Math"/>
                        </w:rPr>
                        <m:t>0</m:t>
                      </m:r>
                      <m:ctrlPr>
                        <w:rPr>
                          <w:rFonts w:ascii="Cambria Math" w:hAnsi="Cambria Math"/>
                          <w:i/>
                          <w:iCs/>
                        </w:rPr>
                      </m:ctrlPr>
                    </m:sub>
                  </m:sSub>
                  <m:ctrlPr>
                    <w:rPr>
                      <w:rFonts w:ascii="Cambria Math" w:hAnsi="Cambria Math"/>
                      <w:i/>
                      <w:iCs/>
                    </w:rPr>
                  </m:ctrlPr>
                </m:e>
              </m:d>
              <m:r>
                <m:rPr/>
                <w:rPr>
                  <w:rFonts w:ascii="Cambria Math" w:hAnsi="Cambria Math"/>
                </w:rPr>
                <m:t>#</m:t>
              </m:r>
              <m:d>
                <m:dPr>
                  <m:ctrlPr>
                    <w:rPr>
                      <w:rFonts w:ascii="Cambria Math" w:hAnsi="Cambria Math"/>
                      <w:i/>
                      <w:iCs/>
                    </w:rPr>
                  </m:ctrlPr>
                </m:dPr>
                <m:e>
                  <m:r>
                    <m:rPr/>
                    <w:rPr>
                      <w:rFonts w:ascii="Cambria Math" w:hAnsi="Cambria Math"/>
                    </w:rPr>
                    <m:t>2−17</m:t>
                  </m:r>
                  <m:ctrlPr>
                    <w:rPr>
                      <w:rFonts w:ascii="Cambria Math" w:hAnsi="Cambria Math"/>
                      <w:i/>
                      <w:iCs/>
                    </w:rPr>
                  </m:ctrlPr>
                </m:e>
              </m:d>
              <m:ctrlPr>
                <w:rPr>
                  <w:rFonts w:ascii="Cambria Math" w:hAnsi="Cambria Math"/>
                  <w:i/>
                  <w:iCs/>
                </w:rPr>
              </m:ctrlPr>
            </m:e>
          </m:eqArr>
        </m:oMath>
      </m:oMathPara>
      <w:bookmarkStart w:id="25" w:name="_Toc196336432"/>
    </w:p>
    <w:p w14:paraId="1A2921E8">
      <w:pPr>
        <w:ind w:firstLine="0" w:firstLineChars="0"/>
        <w:rPr>
          <w:iCs/>
        </w:rPr>
      </w:pPr>
      <w:r>
        <w:rPr>
          <w:rFonts w:hint="eastAsia"/>
          <w:iCs/>
        </w:rPr>
        <w:t>其中，</w:t>
      </w:r>
      <m:oMath>
        <m:sSub>
          <m:sSubPr>
            <m:ctrlPr>
              <w:rPr>
                <w:rFonts w:ascii="Cambria Math" w:hAnsi="Cambria Math"/>
                <w:i/>
                <w:iCs/>
              </w:rPr>
            </m:ctrlPr>
          </m:sSubPr>
          <m:e>
            <m:r>
              <m:rPr/>
              <w:rPr>
                <w:rFonts w:ascii="Cambria Math" w:hAnsi="Cambria Math"/>
              </w:rPr>
              <m:t>r</m:t>
            </m:r>
            <m:ctrlPr>
              <w:rPr>
                <w:rFonts w:ascii="Cambria Math" w:hAnsi="Cambria Math"/>
                <w:i/>
                <w:iCs/>
              </w:rPr>
            </m:ctrlPr>
          </m:e>
          <m:sub>
            <m:r>
              <m:rPr/>
              <w:rPr>
                <w:rFonts w:ascii="Cambria Math" w:hAnsi="Cambria Math"/>
              </w:rPr>
              <m:t>ϕ</m:t>
            </m:r>
            <m:ctrlPr>
              <w:rPr>
                <w:rFonts w:ascii="Cambria Math" w:hAnsi="Cambria Math"/>
                <w:i/>
                <w:iCs/>
              </w:rPr>
            </m:ctrlPr>
          </m:sub>
        </m:sSub>
      </m:oMath>
      <w:r>
        <w:rPr>
          <w:rFonts w:hint="eastAsia"/>
          <w:iCs/>
        </w:rPr>
        <w:t>其中为人类反馈学习到的奖励，</w:t>
      </w:r>
      <m:oMath>
        <m:sSub>
          <m:sSubPr>
            <m:ctrlPr>
              <w:rPr>
                <w:rFonts w:ascii="Cambria Math" w:hAnsi="Cambria Math"/>
                <w:i/>
                <w:iCs/>
              </w:rPr>
            </m:ctrlPr>
          </m:sSubPr>
          <m:e>
            <m:r>
              <m:rPr/>
              <w:rPr>
                <w:rFonts w:ascii="Cambria Math" w:hAnsi="Cambria Math"/>
              </w:rPr>
              <m:t>π</m:t>
            </m:r>
            <m:ctrlPr>
              <w:rPr>
                <w:rFonts w:ascii="Cambria Math" w:hAnsi="Cambria Math"/>
                <w:i/>
                <w:iCs/>
              </w:rPr>
            </m:ctrlPr>
          </m:e>
          <m:sub>
            <m:r>
              <m:rPr/>
              <w:rPr>
                <w:rFonts w:ascii="Cambria Math" w:hAnsi="Cambria Math"/>
              </w:rPr>
              <m:t>0</m:t>
            </m:r>
            <m:ctrlPr>
              <w:rPr>
                <w:rFonts w:ascii="Cambria Math" w:hAnsi="Cambria Math"/>
                <w:i/>
                <w:iCs/>
              </w:rPr>
            </m:ctrlPr>
          </m:sub>
        </m:sSub>
      </m:oMath>
      <w:r>
        <w:rPr>
          <w:rFonts w:hint="eastAsia"/>
          <w:iCs/>
        </w:rPr>
        <w:t>为初始策略，</w:t>
      </w:r>
      <m:oMath>
        <m:sSub>
          <m:sSubPr>
            <m:ctrlPr>
              <w:rPr>
                <w:rFonts w:ascii="Cambria Math" w:hAnsi="Cambria Math"/>
                <w:i/>
                <w:iCs/>
              </w:rPr>
            </m:ctrlPr>
          </m:sSubPr>
          <m:e>
            <m:r>
              <m:rPr/>
              <w:rPr>
                <w:rFonts w:ascii="Cambria Math" w:hAnsi="Cambria Math"/>
              </w:rPr>
              <m:t>π</m:t>
            </m:r>
            <m:ctrlPr>
              <w:rPr>
                <w:rFonts w:ascii="Cambria Math" w:hAnsi="Cambria Math"/>
                <w:i/>
                <w:iCs/>
              </w:rPr>
            </m:ctrlPr>
          </m:e>
          <m:sub>
            <m:r>
              <m:rPr/>
              <w:rPr>
                <w:rFonts w:ascii="Cambria Math" w:hAnsi="Cambria Math"/>
              </w:rPr>
              <m:t>θ</m:t>
            </m:r>
            <m:ctrlPr>
              <w:rPr>
                <w:rFonts w:ascii="Cambria Math" w:hAnsi="Cambria Math"/>
                <w:i/>
                <w:iCs/>
              </w:rPr>
            </m:ctrlPr>
          </m:sub>
        </m:sSub>
      </m:oMath>
      <w:r>
        <w:rPr>
          <w:rFonts w:hint="eastAsia"/>
          <w:iCs/>
        </w:rPr>
        <w:t>为当前策略，通过最大化奖励期望并约束KL散度，逐步引导模型朝向符合人类伦理标准的输出。</w:t>
      </w:r>
    </w:p>
    <w:p w14:paraId="765C1D29">
      <w:pPr>
        <w:ind w:firstLine="0" w:firstLineChars="0"/>
        <w:rPr>
          <w:iCs/>
        </w:rPr>
      </w:pPr>
      <w:r>
        <w:rPr>
          <w:iCs/>
        </w:rPr>
        <w:tab/>
      </w:r>
      <w:r>
        <w:rPr>
          <w:rFonts w:hint="eastAsia"/>
          <w:iCs/>
        </w:rPr>
        <w:t>然而，SFT阶段主要学习的是静态语言模式的模仿，缺乏对输出质量的直接优化，因此往往需要与RLHF等技术结合以进一步提升模型对复杂、多变人类指令的响应能力。</w:t>
      </w:r>
    </w:p>
    <w:p w14:paraId="06F2CA7E">
      <w:pPr>
        <w:ind w:firstLine="420" w:firstLineChars="0"/>
        <w:rPr>
          <w:iCs/>
        </w:rPr>
      </w:pPr>
      <w:r>
        <w:rPr>
          <w:rFonts w:hint="eastAsia"/>
          <w:iCs/>
        </w:rPr>
        <w:t>总体而言，指令微调作为大模型对齐的关键步骤，不仅极大扩展了LLM的实用性，也为后续安全性、可控性、价值观对齐等方向奠定了基础。</w:t>
      </w:r>
    </w:p>
    <w:p w14:paraId="18CDCBB6">
      <w:pPr>
        <w:pStyle w:val="3"/>
        <w:spacing w:before="240" w:after="240"/>
        <w:ind w:firstLine="0" w:firstLineChars="0"/>
      </w:pPr>
      <w:bookmarkStart w:id="26" w:name="_Toc197274522"/>
      <w:r>
        <w:rPr>
          <w:rFonts w:hint="eastAsia"/>
        </w:rPr>
        <w:t>2.5 本章小结</w:t>
      </w:r>
      <w:bookmarkEnd w:id="26"/>
    </w:p>
    <w:p w14:paraId="5455E2A5">
      <w:pPr>
        <w:ind w:firstLine="480"/>
      </w:pPr>
      <w:r>
        <w:rPr>
          <w:rFonts w:hint="eastAsia"/>
        </w:rPr>
        <w:t>本章介绍了本文所依赖的核心技术。首先梳理了Transformer结构与自注意力机制，阐释其在语言建模中的基础作用；其次讨论了混合专家模型在提升计算效率与扩展模型容量方面的优势；随后说明了LoRA作为高效微调方法在资源受限场景下的适用性；最后解析了指令微调技术在增强模型对齐能力和任务适应性中的关键作用。</w:t>
      </w:r>
    </w:p>
    <w:p w14:paraId="38089921">
      <w:pPr>
        <w:ind w:firstLine="0" w:firstLineChars="0"/>
      </w:pPr>
    </w:p>
    <w:p w14:paraId="623507E3">
      <w:pPr>
        <w:ind w:firstLine="480"/>
        <w:rPr>
          <w:iCs/>
        </w:rPr>
      </w:pPr>
    </w:p>
    <w:p w14:paraId="419B9D3C">
      <w:pPr>
        <w:ind w:firstLine="480"/>
        <w:rPr>
          <w:iCs/>
        </w:rPr>
      </w:pPr>
      <w:r>
        <w:rPr>
          <w:iCs/>
        </w:rPr>
        <w:br w:type="page"/>
      </w:r>
    </w:p>
    <w:p w14:paraId="3B380852">
      <w:pPr>
        <w:pStyle w:val="2"/>
        <w:spacing w:before="240" w:after="240" w:line="360" w:lineRule="auto"/>
        <w:ind w:firstLine="0" w:firstLineChars="0"/>
      </w:pPr>
      <w:bookmarkStart w:id="27" w:name="_Toc197274523"/>
      <w:r>
        <w:rPr>
          <w:rFonts w:hint="eastAsia"/>
        </w:rPr>
        <w:t>第三章 轻量化的越狱提示检测器LEAD</w:t>
      </w:r>
      <w:bookmarkEnd w:id="25"/>
      <w:bookmarkEnd w:id="27"/>
    </w:p>
    <w:p w14:paraId="6139A527">
      <w:pPr>
        <w:pStyle w:val="3"/>
        <w:spacing w:before="240" w:after="240"/>
        <w:ind w:firstLine="0" w:firstLineChars="0"/>
      </w:pPr>
      <w:bookmarkStart w:id="28" w:name="_Toc197274524"/>
      <w:r>
        <w:rPr>
          <w:rFonts w:hint="eastAsia"/>
        </w:rPr>
        <w:t>3.1 概述</w:t>
      </w:r>
      <w:bookmarkEnd w:id="28"/>
    </w:p>
    <w:p w14:paraId="7D913390">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章提出了一个高效且轻量化的越狱提示检测器LEAD。具体而言，首先阐述了早期探索过程中针对越狱提示检测任务的若干尝试，包括基于规则过滤、情感分析与困惑度检测的策略。这些探索为后续方法设计提供了重要经验和参考。随后，基于对现有方法的系统分析，本文最终选择以Qwen2-1.5B-Instruct为基座模型，结合参数高效微调技术LoRA执行指令微调，构建了更为高效、准确、轻量级的检测器。最后介绍检测任务的定义、微调方法以及推理部署流程。</w:t>
      </w:r>
    </w:p>
    <w:p w14:paraId="0DF99962">
      <w:pPr>
        <w:pStyle w:val="3"/>
        <w:spacing w:before="240" w:after="240"/>
        <w:ind w:firstLine="0" w:firstLineChars="0"/>
      </w:pPr>
      <w:bookmarkStart w:id="29" w:name="_Toc197274525"/>
      <w:r>
        <w:rPr>
          <w:rFonts w:hint="eastAsia"/>
        </w:rPr>
        <w:t>3.2 启发性检测方法</w:t>
      </w:r>
      <w:bookmarkEnd w:id="29"/>
    </w:p>
    <w:p w14:paraId="4FB4DD07">
      <w:pPr>
        <w:ind w:firstLine="480"/>
      </w:pPr>
      <w:r>
        <w:rPr>
          <w:rFonts w:hint="eastAsia"/>
        </w:rPr>
        <w:t>首先对一些启发性检测策略进行探索，从不同角度理解越狱提示的特性。</w:t>
      </w:r>
    </w:p>
    <w:p w14:paraId="6A79E30C">
      <w:pPr>
        <w:numPr>
          <w:ilvl w:val="0"/>
          <w:numId w:val="1"/>
        </w:numPr>
        <w:ind w:firstLine="480"/>
      </w:pPr>
      <w:r>
        <w:rPr>
          <w:rFonts w:hint="eastAsia"/>
        </w:rPr>
        <w:t>基于文本特征分析。本节设计了规则过滤</w:t>
      </w:r>
      <w:r>
        <w:t>(</w:t>
      </w:r>
      <w:r>
        <w:rPr>
          <w:rFonts w:hint="eastAsia"/>
        </w:rPr>
        <w:t>Rule-based Filtering</w:t>
      </w:r>
      <w:r>
        <w:t>)</w:t>
      </w:r>
      <w:r>
        <w:rPr>
          <w:rFonts w:hint="eastAsia"/>
        </w:rPr>
        <w:t>方法。考虑到越狱提示中通常包含高频敏感词或违规内容，本节在JailBench++_train数据集上进行词频统计，提取出有害提示中显著高频的关键词，并结合开源违禁词库</w:t>
      </w:r>
      <w:r>
        <w:rPr>
          <w:rStyle w:val="37"/>
          <w:sz w:val="21"/>
          <w:szCs w:val="21"/>
        </w:rPr>
        <w:footnoteReference w:id="3"/>
      </w:r>
      <w:r>
        <w:rPr>
          <w:rFonts w:hint="eastAsia"/>
        </w:rPr>
        <w:t>构建黑名单词表。检测过程中设定三条规则：一是输入若命中黑名单词则直接判定为有害；二是若单词在文本中出现频率超过0.4（指代恶意堆叠引导），则判定为有害；三是若出现连续字符重复超过5次（如“aaaaa”），则判定为潜在刷屏或嵌套攻击。任何一条规则触发即认定为越狱提示，流程如图3-1所示。</w:t>
      </w:r>
    </w:p>
    <w:p w14:paraId="18A91868">
      <w:pPr>
        <w:numPr>
          <w:ilvl w:val="0"/>
          <w:numId w:val="1"/>
        </w:numPr>
        <w:ind w:firstLine="480"/>
      </w:pPr>
      <w:r>
        <w:rPr>
          <w:rFonts w:hint="eastAsia"/>
        </w:rPr>
        <w:t>基于情感分析(Sentiment Analysis)的方法。假设越狱提示往往伴随激进、负面或极端情绪，进而作为检测线索。本节采用了预训练情感分类器StructBERT-base-chinese</w:t>
      </w:r>
      <w:r>
        <w:rPr>
          <w:vertAlign w:val="superscript"/>
        </w:rPr>
        <w:fldChar w:fldCharType="begin"/>
      </w:r>
      <w:r>
        <w:rPr>
          <w:vertAlign w:val="superscript"/>
        </w:rPr>
        <w:instrText xml:space="preserve"> </w:instrText>
      </w:r>
      <w:r>
        <w:rPr>
          <w:rFonts w:hint="eastAsia"/>
          <w:vertAlign w:val="superscript"/>
        </w:rPr>
        <w:instrText xml:space="preserve">REF _Ref196927980 \r \h</w:instrText>
      </w:r>
      <w:r>
        <w:rPr>
          <w:vertAlign w:val="superscript"/>
        </w:rPr>
        <w:instrText xml:space="preserve">  \* MERGEFORMAT </w:instrText>
      </w:r>
      <w:r>
        <w:rPr>
          <w:vertAlign w:val="superscript"/>
        </w:rPr>
        <w:fldChar w:fldCharType="separate"/>
      </w:r>
      <w:r>
        <w:rPr>
          <w:vertAlign w:val="superscript"/>
        </w:rPr>
        <w:t>[46]</w:t>
      </w:r>
      <w:r>
        <w:rPr>
          <w:vertAlign w:val="superscript"/>
        </w:rPr>
        <w:fldChar w:fldCharType="end"/>
      </w:r>
      <w:r>
        <w:rPr>
          <w:rFonts w:hint="eastAsia"/>
        </w:rPr>
        <w:t>，该模型在BDCI</w:t>
      </w:r>
      <w:r>
        <w:rPr>
          <w:rStyle w:val="37"/>
          <w:sz w:val="21"/>
          <w:szCs w:val="21"/>
        </w:rPr>
        <w:footnoteReference w:id="4"/>
      </w:r>
      <w:r>
        <w:rPr>
          <w:rFonts w:hint="eastAsia"/>
        </w:rPr>
        <w:t>、Dianping</w:t>
      </w:r>
      <w:r>
        <w:rPr>
          <w:rStyle w:val="37"/>
          <w:sz w:val="21"/>
          <w:szCs w:val="21"/>
        </w:rPr>
        <w:footnoteReference w:id="5"/>
      </w:r>
      <w:r>
        <w:rPr>
          <w:rFonts w:hint="eastAsia"/>
        </w:rPr>
        <w:t xml:space="preserve"> 、JD binary</w:t>
      </w:r>
      <w:r>
        <w:rPr>
          <w:rStyle w:val="37"/>
          <w:sz w:val="21"/>
          <w:szCs w:val="21"/>
        </w:rPr>
        <w:footnoteReference w:id="6"/>
      </w:r>
      <w:r>
        <w:rPr>
          <w:rFonts w:hint="eastAsia"/>
        </w:rPr>
        <w:t>与Waimai-10K</w:t>
      </w:r>
      <w:r>
        <w:rPr>
          <w:rStyle w:val="37"/>
          <w:sz w:val="21"/>
          <w:szCs w:val="21"/>
        </w:rPr>
        <w:footnoteReference w:id="7"/>
      </w:r>
      <w:r>
        <w:rPr>
          <w:rFonts w:hint="eastAsia"/>
        </w:rPr>
        <w:t>四个中文评论数据集上微调完成，具备跨域情感分布识别能力。在检测阶段，若情感分类器判定输入提示为负面情绪，则视为越狱提示，否则认定为正常输入。尽管该方法能捕捉一部分情绪强烈的越狱样本，但对于理性表述、隐蔽性强的提示仍难以有效识别。</w:t>
      </w:r>
    </w:p>
    <w:p w14:paraId="5FBBB46A">
      <w:pPr>
        <w:numPr>
          <w:ilvl w:val="0"/>
          <w:numId w:val="1"/>
        </w:numPr>
        <w:ind w:firstLine="480"/>
      </w:pPr>
      <w:r>
        <w:rPr>
          <w:rFonts w:hint="eastAsia"/>
        </w:rPr>
        <w:t>基于语言模型困惑度的异常检测方法。本节尝试了基于困惑度过滤(Perplexity-based Filtering)的方法。理论上，若输入文本存在大量无意义、低频或异常拼接token，其整体困惑度会显著高于正常文本。因此，本节采用Qwen2-1.5B-Instruct计算输入提示的困惑度，设定全局阈值</w:t>
      </w:r>
      <w:r>
        <w:rPr>
          <w:rFonts w:ascii="Cambria Math" w:hAnsi="Cambria Math" w:cs="Cambria Math"/>
        </w:rPr>
        <w:t>𝜏</w:t>
      </w:r>
      <w:r>
        <w:rPr>
          <w:rFonts w:hint="eastAsia"/>
        </w:rPr>
        <w:t>，当整体困惑度超出阈值即判定为越狱提示。为进一步提升鲁棒性，本节还尝试了滑动窗口策略（窗口大小50，重叠25 token），若任一局部窗口的困惑度异常升高，则亦判定为越狱提示，流程如图3-2所示。</w:t>
      </w:r>
    </w:p>
    <w:p w14:paraId="74798270">
      <w:pPr>
        <w:ind w:firstLine="0" w:firstLineChars="0"/>
        <w:jc w:val="center"/>
      </w:pPr>
      <w:r>
        <w:drawing>
          <wp:inline distT="0" distB="0" distL="0" distR="0">
            <wp:extent cx="6059170" cy="2565400"/>
            <wp:effectExtent l="0" t="0" r="0" b="0"/>
            <wp:docPr id="86246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4621" name="图片 2"/>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98449" cy="2624364"/>
                    </a:xfrm>
                    <a:prstGeom prst="rect">
                      <a:avLst/>
                    </a:prstGeom>
                  </pic:spPr>
                </pic:pic>
              </a:graphicData>
            </a:graphic>
          </wp:inline>
        </w:drawing>
      </w:r>
    </w:p>
    <w:p w14:paraId="35107D15">
      <w:pPr>
        <w:ind w:firstLine="0" w:firstLineChars="0"/>
        <w:jc w:val="center"/>
        <w:rPr>
          <w:rFonts w:ascii="Calibri" w:hAnsi="Calibri" w:eastAsia="楷体" w:cs="Calibri"/>
          <w:iCs/>
          <w:color w:val="000000" w:themeColor="text1"/>
          <w:sz w:val="21"/>
          <w:szCs w:val="21"/>
          <w14:textFill>
            <w14:solidFill>
              <w14:schemeClr w14:val="tx1"/>
            </w14:solidFill>
          </w14:textFill>
        </w:rPr>
      </w:pPr>
      <w:bookmarkStart w:id="30" w:name="OLE_LINK2"/>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 xml:space="preserve">3-1  </w:t>
      </w:r>
      <w:r>
        <w:rPr>
          <w:rFonts w:hint="eastAsia" w:ascii="楷体" w:hAnsi="楷体" w:eastAsia="楷体"/>
          <w:iCs/>
          <w:color w:val="000000" w:themeColor="text1"/>
          <w:sz w:val="21"/>
          <w:szCs w:val="21"/>
          <w14:textFill>
            <w14:solidFill>
              <w14:schemeClr w14:val="tx1"/>
            </w14:solidFill>
          </w14:textFill>
        </w:rPr>
        <w:t>规则过滤方法的流程图</w:t>
      </w:r>
    </w:p>
    <w:bookmarkEnd w:id="30"/>
    <w:p w14:paraId="0020089F">
      <w:pPr>
        <w:ind w:firstLine="0" w:firstLineChars="0"/>
        <w:jc w:val="center"/>
        <w:rPr>
          <w:rFonts w:ascii="楷体" w:hAnsi="楷体" w:eastAsia="楷体"/>
          <w:iCs/>
          <w:color w:val="000000" w:themeColor="text1"/>
          <w:sz w:val="21"/>
          <w:szCs w:val="21"/>
          <w14:textFill>
            <w14:solidFill>
              <w14:schemeClr w14:val="tx1"/>
            </w14:solidFill>
          </w14:textFill>
        </w:rPr>
      </w:pPr>
      <w:r>
        <w:rPr>
          <w:rFonts w:ascii="楷体" w:hAnsi="楷体" w:eastAsia="楷体"/>
          <w:iCs/>
          <w:color w:val="000000" w:themeColor="text1"/>
          <w:sz w:val="21"/>
          <w:szCs w:val="21"/>
          <w14:textFill>
            <w14:solidFill>
              <w14:schemeClr w14:val="tx1"/>
            </w14:solidFill>
          </w14:textFill>
        </w:rPr>
        <w:drawing>
          <wp:inline distT="0" distB="0" distL="0" distR="0">
            <wp:extent cx="6080125" cy="2222500"/>
            <wp:effectExtent l="0" t="0" r="0" b="0"/>
            <wp:docPr id="395506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50625" name="图片 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222642" cy="2274503"/>
                    </a:xfrm>
                    <a:prstGeom prst="rect">
                      <a:avLst/>
                    </a:prstGeom>
                  </pic:spPr>
                </pic:pic>
              </a:graphicData>
            </a:graphic>
          </wp:inline>
        </w:drawing>
      </w:r>
    </w:p>
    <w:p w14:paraId="6C7F0AE9">
      <w:pPr>
        <w:ind w:firstLine="0" w:firstLineChars="0"/>
        <w:jc w:val="center"/>
        <w:rPr>
          <w:rFonts w:ascii="Calibri" w:hAnsi="Calibri" w:eastAsia="楷体" w:cs="Calibri"/>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 xml:space="preserve">3-2  </w:t>
      </w:r>
      <w:r>
        <w:rPr>
          <w:rFonts w:hint="eastAsia" w:ascii="楷体" w:hAnsi="楷体" w:eastAsia="楷体"/>
          <w:iCs/>
          <w:color w:val="000000" w:themeColor="text1"/>
          <w:sz w:val="21"/>
          <w:szCs w:val="21"/>
          <w14:textFill>
            <w14:solidFill>
              <w14:schemeClr w14:val="tx1"/>
            </w14:solidFill>
          </w14:textFill>
        </w:rPr>
        <w:t>基于困惑度过滤方法的流程图</w:t>
      </w:r>
    </w:p>
    <w:p w14:paraId="57A224A6">
      <w:pPr>
        <w:ind w:firstLine="480"/>
      </w:pPr>
      <w:r>
        <w:rPr>
          <w:rFonts w:hint="eastAsia"/>
        </w:rPr>
        <w:t>总体而言，上述启发性策略验证了越狱提示在词汇、情感及语言分布层面均存在一定规律性，但由于规则硬编码、特征单一，难以应对多样化、语义复杂的攻击方式，且存在一定程度的误检和漏检，具体的优点和缺点如表3-1所示。因此，本节进一步探索基于大语言模型的深层语义检测方法，以实现更高鲁棒性和检测精度。</w:t>
      </w:r>
    </w:p>
    <w:p w14:paraId="3AD2E259">
      <w:pPr>
        <w:ind w:firstLine="0" w:firstLineChars="0"/>
        <w:jc w:val="center"/>
        <w:rPr>
          <w:color w:val="000000" w:themeColor="text1"/>
          <w:sz w:val="21"/>
          <w:szCs w:val="21"/>
          <w14:textFill>
            <w14:solidFill>
              <w14:schemeClr w14:val="tx1"/>
            </w14:solidFill>
          </w14:textFill>
        </w:rPr>
      </w:pPr>
      <w:r>
        <w:rPr>
          <w:rFonts w:hint="eastAsia" w:ascii="楷体" w:hAnsi="楷体" w:eastAsia="楷体"/>
          <w:color w:val="000000" w:themeColor="text1"/>
          <w:sz w:val="21"/>
          <w:szCs w:val="21"/>
          <w14:textFill>
            <w14:solidFill>
              <w14:schemeClr w14:val="tx1"/>
            </w14:solidFill>
          </w14:textFill>
        </w:rPr>
        <w:t>表</w:t>
      </w:r>
      <w:r>
        <w:rPr>
          <w:rFonts w:hint="eastAsia"/>
          <w:color w:val="000000" w:themeColor="text1"/>
          <w:sz w:val="21"/>
          <w:szCs w:val="21"/>
          <w14:textFill>
            <w14:solidFill>
              <w14:schemeClr w14:val="tx1"/>
            </w14:solidFill>
          </w14:textFill>
        </w:rPr>
        <w:t>3-1  前期探索方法的优点和缺点</w:t>
      </w:r>
    </w:p>
    <w:tbl>
      <w:tblPr>
        <w:tblStyle w:val="29"/>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3020"/>
        <w:gridCol w:w="3021"/>
        <w:gridCol w:w="3021"/>
      </w:tblGrid>
      <w:tr w14:paraId="5BAEE54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3020" w:type="dxa"/>
            <w:tcBorders>
              <w:bottom w:val="single" w:color="auto" w:sz="4" w:space="0"/>
            </w:tcBorders>
          </w:tcPr>
          <w:p w14:paraId="7DE7453E">
            <w:pPr>
              <w:ind w:firstLine="0" w:firstLineChars="0"/>
              <w:rPr>
                <w:b/>
                <w:bCs/>
              </w:rPr>
            </w:pPr>
            <w:r>
              <w:rPr>
                <w:rFonts w:hint="eastAsia"/>
                <w:b/>
                <w:bCs/>
              </w:rPr>
              <w:t>方法</w:t>
            </w:r>
          </w:p>
        </w:tc>
        <w:tc>
          <w:tcPr>
            <w:tcW w:w="3021" w:type="dxa"/>
            <w:tcBorders>
              <w:bottom w:val="single" w:color="auto" w:sz="4" w:space="0"/>
            </w:tcBorders>
          </w:tcPr>
          <w:p w14:paraId="414C41E9">
            <w:pPr>
              <w:ind w:firstLine="0" w:firstLineChars="0"/>
              <w:jc w:val="center"/>
              <w:rPr>
                <w:b/>
                <w:bCs/>
              </w:rPr>
            </w:pPr>
            <w:r>
              <w:rPr>
                <w:rFonts w:hint="eastAsia"/>
                <w:b/>
                <w:bCs/>
              </w:rPr>
              <w:t>优点</w:t>
            </w:r>
          </w:p>
        </w:tc>
        <w:tc>
          <w:tcPr>
            <w:tcW w:w="3021" w:type="dxa"/>
            <w:tcBorders>
              <w:bottom w:val="single" w:color="auto" w:sz="4" w:space="0"/>
            </w:tcBorders>
          </w:tcPr>
          <w:p w14:paraId="3466F4EC">
            <w:pPr>
              <w:ind w:firstLine="0" w:firstLineChars="0"/>
              <w:jc w:val="center"/>
              <w:rPr>
                <w:b/>
                <w:bCs/>
              </w:rPr>
            </w:pPr>
            <w:r>
              <w:rPr>
                <w:rFonts w:hint="eastAsia"/>
                <w:b/>
                <w:bCs/>
              </w:rPr>
              <w:t>缺点</w:t>
            </w:r>
          </w:p>
        </w:tc>
      </w:tr>
      <w:tr w14:paraId="0B72907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1293" w:hRule="atLeast"/>
          <w:jc w:val="center"/>
        </w:trPr>
        <w:tc>
          <w:tcPr>
            <w:tcW w:w="3020" w:type="dxa"/>
            <w:tcBorders>
              <w:bottom w:val="nil"/>
            </w:tcBorders>
          </w:tcPr>
          <w:p w14:paraId="05439ACE">
            <w:pPr>
              <w:ind w:firstLine="0" w:firstLineChars="0"/>
            </w:pPr>
            <w:r>
              <w:rPr>
                <w:rFonts w:hint="eastAsia"/>
              </w:rPr>
              <w:t>规则过滤</w:t>
            </w:r>
          </w:p>
        </w:tc>
        <w:tc>
          <w:tcPr>
            <w:tcW w:w="3021" w:type="dxa"/>
            <w:tcBorders>
              <w:bottom w:val="nil"/>
            </w:tcBorders>
          </w:tcPr>
          <w:p w14:paraId="7602DAD8">
            <w:pPr>
              <w:ind w:firstLine="0" w:firstLineChars="0"/>
              <w:jc w:val="center"/>
            </w:pPr>
            <w:r>
              <w:rPr>
                <w:rFonts w:hint="eastAsia"/>
              </w:rPr>
              <w:t>实现简单，对明显违规词敏感</w:t>
            </w:r>
          </w:p>
        </w:tc>
        <w:tc>
          <w:tcPr>
            <w:tcW w:w="3021" w:type="dxa"/>
            <w:tcBorders>
              <w:bottom w:val="nil"/>
            </w:tcBorders>
          </w:tcPr>
          <w:p w14:paraId="79E0F435">
            <w:pPr>
              <w:ind w:firstLine="0" w:firstLineChars="0"/>
              <w:jc w:val="center"/>
            </w:pPr>
            <w:r>
              <w:rPr>
                <w:rFonts w:hint="eastAsia"/>
              </w:rPr>
              <w:t>依赖人工规则维护，误报率高，难以识别结构复杂或隐蔽攻击</w:t>
            </w:r>
          </w:p>
        </w:tc>
      </w:tr>
      <w:tr w14:paraId="3FAFA44A">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1321" w:hRule="atLeast"/>
          <w:jc w:val="center"/>
        </w:trPr>
        <w:tc>
          <w:tcPr>
            <w:tcW w:w="3020" w:type="dxa"/>
            <w:tcBorders>
              <w:top w:val="nil"/>
              <w:bottom w:val="nil"/>
            </w:tcBorders>
          </w:tcPr>
          <w:p w14:paraId="340BDF95">
            <w:pPr>
              <w:ind w:firstLine="0" w:firstLineChars="0"/>
            </w:pPr>
            <w:r>
              <w:rPr>
                <w:rFonts w:hint="eastAsia"/>
              </w:rPr>
              <w:t>情感分析</w:t>
            </w:r>
          </w:p>
        </w:tc>
        <w:tc>
          <w:tcPr>
            <w:tcW w:w="3021" w:type="dxa"/>
            <w:tcBorders>
              <w:top w:val="nil"/>
              <w:bottom w:val="nil"/>
            </w:tcBorders>
          </w:tcPr>
          <w:p w14:paraId="319B68E2">
            <w:pPr>
              <w:ind w:firstLine="0" w:firstLineChars="0"/>
              <w:jc w:val="center"/>
            </w:pPr>
            <w:r>
              <w:rPr>
                <w:rFonts w:hint="eastAsia"/>
              </w:rPr>
              <w:t>可借助现有情感模型，无需额外构造语料</w:t>
            </w:r>
          </w:p>
        </w:tc>
        <w:tc>
          <w:tcPr>
            <w:tcW w:w="3021" w:type="dxa"/>
            <w:tcBorders>
              <w:top w:val="nil"/>
              <w:bottom w:val="nil"/>
            </w:tcBorders>
          </w:tcPr>
          <w:p w14:paraId="4DEA881C">
            <w:pPr>
              <w:ind w:firstLine="0" w:firstLineChars="0"/>
              <w:jc w:val="center"/>
            </w:pPr>
            <w:r>
              <w:rPr>
                <w:rFonts w:hint="eastAsia"/>
              </w:rPr>
              <w:t>易误判中性攻击提示，缺乏对越狱意图的直接建模能力</w:t>
            </w:r>
          </w:p>
        </w:tc>
      </w:tr>
      <w:tr w14:paraId="32D2393F">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trHeight w:val="1364" w:hRule="atLeast"/>
          <w:jc w:val="center"/>
        </w:trPr>
        <w:tc>
          <w:tcPr>
            <w:tcW w:w="3020" w:type="dxa"/>
            <w:tcBorders>
              <w:top w:val="nil"/>
              <w:bottom w:val="nil"/>
            </w:tcBorders>
          </w:tcPr>
          <w:p w14:paraId="34D7C0D3">
            <w:pPr>
              <w:ind w:firstLine="0" w:firstLineChars="0"/>
            </w:pPr>
            <w:r>
              <w:rPr>
                <w:rFonts w:hint="eastAsia"/>
              </w:rPr>
              <w:t>整体困惑度检测</w:t>
            </w:r>
          </w:p>
        </w:tc>
        <w:tc>
          <w:tcPr>
            <w:tcW w:w="3021" w:type="dxa"/>
            <w:tcBorders>
              <w:top w:val="nil"/>
              <w:bottom w:val="nil"/>
            </w:tcBorders>
          </w:tcPr>
          <w:p w14:paraId="36A1530A">
            <w:pPr>
              <w:ind w:firstLine="0" w:firstLineChars="0"/>
              <w:jc w:val="center"/>
            </w:pPr>
            <w:r>
              <w:rPr>
                <w:rFonts w:hint="eastAsia"/>
              </w:rPr>
              <w:t>利用语言模型分布，能捕捉部分异常语言模式</w:t>
            </w:r>
          </w:p>
        </w:tc>
        <w:tc>
          <w:tcPr>
            <w:tcW w:w="3021" w:type="dxa"/>
            <w:tcBorders>
              <w:top w:val="nil"/>
              <w:bottom w:val="nil"/>
            </w:tcBorders>
          </w:tcPr>
          <w:p w14:paraId="67569D0C">
            <w:pPr>
              <w:ind w:firstLine="0" w:firstLineChars="0"/>
              <w:jc w:val="center"/>
            </w:pPr>
            <w:r>
              <w:rPr>
                <w:rFonts w:hint="eastAsia"/>
              </w:rPr>
              <w:t>对短文本、代码片段敏感，误检率高，对人类构造提示效果有限</w:t>
            </w:r>
          </w:p>
        </w:tc>
      </w:tr>
      <w:tr w14:paraId="4E20451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3020" w:type="dxa"/>
            <w:tcBorders>
              <w:top w:val="nil"/>
            </w:tcBorders>
          </w:tcPr>
          <w:p w14:paraId="704D249A">
            <w:pPr>
              <w:ind w:firstLine="0" w:firstLineChars="0"/>
            </w:pPr>
            <w:r>
              <w:rPr>
                <w:rFonts w:hint="eastAsia"/>
              </w:rPr>
              <w:t>滑动窗口困惑度检测</w:t>
            </w:r>
          </w:p>
        </w:tc>
        <w:tc>
          <w:tcPr>
            <w:tcW w:w="3021" w:type="dxa"/>
            <w:tcBorders>
              <w:top w:val="nil"/>
            </w:tcBorders>
          </w:tcPr>
          <w:p w14:paraId="417DC6F6">
            <w:pPr>
              <w:ind w:firstLine="0" w:firstLineChars="0"/>
              <w:jc w:val="center"/>
            </w:pPr>
            <w:r>
              <w:rPr>
                <w:rFonts w:hint="eastAsia"/>
              </w:rPr>
              <w:t>增强局部异常捕捉能力，略优于整体困惑度策略</w:t>
            </w:r>
          </w:p>
        </w:tc>
        <w:tc>
          <w:tcPr>
            <w:tcW w:w="3021" w:type="dxa"/>
            <w:tcBorders>
              <w:top w:val="nil"/>
            </w:tcBorders>
          </w:tcPr>
          <w:p w14:paraId="69416DC6">
            <w:pPr>
              <w:ind w:firstLine="0" w:firstLineChars="0"/>
              <w:jc w:val="center"/>
            </w:pPr>
            <w:r>
              <w:rPr>
                <w:rFonts w:hint="eastAsia"/>
              </w:rPr>
              <w:t>参数选择敏感，仍难应对复杂语义攻击</w:t>
            </w:r>
          </w:p>
        </w:tc>
      </w:tr>
    </w:tbl>
    <w:p w14:paraId="6D454BDC">
      <w:pPr>
        <w:pStyle w:val="3"/>
        <w:spacing w:before="240" w:after="240"/>
        <w:ind w:firstLine="0" w:firstLineChars="0"/>
      </w:pPr>
      <w:bookmarkStart w:id="31" w:name="_Toc196336439"/>
      <w:bookmarkStart w:id="32" w:name="_Toc197274526"/>
      <w:r>
        <w:rPr>
          <w:rFonts w:hint="eastAsia"/>
        </w:rPr>
        <w:t>3.3 模型选择</w:t>
      </w:r>
      <w:bookmarkEnd w:id="31"/>
      <w:bookmarkEnd w:id="32"/>
    </w:p>
    <w:p w14:paraId="2F0540DD">
      <w:pPr>
        <w:ind w:firstLine="480"/>
      </w:pPr>
      <w:r>
        <w:rPr>
          <w:rFonts w:hint="eastAsia"/>
        </w:rPr>
        <w:t>这里选择Qwen2-1.5B-Instruct作为越狱提示检测器的基座，首先因为它在体量与性能之间取得了极佳平衡：仅1.54B的参数量，可以在一张16-24GB的GPU上完成推理以及LoRA微调，大幅降低实验与部署门槛；同时它保留了32k-token的超长上下文窗口和良好的中英双语、代码理解能力，在公开表征理解、推理与多语言能力的17项任务中，Q</w:t>
      </w:r>
      <w:r>
        <w:t>wen2-1.5B</w:t>
      </w:r>
      <w:r>
        <w:rPr>
          <w:rFonts w:hint="eastAsia"/>
        </w:rPr>
        <w:t>模型整体超过</w:t>
      </w:r>
      <w:r>
        <w:t>Qwen1.5-1.8B</w:t>
      </w:r>
      <w:r>
        <w:rPr>
          <w:vertAlign w:val="superscript"/>
        </w:rPr>
        <w:fldChar w:fldCharType="begin"/>
      </w:r>
      <w:r>
        <w:rPr>
          <w:vertAlign w:val="superscript"/>
        </w:rPr>
        <w:instrText xml:space="preserve"> REF _Ref195387724 \r \h  \* MERGEFORMAT </w:instrText>
      </w:r>
      <w:r>
        <w:rPr>
          <w:vertAlign w:val="superscript"/>
        </w:rPr>
        <w:fldChar w:fldCharType="separate"/>
      </w:r>
      <w:r>
        <w:rPr>
          <w:vertAlign w:val="superscript"/>
        </w:rPr>
        <w:t>[3]</w:t>
      </w:r>
      <w:r>
        <w:rPr>
          <w:vertAlign w:val="superscript"/>
        </w:rPr>
        <w:fldChar w:fldCharType="end"/>
      </w:r>
      <w:r>
        <w:rPr>
          <w:rFonts w:hint="eastAsia"/>
        </w:rPr>
        <w:t>与MiniCPM-2.4B</w:t>
      </w:r>
      <w:r>
        <w:rPr>
          <w:vertAlign w:val="superscript"/>
        </w:rPr>
        <w:fldChar w:fldCharType="begin"/>
      </w:r>
      <w:r>
        <w:rPr>
          <w:vertAlign w:val="superscript"/>
        </w:rPr>
        <w:instrText xml:space="preserve"> </w:instrText>
      </w:r>
      <w:r>
        <w:rPr>
          <w:rFonts w:hint="eastAsia"/>
          <w:vertAlign w:val="superscript"/>
        </w:rPr>
        <w:instrText xml:space="preserve">REF _Ref196928066 \r \h</w:instrText>
      </w:r>
      <w:r>
        <w:rPr>
          <w:vertAlign w:val="superscript"/>
        </w:rPr>
        <w:instrText xml:space="preserve">  \* MERGEFORMAT </w:instrText>
      </w:r>
      <w:r>
        <w:rPr>
          <w:vertAlign w:val="superscript"/>
        </w:rPr>
        <w:fldChar w:fldCharType="separate"/>
      </w:r>
      <w:r>
        <w:rPr>
          <w:vertAlign w:val="superscript"/>
        </w:rPr>
        <w:t>[47]</w:t>
      </w:r>
      <w:r>
        <w:rPr>
          <w:vertAlign w:val="superscript"/>
        </w:rPr>
        <w:fldChar w:fldCharType="end"/>
      </w:r>
      <w:r>
        <w:rPr>
          <w:rFonts w:hint="eastAsia"/>
        </w:rPr>
        <w:t>，并在C</w:t>
      </w:r>
      <w:r>
        <w:t>-Eval</w:t>
      </w:r>
      <w:r>
        <w:rPr>
          <w:vertAlign w:val="superscript"/>
        </w:rPr>
        <w:fldChar w:fldCharType="begin"/>
      </w:r>
      <w:r>
        <w:rPr>
          <w:vertAlign w:val="superscript"/>
        </w:rPr>
        <w:instrText xml:space="preserve"> REF _Ref196928145 \r \h  \* MERGEFORMAT </w:instrText>
      </w:r>
      <w:r>
        <w:rPr>
          <w:vertAlign w:val="superscript"/>
        </w:rPr>
        <w:fldChar w:fldCharType="separate"/>
      </w:r>
      <w:r>
        <w:rPr>
          <w:vertAlign w:val="superscript"/>
        </w:rPr>
        <w:t>[48]</w:t>
      </w:r>
      <w:r>
        <w:rPr>
          <w:vertAlign w:val="superscript"/>
        </w:rPr>
        <w:fldChar w:fldCharType="end"/>
      </w:r>
      <w:r>
        <w:t>/CMMLU</w:t>
      </w:r>
      <w:r>
        <w:rPr>
          <w:vertAlign w:val="superscript"/>
        </w:rPr>
        <w:fldChar w:fldCharType="begin"/>
      </w:r>
      <w:r>
        <w:rPr>
          <w:vertAlign w:val="superscript"/>
        </w:rPr>
        <w:instrText xml:space="preserve"> REF _Ref196928152 \r \h  \* MERGEFORMAT </w:instrText>
      </w:r>
      <w:r>
        <w:rPr>
          <w:vertAlign w:val="superscript"/>
        </w:rPr>
        <w:fldChar w:fldCharType="separate"/>
      </w:r>
      <w:r>
        <w:rPr>
          <w:vertAlign w:val="superscript"/>
        </w:rPr>
        <w:t>[49]</w:t>
      </w:r>
      <w:r>
        <w:rPr>
          <w:vertAlign w:val="superscript"/>
        </w:rPr>
        <w:fldChar w:fldCharType="end"/>
      </w:r>
      <w:r>
        <w:rPr>
          <w:rFonts w:hint="eastAsia"/>
        </w:rPr>
        <w:t>的中文成绩上显著优于同级别模型。这意味着在保持小体量的同时，它已具备稳健的语义理解与跨领域泛化能力，为检测越狱提示中的复杂语义与隐式意图提供坚实基础。</w:t>
      </w:r>
    </w:p>
    <w:p w14:paraId="1E493A27">
      <w:pPr>
        <w:ind w:firstLine="480"/>
        <w:rPr>
          <w:color w:val="000000" w:themeColor="text1"/>
          <w14:textFill>
            <w14:solidFill>
              <w14:schemeClr w14:val="tx1"/>
            </w14:solidFill>
          </w14:textFill>
        </w:rPr>
      </w:pPr>
      <w:r>
        <w:rPr>
          <w:rFonts w:hint="eastAsia"/>
        </w:rPr>
        <w:t>此外，1.5B级模型在特定领域任务上梯度更新本就呈低秩特性，LoRA能高效捕获主要方向。而且社区已提供多种量化与LoRA适配脚本，可轻松部署在边缘服务器甚至消费级设备上。这一“开源友好+低硬件门槛”特性，使得我们能够以极小的工程代价迭代检测器、快速跟进新型攻击模式，从而满足高效、轻量、持续演进的实际需求。</w:t>
      </w:r>
    </w:p>
    <w:p w14:paraId="3E9CA64F">
      <w:pPr>
        <w:pStyle w:val="3"/>
        <w:spacing w:before="240" w:after="240"/>
        <w:ind w:firstLine="0" w:firstLineChars="0"/>
      </w:pPr>
      <w:bookmarkStart w:id="33" w:name="_Toc196336441"/>
      <w:bookmarkStart w:id="34" w:name="_Toc197274527"/>
      <w:r>
        <w:rPr>
          <w:rFonts w:hint="eastAsia"/>
        </w:rPr>
        <w:t>3.4 任务定义</w:t>
      </w:r>
      <w:bookmarkEnd w:id="33"/>
      <w:bookmarkEnd w:id="34"/>
    </w:p>
    <w:p w14:paraId="3A7C4887">
      <w:pPr>
        <w:ind w:firstLine="480"/>
      </w:pPr>
      <w:r>
        <w:rPr>
          <w:rFonts w:hint="eastAsia"/>
        </w:rPr>
        <w:t>设</w:t>
      </w:r>
      <m:oMath>
        <m:r>
          <m:rPr>
            <m:scr m:val="script"/>
          </m:rPr>
          <w:rPr>
            <w:rFonts w:ascii="Cambria Math" w:hAnsi="Cambria Math"/>
          </w:rPr>
          <m:t>X</m:t>
        </m:r>
      </m:oMath>
      <w:r>
        <w:rPr>
          <w:rFonts w:hint="eastAsia"/>
        </w:rPr>
        <w:t>为用户提交的原始提示</w:t>
      </w:r>
      <w:r>
        <w:t>(</w:t>
      </w:r>
      <w:r>
        <w:rPr>
          <w:rFonts w:hint="eastAsia"/>
        </w:rPr>
        <w:t>P</w:t>
      </w:r>
      <w:r>
        <w:t>rompt)</w:t>
      </w:r>
      <w:r>
        <w:rPr>
          <w:rFonts w:hint="eastAsia"/>
        </w:rPr>
        <w:t xml:space="preserve">空间， </w:t>
      </w:r>
      <m:oMath>
        <m:r>
          <m:rPr>
            <m:scr m:val="script"/>
          </m:rPr>
          <w:rPr>
            <w:rFonts w:ascii="Cambria Math" w:hAnsi="Cambria Math"/>
          </w:rPr>
          <m:t>Y</m:t>
        </m:r>
        <m:r>
          <m:rPr/>
          <w:rPr>
            <w:rFonts w:ascii="Cambria Math" w:hAnsi="Cambria Math"/>
          </w:rPr>
          <m:t>={0,1}</m:t>
        </m:r>
      </m:oMath>
      <w:r>
        <w:rPr>
          <w:rFonts w:hint="eastAsia"/>
        </w:rPr>
        <w:t>为标签空间，其中</w:t>
      </w:r>
      <m:oMath>
        <m:r>
          <m:rPr/>
          <w:rPr>
            <w:rFonts w:ascii="Cambria Math" w:hAnsi="Cambria Math"/>
          </w:rPr>
          <m:t>y=1</m:t>
        </m:r>
      </m:oMath>
      <w:r>
        <w:rPr>
          <w:rFonts w:hint="eastAsia"/>
        </w:rPr>
        <w:t xml:space="preserve">表示提示中含有越狱或其他潜在有害意图， </w:t>
      </w:r>
      <m:oMath>
        <m:r>
          <m:rPr/>
          <w:rPr>
            <w:rFonts w:ascii="Cambria Math" w:hAnsi="Cambria Math"/>
          </w:rPr>
          <m:t>y=0</m:t>
        </m:r>
      </m:oMath>
      <w:r>
        <w:rPr>
          <w:rFonts w:hint="eastAsia"/>
        </w:rPr>
        <w:t>则表明提示为正常或安全内容。本节的目标是学习一个判别函数：</w:t>
      </w:r>
    </w:p>
    <w:p w14:paraId="372EF88B">
      <w:pPr>
        <w:ind w:firstLine="480"/>
      </w:pPr>
      <m:oMathPara>
        <m:oMath>
          <m:eqArr>
            <m:eqArrPr>
              <m:maxDist m:val="1"/>
              <m:ctrlPr>
                <w:rPr>
                  <w:rFonts w:ascii="Cambria Math" w:hAnsi="Cambria Math"/>
                  <w:i/>
                </w:rPr>
              </m:ctrlPr>
            </m:eqArrPr>
            <m:e>
              <m:sSub>
                <m:sSubPr>
                  <m:ctrlPr>
                    <w:rPr>
                      <w:rFonts w:ascii="Cambria Math" w:hAnsi="Cambria Math"/>
                      <w:i/>
                    </w:rPr>
                  </m:ctrlPr>
                </m:sSubPr>
                <m:e>
                  <m:r>
                    <m:rPr/>
                    <w:rPr>
                      <w:rFonts w:hint="eastAsia" w:ascii="Cambria Math" w:hAnsi="Cambria Math"/>
                    </w:rPr>
                    <m:t>f</m:t>
                  </m:r>
                  <m:ctrlPr>
                    <w:rPr>
                      <w:rFonts w:hint="eastAsia" w:ascii="Cambria Math" w:hAnsi="Cambria Math"/>
                      <w:i/>
                    </w:rPr>
                  </m:ctrlPr>
                </m:e>
                <m:sub>
                  <m:r>
                    <m:rPr/>
                    <w:rPr>
                      <w:rFonts w:ascii="Cambria Math" w:hAnsi="Cambria Math"/>
                    </w:rPr>
                    <m:t>θ</m:t>
                  </m:r>
                  <m:ctrlPr>
                    <w:rPr>
                      <w:rFonts w:ascii="Cambria Math" w:hAnsi="Cambria Math"/>
                      <w:i/>
                    </w:rPr>
                  </m:ctrlPr>
                </m:sub>
              </m:sSub>
              <m:r>
                <m:rPr>
                  <m:scr m:val="script"/>
                </m:rPr>
                <w:rPr>
                  <w:rFonts w:ascii="Cambria Math" w:hAnsi="Cambria Math"/>
                </w:rPr>
                <m:t>: X→</m:t>
              </m:r>
              <m:d>
                <m:dPr>
                  <m:begChr m:val="["/>
                  <m:endChr m:val="]"/>
                  <m:ctrlPr>
                    <w:rPr>
                      <w:rFonts w:ascii="Cambria Math" w:hAnsi="Cambria Math"/>
                      <w:i/>
                    </w:rPr>
                  </m:ctrlPr>
                </m:dPr>
                <m:e>
                  <m:r>
                    <m:rPr/>
                    <w:rPr>
                      <w:rFonts w:ascii="Cambria Math" w:hAnsi="Cambria Math"/>
                    </w:rPr>
                    <m:t>0,1</m:t>
                  </m:r>
                  <m:ctrlPr>
                    <w:rPr>
                      <w:rFonts w:ascii="Cambria Math" w:hAnsi="Cambria Math"/>
                      <w:i/>
                    </w:rPr>
                  </m:ctrlPr>
                </m:e>
              </m:d>
              <m:r>
                <m:rPr/>
                <w:rPr>
                  <w:rFonts w:ascii="Cambria Math" w:hAnsi="Cambria Math"/>
                </w:rPr>
                <m:t xml:space="preserve">,    </m:t>
              </m:r>
              <m:sSub>
                <m:sSubPr>
                  <m:ctrlPr>
                    <w:rPr>
                      <w:rFonts w:ascii="Cambria Math" w:hAnsi="Cambria Math"/>
                      <w:i/>
                    </w:rPr>
                  </m:ctrlPr>
                </m:sSubPr>
                <m:e>
                  <m:r>
                    <m:rPr/>
                    <w:rPr>
                      <w:rFonts w:ascii="Cambria Math" w:hAnsi="Cambria Math"/>
                    </w:rPr>
                    <m:t>f</m:t>
                  </m:r>
                  <m:ctrlPr>
                    <w:rPr>
                      <w:rFonts w:ascii="Cambria Math" w:hAnsi="Cambria Math"/>
                      <w:i/>
                    </w:rPr>
                  </m:ctrlPr>
                </m:e>
                <m:sub>
                  <m:r>
                    <m:rPr/>
                    <w:rPr>
                      <w:rFonts w:ascii="Cambria Math" w:hAnsi="Cambria Math"/>
                    </w:rPr>
                    <m:t>θ</m:t>
                  </m:r>
                  <m:ctrlPr>
                    <w:rPr>
                      <w:rFonts w:ascii="Cambria Math" w:hAnsi="Cambria Math"/>
                      <w:i/>
                    </w:rPr>
                  </m:ctrlPr>
                </m:sub>
              </m:sSub>
              <m:d>
                <m:dPr>
                  <m:ctrlPr>
                    <w:rPr>
                      <w:rFonts w:ascii="Cambria Math" w:hAnsi="Cambria Math"/>
                      <w:i/>
                    </w:rPr>
                  </m:ctrlPr>
                </m:dPr>
                <m:e>
                  <m:r>
                    <m:rPr/>
                    <w:rPr>
                      <w:rFonts w:ascii="Cambria Math" w:hAnsi="Cambria Math"/>
                    </w:rPr>
                    <m:t>x</m:t>
                  </m:r>
                  <m:ctrlPr>
                    <w:rPr>
                      <w:rFonts w:ascii="Cambria Math" w:hAnsi="Cambria Math"/>
                      <w:i/>
                    </w:rPr>
                  </m:ctrlPr>
                </m:e>
              </m:d>
              <m:r>
                <m:rPr/>
                <w:rPr>
                  <w:rFonts w:ascii="Cambria Math" w:hAnsi="Cambria Math"/>
                </w:rPr>
                <m:t>=</m:t>
              </m:r>
              <m:func>
                <m:funcPr>
                  <m:ctrlPr>
                    <w:rPr>
                      <w:rFonts w:ascii="Cambria Math" w:hAnsi="Cambria Math"/>
                      <w:i/>
                    </w:rPr>
                  </m:ctrlPr>
                </m:funcPr>
                <m:fName>
                  <m:r>
                    <m:rPr>
                      <m:sty m:val="p"/>
                    </m:rPr>
                    <w:rPr>
                      <w:rFonts w:ascii="Cambria Math" w:hAnsi="Cambria Math"/>
                    </w:rPr>
                    <m:t>Pr</m:t>
                  </m:r>
                  <m:ctrlPr>
                    <w:rPr>
                      <w:rFonts w:ascii="Cambria Math" w:hAnsi="Cambria Math"/>
                      <w:i/>
                    </w:rPr>
                  </m:ctrlPr>
                </m:fName>
                <m:e>
                  <m:d>
                    <m:dPr>
                      <m:endChr m:val="|"/>
                      <m:ctrlPr>
                        <w:rPr>
                          <w:rFonts w:ascii="Cambria Math" w:hAnsi="Cambria Math"/>
                          <w:i/>
                        </w:rPr>
                      </m:ctrlPr>
                    </m:dPr>
                    <m:e>
                      <m:r>
                        <m:rPr/>
                        <w:rPr>
                          <w:rFonts w:ascii="Cambria Math" w:hAnsi="Cambria Math"/>
                        </w:rPr>
                        <m:t xml:space="preserve">y=1 </m:t>
                      </m:r>
                      <m:ctrlPr>
                        <w:rPr>
                          <w:rFonts w:ascii="Cambria Math" w:hAnsi="Cambria Math"/>
                          <w:i/>
                        </w:rPr>
                      </m:ctrlPr>
                    </m:e>
                  </m:d>
                  <m:ctrlPr>
                    <w:rPr>
                      <w:rFonts w:ascii="Cambria Math" w:hAnsi="Cambria Math"/>
                      <w:i/>
                    </w:rPr>
                  </m:ctrlPr>
                </m:e>
              </m:func>
              <m:r>
                <m:rPr/>
                <w:rPr>
                  <w:rFonts w:ascii="Cambria Math" w:hAnsi="Cambria Math"/>
                </w:rPr>
                <m:t xml:space="preserve"> x;θ)#</m:t>
              </m:r>
              <m:d>
                <m:dPr>
                  <m:ctrlPr>
                    <w:rPr>
                      <w:rFonts w:ascii="Cambria Math" w:hAnsi="Cambria Math"/>
                      <w:i/>
                    </w:rPr>
                  </m:ctrlPr>
                </m:dPr>
                <m:e>
                  <m:r>
                    <m:rPr/>
                    <w:rPr>
                      <w:rFonts w:ascii="Cambria Math" w:hAnsi="Cambria Math"/>
                    </w:rPr>
                    <m:t>3−1</m:t>
                  </m:r>
                  <m:ctrlPr>
                    <w:rPr>
                      <w:rFonts w:ascii="Cambria Math" w:hAnsi="Cambria Math"/>
                      <w:i/>
                    </w:rPr>
                  </m:ctrlPr>
                </m:e>
              </m:d>
              <m:ctrlPr>
                <w:rPr>
                  <w:rFonts w:ascii="Cambria Math" w:hAnsi="Cambria Math"/>
                  <w:i/>
                </w:rPr>
              </m:ctrlPr>
            </m:e>
          </m:eqArr>
        </m:oMath>
      </m:oMathPara>
    </w:p>
    <w:p w14:paraId="7B1A853C">
      <w:pPr>
        <w:ind w:firstLine="0" w:firstLineChars="0"/>
      </w:pPr>
      <w:r>
        <w:rPr>
          <w:rFonts w:hint="eastAsia"/>
        </w:rPr>
        <w:t>其中，</w:t>
      </w:r>
      <m:oMath>
        <m:r>
          <m:rPr/>
          <w:rPr>
            <w:rFonts w:ascii="Cambria Math" w:hAnsi="Cambria Math"/>
          </w:rPr>
          <m:t xml:space="preserve">θ= ϕ ∪ ∆θ </m:t>
        </m:r>
      </m:oMath>
      <w:r>
        <w:rPr>
          <w:rFonts w:hint="eastAsia"/>
        </w:rPr>
        <w:t>，</w:t>
      </w:r>
      <m:oMath>
        <m:r>
          <m:rPr/>
          <w:rPr>
            <w:rFonts w:ascii="Cambria Math" w:hAnsi="Cambria Math"/>
          </w:rPr>
          <m:t>ϕ</m:t>
        </m:r>
      </m:oMath>
      <w:r>
        <w:rPr>
          <w:rFonts w:hint="eastAsia"/>
        </w:rPr>
        <w:t>是冻结的基座权重，</w:t>
      </w:r>
      <m:oMath>
        <m:r>
          <m:rPr/>
          <w:rPr>
            <w:rFonts w:ascii="Cambria Math" w:hAnsi="Cambria Math"/>
          </w:rPr>
          <m:t>∆θ</m:t>
        </m:r>
      </m:oMath>
      <w:r>
        <w:rPr>
          <w:rFonts w:hint="eastAsia"/>
        </w:rPr>
        <w:t>是通过LoRA新增并经训练更新的低秩矩阵。判别过程仅依赖单条提示</w:t>
      </w:r>
      <m:oMath>
        <m:r>
          <m:rPr/>
          <w:rPr>
            <w:rFonts w:ascii="Cambria Math" w:hAnsi="Cambria Math"/>
          </w:rPr>
          <m:t>x</m:t>
        </m:r>
      </m:oMath>
      <w:r>
        <w:rPr>
          <w:rFonts w:hint="eastAsia"/>
        </w:rPr>
        <w:t>，不需要访问随后由大模型生成的回答</w:t>
      </w:r>
      <m:oMath>
        <m:acc>
          <m:accPr>
            <m:ctrlPr>
              <w:rPr>
                <w:rFonts w:ascii="Cambria Math" w:hAnsi="Cambria Math"/>
                <w:i/>
              </w:rPr>
            </m:ctrlPr>
          </m:accPr>
          <m:e>
            <m:r>
              <m:rPr/>
              <w:rPr>
                <w:rFonts w:hint="eastAsia" w:ascii="Cambria Math" w:hAnsi="Cambria Math"/>
              </w:rPr>
              <m:t>r</m:t>
            </m:r>
            <m:ctrlPr>
              <w:rPr>
                <w:rFonts w:ascii="Cambria Math" w:hAnsi="Cambria Math"/>
                <w:i/>
              </w:rPr>
            </m:ctrlPr>
          </m:e>
        </m:acc>
      </m:oMath>
      <w:r>
        <w:rPr>
          <w:rFonts w:hint="eastAsia"/>
        </w:rPr>
        <w:t>，从而避免了对下游模型架构、上下文窗口和解码策略的耦合，提高了跨模型泛化性与部署灵活性。</w:t>
      </w:r>
    </w:p>
    <w:p w14:paraId="1C3DAE84">
      <w:pPr>
        <w:ind w:firstLine="480"/>
      </w:pPr>
      <w:r>
        <w:rPr>
          <w:rFonts w:hint="eastAsia"/>
        </w:rPr>
        <w:t>给定标注样本集合</w:t>
      </w:r>
      <m:oMath>
        <m:r>
          <m:rPr>
            <m:scr m:val="script"/>
          </m:rPr>
          <w:rPr>
            <w:rFonts w:ascii="Cambria Math" w:hAnsi="Cambria Math"/>
          </w:rPr>
          <m:t>D=</m:t>
        </m:r>
        <m:sSubSup>
          <m:sSubSupPr>
            <m:ctrlPr>
              <w:rPr>
                <w:rFonts w:ascii="Cambria Math" w:hAnsi="Cambria Math"/>
                <w:i/>
              </w:rPr>
            </m:ctrlPr>
          </m:sSubSupPr>
          <m:e>
            <m:r>
              <m:rPr/>
              <w:rPr>
                <w:rFonts w:ascii="Cambria Math" w:hAnsi="Cambria Math"/>
              </w:rPr>
              <m:t>{(</m:t>
            </m:r>
            <m:sSub>
              <m:sSubPr>
                <m:ctrlPr>
                  <w:rPr>
                    <w:rFonts w:ascii="Cambria Math" w:hAnsi="Cambria Math"/>
                    <w:i/>
                  </w:rPr>
                </m:ctrlPr>
              </m:sSubPr>
              <m:e>
                <m:r>
                  <m:rPr/>
                  <w:rPr>
                    <w:rFonts w:ascii="Cambria Math" w:hAnsi="Cambria Math"/>
                  </w:rPr>
                  <m:t>x</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sSub>
              <m:sSubPr>
                <m:ctrlPr>
                  <w:rPr>
                    <w:rFonts w:ascii="Cambria Math" w:hAnsi="Cambria Math"/>
                    <w:i/>
                  </w:rPr>
                </m:ctrlPr>
              </m:sSubPr>
              <m:e>
                <m:r>
                  <m:rPr/>
                  <w:rPr>
                    <w:rFonts w:ascii="Cambria Math" w:hAnsi="Cambria Math"/>
                  </w:rPr>
                  <m:t>y</m:t>
                </m:r>
                <m:ctrlPr>
                  <w:rPr>
                    <w:rFonts w:ascii="Cambria Math" w:hAnsi="Cambria Math"/>
                    <w:i/>
                  </w:rPr>
                </m:ctrlPr>
              </m:e>
              <m:sub>
                <m:r>
                  <m:rPr/>
                  <w:rPr>
                    <w:rFonts w:ascii="Cambria Math" w:hAnsi="Cambria Math"/>
                  </w:rPr>
                  <m:t>i</m:t>
                </m:r>
                <m:ctrlPr>
                  <w:rPr>
                    <w:rFonts w:ascii="Cambria Math" w:hAnsi="Cambria Math"/>
                    <w:i/>
                  </w:rPr>
                </m:ctrlPr>
              </m:sub>
            </m:sSub>
            <m:r>
              <m:rPr/>
              <w:rPr>
                <w:rFonts w:ascii="Cambria Math" w:hAnsi="Cambria Math"/>
              </w:rPr>
              <m:t>)}</m:t>
            </m:r>
            <m:ctrlPr>
              <w:rPr>
                <w:rFonts w:ascii="Cambria Math" w:hAnsi="Cambria Math"/>
                <w:i/>
              </w:rPr>
            </m:ctrlPr>
          </m:e>
          <m:sub>
            <m:r>
              <m:rPr/>
              <w:rPr>
                <w:rFonts w:ascii="Cambria Math" w:hAnsi="Cambria Math"/>
              </w:rPr>
              <m:t>i=1</m:t>
            </m:r>
            <m:ctrlPr>
              <w:rPr>
                <w:rFonts w:ascii="Cambria Math" w:hAnsi="Cambria Math"/>
                <w:i/>
              </w:rPr>
            </m:ctrlPr>
          </m:sub>
          <m:sup>
            <m:r>
              <m:rPr/>
              <w:rPr>
                <w:rFonts w:ascii="Cambria Math" w:hAnsi="Cambria Math"/>
              </w:rPr>
              <m:t>N</m:t>
            </m:r>
            <m:ctrlPr>
              <w:rPr>
                <w:rFonts w:ascii="Cambria Math" w:hAnsi="Cambria Math"/>
                <w:i/>
              </w:rPr>
            </m:ctrlPr>
          </m:sup>
        </m:sSubSup>
      </m:oMath>
      <w:r>
        <w:rPr>
          <w:rFonts w:hint="eastAsia"/>
        </w:rPr>
        <w:t>，训练阶段最小化对数似然损失：</w:t>
      </w:r>
    </w:p>
    <w:p w14:paraId="6CA3CD71">
      <w:pPr>
        <w:ind w:firstLine="480"/>
      </w:pPr>
      <m:oMathPara>
        <m:oMath>
          <m:eqArr>
            <m:eqArrPr>
              <m:maxDist m:val="1"/>
              <m:ctrlPr>
                <w:rPr>
                  <w:rFonts w:ascii="Cambria Math" w:hAnsi="Cambria Math"/>
                  <w:i/>
                  <w:iCs/>
                </w:rPr>
              </m:ctrlPr>
            </m:eqArrPr>
            <m:e>
              <m:r>
                <m:rPr>
                  <m:scr m:val="script"/>
                </m:rPr>
                <w:rPr>
                  <w:rFonts w:ascii="Cambria Math" w:hAnsi="Cambria Math"/>
                </w:rPr>
                <m:t>ℒ</m:t>
              </m:r>
              <m:d>
                <m:dPr>
                  <m:ctrlPr>
                    <w:rPr>
                      <w:rFonts w:ascii="Cambria Math" w:hAnsi="Cambria Math"/>
                      <w:i/>
                      <w:iCs/>
                    </w:rPr>
                  </m:ctrlPr>
                </m:dPr>
                <m:e>
                  <m:r>
                    <m:rPr/>
                    <w:rPr>
                      <w:rFonts w:ascii="Cambria Math" w:hAnsi="Cambria Math"/>
                    </w:rPr>
                    <m:t>θ</m:t>
                  </m:r>
                  <m:ctrlPr>
                    <w:rPr>
                      <w:rFonts w:ascii="Cambria Math" w:hAnsi="Cambria Math"/>
                      <w:i/>
                      <w:iCs/>
                    </w:rPr>
                  </m:ctrlPr>
                </m:e>
              </m:d>
              <m:r>
                <m:rPr/>
                <w:rPr>
                  <w:rFonts w:ascii="Cambria Math" w:hAnsi="Cambria Math"/>
                </w:rPr>
                <m:t>=−</m:t>
              </m:r>
              <m:f>
                <m:fPr>
                  <m:ctrlPr>
                    <w:rPr>
                      <w:rFonts w:ascii="Cambria Math" w:hAnsi="Cambria Math"/>
                      <w:i/>
                      <w:iCs/>
                    </w:rPr>
                  </m:ctrlPr>
                </m:fPr>
                <m:num>
                  <m:r>
                    <m:rPr/>
                    <w:rPr>
                      <w:rFonts w:ascii="Cambria Math" w:hAnsi="Cambria Math"/>
                    </w:rPr>
                    <m:t>1</m:t>
                  </m:r>
                  <m:ctrlPr>
                    <w:rPr>
                      <w:rFonts w:ascii="Cambria Math" w:hAnsi="Cambria Math"/>
                      <w:i/>
                      <w:iCs/>
                    </w:rPr>
                  </m:ctrlPr>
                </m:num>
                <m:den>
                  <m:r>
                    <m:rPr/>
                    <w:rPr>
                      <w:rFonts w:ascii="Cambria Math" w:hAnsi="Cambria Math"/>
                    </w:rPr>
                    <m:t>N</m:t>
                  </m:r>
                  <m:ctrlPr>
                    <w:rPr>
                      <w:rFonts w:ascii="Cambria Math" w:hAnsi="Cambria Math"/>
                      <w:i/>
                      <w:iCs/>
                    </w:rPr>
                  </m:ctrlPr>
                </m:den>
              </m:f>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r>
                    <m:rPr/>
                    <w:rPr>
                      <w:rFonts w:ascii="Cambria Math" w:hAnsi="Cambria Math"/>
                    </w:rPr>
                    <m:t>N</m:t>
                  </m:r>
                  <m:ctrlPr>
                    <w:rPr>
                      <w:rFonts w:ascii="Cambria Math" w:hAnsi="Cambria Math"/>
                      <w:i/>
                      <w:iCs/>
                    </w:rPr>
                  </m:ctrlPr>
                </m:sup>
                <m:e>
                  <m:d>
                    <m:dPr>
                      <m:begChr m:val="["/>
                      <m:endChr m:val="]"/>
                      <m:ctrlPr>
                        <w:rPr>
                          <w:rFonts w:ascii="Cambria Math" w:hAnsi="Cambria Math"/>
                          <w:i/>
                          <w:iCs/>
                        </w:rPr>
                      </m:ctrlPr>
                    </m:dPr>
                    <m:e>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func>
                        <m:funcPr>
                          <m:ctrlPr>
                            <w:rPr>
                              <w:rFonts w:ascii="Cambria Math" w:hAnsi="Cambria Math"/>
                              <w:i/>
                              <w:iCs/>
                            </w:rPr>
                          </m:ctrlPr>
                        </m:funcPr>
                        <m:fName>
                          <m:r>
                            <m:rPr>
                              <m:sty m:val="p"/>
                            </m:rPr>
                            <w:rPr>
                              <w:rFonts w:ascii="Cambria Math" w:hAnsi="Cambria Math"/>
                            </w:rPr>
                            <m:t>log</m:t>
                          </m:r>
                          <m:ctrlPr>
                            <w:rPr>
                              <w:rFonts w:ascii="Cambria Math" w:hAnsi="Cambria Math"/>
                              <w:i/>
                              <w:iCs/>
                            </w:rPr>
                          </m:ctrlPr>
                        </m:fName>
                        <m:e>
                          <m:sSub>
                            <m:sSubPr>
                              <m:ctrlPr>
                                <w:rPr>
                                  <w:rFonts w:ascii="Cambria Math" w:hAnsi="Cambria Math"/>
                                  <w:i/>
                                  <w:iCs/>
                                </w:rPr>
                              </m:ctrlPr>
                            </m:sSubPr>
                            <m:e>
                              <m:r>
                                <m:rPr/>
                                <w:rPr>
                                  <w:rFonts w:ascii="Cambria Math" w:hAnsi="Cambria Math"/>
                                </w:rPr>
                                <m:t>f</m:t>
                              </m:r>
                              <m:ctrlPr>
                                <w:rPr>
                                  <w:rFonts w:ascii="Cambria Math" w:hAnsi="Cambria Math"/>
                                  <w:i/>
                                  <w:iCs/>
                                </w:rPr>
                              </m:ctrlPr>
                            </m:e>
                            <m:sub>
                              <m:r>
                                <m:rPr/>
                                <w:rPr>
                                  <w:rFonts w:ascii="Cambria Math" w:hAnsi="Cambria Math"/>
                                </w:rPr>
                                <m:t>θ</m:t>
                              </m:r>
                              <m:ctrlPr>
                                <w:rPr>
                                  <w:rFonts w:ascii="Cambria Math" w:hAnsi="Cambria Math"/>
                                  <w:i/>
                                  <w:iCs/>
                                </w:rPr>
                              </m:ctrlPr>
                            </m:sub>
                          </m:sSub>
                          <m:d>
                            <m:dPr>
                              <m:ctrlPr>
                                <w:rPr>
                                  <w:rFonts w:ascii="Cambria Math" w:hAnsi="Cambria Math"/>
                                  <w:i/>
                                  <w:iCs/>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e>
                          </m:d>
                          <m:r>
                            <m:rPr/>
                            <w:rPr>
                              <w:rFonts w:ascii="Cambria Math" w:hAnsi="Cambria Math"/>
                            </w:rPr>
                            <m:t>+</m:t>
                          </m:r>
                          <m:d>
                            <m:dPr>
                              <m:ctrlPr>
                                <w:rPr>
                                  <w:rFonts w:ascii="Cambria Math" w:hAnsi="Cambria Math"/>
                                  <w:i/>
                                  <w:iCs/>
                                </w:rPr>
                              </m:ctrlPr>
                            </m:dPr>
                            <m:e>
                              <m:r>
                                <m:rPr/>
                                <w:rPr>
                                  <w:rFonts w:ascii="Cambria Math" w:hAnsi="Cambria Math"/>
                                </w:rPr>
                                <m:t>1−</m:t>
                              </m:r>
                              <m:sSub>
                                <m:sSubPr>
                                  <m:ctrlPr>
                                    <w:rPr>
                                      <w:rFonts w:ascii="Cambria Math" w:hAnsi="Cambria Math"/>
                                      <w:i/>
                                      <w:iCs/>
                                    </w:rPr>
                                  </m:ctrlPr>
                                </m:sSubPr>
                                <m:e>
                                  <m:r>
                                    <m:rPr/>
                                    <w:rPr>
                                      <w:rFonts w:ascii="Cambria Math" w:hAnsi="Cambria Math"/>
                                    </w:rPr>
                                    <m:t>y</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iCs/>
                                </w:rPr>
                              </m:ctrlPr>
                            </m:e>
                          </m:d>
                          <m:func>
                            <m:funcPr>
                              <m:ctrlPr>
                                <w:rPr>
                                  <w:rFonts w:ascii="Cambria Math" w:hAnsi="Cambria Math"/>
                                  <w:i/>
                                  <w:iCs/>
                                </w:rPr>
                              </m:ctrlPr>
                            </m:funcPr>
                            <m:fName>
                              <m:r>
                                <m:rPr>
                                  <m:sty m:val="p"/>
                                </m:rPr>
                                <w:rPr>
                                  <w:rFonts w:ascii="Cambria Math" w:hAnsi="Cambria Math"/>
                                </w:rPr>
                                <m:t>log</m:t>
                              </m:r>
                              <m:ctrlPr>
                                <w:rPr>
                                  <w:rFonts w:ascii="Cambria Math" w:hAnsi="Cambria Math"/>
                                  <w:i/>
                                  <w:iCs/>
                                </w:rPr>
                              </m:ctrlPr>
                            </m:fName>
                            <m:e>
                              <m:d>
                                <m:dPr>
                                  <m:ctrlPr>
                                    <w:rPr>
                                      <w:rFonts w:ascii="Cambria Math" w:hAnsi="Cambria Math"/>
                                      <w:i/>
                                    </w:rPr>
                                  </m:ctrlPr>
                                </m:dPr>
                                <m:e>
                                  <m:r>
                                    <m:rPr/>
                                    <w:rPr>
                                      <w:rFonts w:ascii="Cambria Math" w:hAnsi="Cambria Math"/>
                                    </w:rPr>
                                    <m:t>1−</m:t>
                                  </m:r>
                                  <m:sSub>
                                    <m:sSubPr>
                                      <m:ctrlPr>
                                        <w:rPr>
                                          <w:rFonts w:ascii="Cambria Math" w:hAnsi="Cambria Math"/>
                                          <w:i/>
                                          <w:iCs/>
                                        </w:rPr>
                                      </m:ctrlPr>
                                    </m:sSubPr>
                                    <m:e>
                                      <m:r>
                                        <m:rPr/>
                                        <w:rPr>
                                          <w:rFonts w:ascii="Cambria Math" w:hAnsi="Cambria Math"/>
                                        </w:rPr>
                                        <m:t>f</m:t>
                                      </m:r>
                                      <m:ctrlPr>
                                        <w:rPr>
                                          <w:rFonts w:ascii="Cambria Math" w:hAnsi="Cambria Math"/>
                                          <w:i/>
                                          <w:iCs/>
                                        </w:rPr>
                                      </m:ctrlPr>
                                    </m:e>
                                    <m:sub>
                                      <m:r>
                                        <m:rPr/>
                                        <w:rPr>
                                          <w:rFonts w:ascii="Cambria Math" w:hAnsi="Cambria Math"/>
                                        </w:rPr>
                                        <m:t>θ</m:t>
                                      </m:r>
                                      <m:ctrlPr>
                                        <w:rPr>
                                          <w:rFonts w:ascii="Cambria Math" w:hAnsi="Cambria Math"/>
                                          <w:i/>
                                          <w:iCs/>
                                        </w:rPr>
                                      </m:ctrlPr>
                                    </m:sub>
                                  </m:sSub>
                                  <m:d>
                                    <m:dPr>
                                      <m:ctrlPr>
                                        <w:rPr>
                                          <w:rFonts w:ascii="Cambria Math" w:hAnsi="Cambria Math"/>
                                          <w:i/>
                                        </w:rPr>
                                      </m:ctrlPr>
                                    </m:dPr>
                                    <m:e>
                                      <m:sSub>
                                        <m:sSubPr>
                                          <m:ctrlPr>
                                            <w:rPr>
                                              <w:rFonts w:ascii="Cambria Math" w:hAnsi="Cambria Math"/>
                                              <w:i/>
                                              <w:iCs/>
                                            </w:rPr>
                                          </m:ctrlPr>
                                        </m:sSubPr>
                                        <m:e>
                                          <m:r>
                                            <m:rPr/>
                                            <w:rPr>
                                              <w:rFonts w:ascii="Cambria Math" w:hAnsi="Cambria Math"/>
                                            </w:rPr>
                                            <m:t>x</m:t>
                                          </m:r>
                                          <m:ctrlPr>
                                            <w:rPr>
                                              <w:rFonts w:ascii="Cambria Math" w:hAnsi="Cambria Math"/>
                                              <w:i/>
                                              <w:iCs/>
                                            </w:rPr>
                                          </m:ctrlPr>
                                        </m:e>
                                        <m:sub>
                                          <m:r>
                                            <m:rPr/>
                                            <w:rPr>
                                              <w:rFonts w:ascii="Cambria Math" w:hAnsi="Cambria Math"/>
                                            </w:rPr>
                                            <m:t>i</m:t>
                                          </m:r>
                                          <m:ctrlPr>
                                            <w:rPr>
                                              <w:rFonts w:ascii="Cambria Math" w:hAnsi="Cambria Math"/>
                                              <w:i/>
                                              <w:iCs/>
                                            </w:rPr>
                                          </m:ctrlPr>
                                        </m:sub>
                                      </m:sSub>
                                      <m:ctrlPr>
                                        <w:rPr>
                                          <w:rFonts w:ascii="Cambria Math" w:hAnsi="Cambria Math"/>
                                          <w:i/>
                                        </w:rPr>
                                      </m:ctrlPr>
                                    </m:e>
                                  </m:d>
                                  <m:ctrlPr>
                                    <w:rPr>
                                      <w:rFonts w:ascii="Cambria Math" w:hAnsi="Cambria Math"/>
                                      <w:i/>
                                    </w:rPr>
                                  </m:ctrlPr>
                                </m:e>
                              </m:d>
                              <m:ctrlPr>
                                <w:rPr>
                                  <w:rFonts w:ascii="Cambria Math" w:hAnsi="Cambria Math"/>
                                  <w:i/>
                                  <w:iCs/>
                                </w:rPr>
                              </m:ctrlPr>
                            </m:e>
                          </m:func>
                          <m:ctrlPr>
                            <w:rPr>
                              <w:rFonts w:ascii="Cambria Math" w:hAnsi="Cambria Math"/>
                              <w:i/>
                              <w:iCs/>
                            </w:rPr>
                          </m:ctrlPr>
                        </m:e>
                      </m:func>
                      <m:ctrlPr>
                        <w:rPr>
                          <w:rFonts w:ascii="Cambria Math" w:hAnsi="Cambria Math"/>
                          <w:i/>
                          <w:iCs/>
                        </w:rPr>
                      </m:ctrlPr>
                    </m:e>
                  </m:d>
                  <m:ctrlPr>
                    <w:rPr>
                      <w:rFonts w:ascii="Cambria Math" w:hAnsi="Cambria Math"/>
                      <w:i/>
                      <w:iCs/>
                    </w:rPr>
                  </m:ctrlPr>
                </m:e>
              </m:nary>
              <m:r>
                <m:rPr/>
                <w:rPr>
                  <w:rFonts w:ascii="Cambria Math" w:hAnsi="Cambria Math"/>
                </w:rPr>
                <m:t>#</m:t>
              </m:r>
              <m:d>
                <m:dPr>
                  <m:ctrlPr>
                    <w:rPr>
                      <w:rFonts w:ascii="Cambria Math" w:hAnsi="Cambria Math"/>
                      <w:i/>
                      <w:iCs/>
                    </w:rPr>
                  </m:ctrlPr>
                </m:dPr>
                <m:e>
                  <m:r>
                    <m:rPr/>
                    <w:rPr>
                      <w:rFonts w:ascii="Cambria Math" w:hAnsi="Cambria Math"/>
                    </w:rPr>
                    <m:t>3−2</m:t>
                  </m:r>
                  <m:ctrlPr>
                    <w:rPr>
                      <w:rFonts w:ascii="Cambria Math" w:hAnsi="Cambria Math"/>
                      <w:i/>
                      <w:iCs/>
                    </w:rPr>
                  </m:ctrlPr>
                </m:e>
              </m:d>
              <m:ctrlPr>
                <w:rPr>
                  <w:rFonts w:ascii="Cambria Math" w:hAnsi="Cambria Math"/>
                  <w:i/>
                </w:rPr>
              </m:ctrlPr>
            </m:e>
          </m:eqArr>
        </m:oMath>
      </m:oMathPara>
    </w:p>
    <w:p w14:paraId="005188D7">
      <w:pPr>
        <w:ind w:firstLine="420" w:firstLineChars="0"/>
        <w:rPr>
          <w:iCs/>
          <w:color w:val="FF0000"/>
        </w:rPr>
      </w:pPr>
      <w:r>
        <w:rPr>
          <w:rFonts w:hint="eastAsia"/>
          <w:iCs/>
        </w:rPr>
        <w:t>由于Qwen</w:t>
      </w:r>
      <w:r>
        <w:rPr>
          <w:iCs/>
        </w:rPr>
        <w:t>2-1.5B-Instruct</w:t>
      </w:r>
      <w:r>
        <w:rPr>
          <w:rFonts w:hint="eastAsia"/>
          <w:iCs/>
        </w:rPr>
        <w:t>本身已具备多语种理解与长上下文编码能力，本文通过指令微调</w:t>
      </w:r>
      <w:r>
        <w:rPr>
          <w:iCs/>
          <w:vertAlign w:val="superscript"/>
        </w:rPr>
        <w:fldChar w:fldCharType="begin"/>
      </w:r>
      <w:r>
        <w:rPr>
          <w:iCs/>
          <w:vertAlign w:val="superscript"/>
        </w:rPr>
        <w:instrText xml:space="preserve"> REF _Ref196300454 \r \h  \* MERGEFORMAT </w:instrText>
      </w:r>
      <w:r>
        <w:rPr>
          <w:iCs/>
          <w:vertAlign w:val="superscript"/>
        </w:rPr>
        <w:fldChar w:fldCharType="separate"/>
      </w:r>
      <w:r>
        <w:rPr>
          <w:iCs/>
          <w:vertAlign w:val="superscript"/>
        </w:rPr>
        <w:t>[36]</w:t>
      </w:r>
      <w:r>
        <w:rPr>
          <w:iCs/>
          <w:vertAlign w:val="superscript"/>
        </w:rPr>
        <w:fldChar w:fldCharType="end"/>
      </w:r>
      <w:r>
        <w:rPr>
          <w:rFonts w:hint="eastAsia"/>
          <w:iCs/>
        </w:rPr>
        <w:t>将检测任务表述为自然语言指令：“</w:t>
      </w:r>
      <w:r>
        <w:rPr>
          <w:rFonts w:cs="Times New Roman"/>
          <w:i/>
        </w:rPr>
        <w:t>Please judge whether the following question is harmful or unsafe. And only answer ‘True’ if it is harmful or unsafe, otherwise answer ‘False’. The question is: {prompt}</w:t>
      </w:r>
      <w:r>
        <w:rPr>
          <w:rFonts w:cs="Times New Roman"/>
          <w:iCs/>
        </w:rPr>
        <w:t>”</w:t>
      </w:r>
      <w:r>
        <w:rPr>
          <w:rFonts w:hint="eastAsia" w:cs="Times New Roman"/>
          <w:iCs/>
        </w:rPr>
        <w:t>。把分类目标融入指令能够让模型继续沿用原生的对话式表征方式，减少任务切换带来的分布漂移</w:t>
      </w:r>
      <w:r>
        <w:rPr>
          <w:rFonts w:cs="Times New Roman"/>
          <w:iCs/>
          <w:vertAlign w:val="superscript"/>
        </w:rPr>
        <w:fldChar w:fldCharType="begin"/>
      </w:r>
      <w:r>
        <w:rPr>
          <w:rFonts w:cs="Times New Roman"/>
          <w:iCs/>
          <w:vertAlign w:val="superscript"/>
        </w:rPr>
        <w:instrText xml:space="preserve"> </w:instrText>
      </w:r>
      <w:r>
        <w:rPr>
          <w:rFonts w:hint="eastAsia" w:cs="Times New Roman"/>
          <w:iCs/>
          <w:vertAlign w:val="superscript"/>
        </w:rPr>
        <w:instrText xml:space="preserve">REF _Ref196928353 \r \h</w:instrText>
      </w:r>
      <w:r>
        <w:rPr>
          <w:rFonts w:cs="Times New Roman"/>
          <w:iCs/>
          <w:vertAlign w:val="superscript"/>
        </w:rPr>
        <w:instrText xml:space="preserve">  \* MERGEFORMAT </w:instrText>
      </w:r>
      <w:r>
        <w:rPr>
          <w:rFonts w:cs="Times New Roman"/>
          <w:iCs/>
          <w:vertAlign w:val="superscript"/>
        </w:rPr>
        <w:fldChar w:fldCharType="separate"/>
      </w:r>
      <w:r>
        <w:rPr>
          <w:rFonts w:cs="Times New Roman"/>
          <w:iCs/>
          <w:vertAlign w:val="superscript"/>
        </w:rPr>
        <w:t>[50]</w:t>
      </w:r>
      <w:r>
        <w:rPr>
          <w:rFonts w:cs="Times New Roman"/>
          <w:iCs/>
          <w:vertAlign w:val="superscript"/>
        </w:rPr>
        <w:fldChar w:fldCharType="end"/>
      </w:r>
      <w:r>
        <w:rPr>
          <w:rFonts w:cs="Times New Roman"/>
          <w:iCs/>
          <w:vertAlign w:val="superscript"/>
        </w:rPr>
        <w:fldChar w:fldCharType="begin"/>
      </w:r>
      <w:r>
        <w:rPr>
          <w:rFonts w:cs="Times New Roman"/>
          <w:iCs/>
          <w:vertAlign w:val="superscript"/>
        </w:rPr>
        <w:instrText xml:space="preserve"> REF _Ref196928356 \r \h  \* MERGEFORMAT </w:instrText>
      </w:r>
      <w:r>
        <w:rPr>
          <w:rFonts w:cs="Times New Roman"/>
          <w:iCs/>
          <w:vertAlign w:val="superscript"/>
        </w:rPr>
        <w:fldChar w:fldCharType="separate"/>
      </w:r>
      <w:r>
        <w:rPr>
          <w:rFonts w:cs="Times New Roman"/>
          <w:iCs/>
          <w:vertAlign w:val="superscript"/>
        </w:rPr>
        <w:t>[51]</w:t>
      </w:r>
      <w:r>
        <w:rPr>
          <w:rFonts w:cs="Times New Roman"/>
          <w:iCs/>
          <w:vertAlign w:val="superscript"/>
        </w:rPr>
        <w:fldChar w:fldCharType="end"/>
      </w:r>
      <w:r>
        <w:rPr>
          <w:rFonts w:hint="eastAsia" w:cs="Times New Roman"/>
          <w:iCs/>
        </w:rPr>
        <w:t>；同时也能提升零样本</w:t>
      </w:r>
      <w:r>
        <w:rPr>
          <w:rFonts w:cs="Times New Roman"/>
          <w:iCs/>
          <w:vertAlign w:val="superscript"/>
        </w:rPr>
        <w:fldChar w:fldCharType="begin"/>
      </w:r>
      <w:r>
        <w:rPr>
          <w:rFonts w:cs="Times New Roman"/>
          <w:iCs/>
          <w:vertAlign w:val="superscript"/>
        </w:rPr>
        <w:instrText xml:space="preserve"> </w:instrText>
      </w:r>
      <w:r>
        <w:rPr>
          <w:rFonts w:hint="eastAsia" w:cs="Times New Roman"/>
          <w:iCs/>
          <w:vertAlign w:val="superscript"/>
        </w:rPr>
        <w:instrText xml:space="preserve">REF _Ref196928363 \r \h</w:instrText>
      </w:r>
      <w:r>
        <w:rPr>
          <w:rFonts w:cs="Times New Roman"/>
          <w:iCs/>
          <w:vertAlign w:val="superscript"/>
        </w:rPr>
        <w:instrText xml:space="preserve">  \* MERGEFORMAT </w:instrText>
      </w:r>
      <w:r>
        <w:rPr>
          <w:rFonts w:cs="Times New Roman"/>
          <w:iCs/>
          <w:vertAlign w:val="superscript"/>
        </w:rPr>
        <w:fldChar w:fldCharType="separate"/>
      </w:r>
      <w:r>
        <w:rPr>
          <w:rFonts w:cs="Times New Roman"/>
          <w:iCs/>
          <w:vertAlign w:val="superscript"/>
        </w:rPr>
        <w:t>[52]</w:t>
      </w:r>
      <w:r>
        <w:rPr>
          <w:rFonts w:cs="Times New Roman"/>
          <w:iCs/>
          <w:vertAlign w:val="superscript"/>
        </w:rPr>
        <w:fldChar w:fldCharType="end"/>
      </w:r>
      <w:r>
        <w:rPr>
          <w:rFonts w:hint="eastAsia" w:cs="Times New Roman"/>
          <w:iCs/>
        </w:rPr>
        <w:t>任务上的能力表现。</w:t>
      </w:r>
    </w:p>
    <w:p w14:paraId="1FB69F5D">
      <w:pPr>
        <w:pStyle w:val="3"/>
        <w:spacing w:before="240" w:after="240"/>
        <w:ind w:firstLine="0" w:firstLineChars="0"/>
      </w:pPr>
      <w:bookmarkStart w:id="35" w:name="_Toc197274528"/>
      <w:r>
        <w:rPr>
          <w:rFonts w:hint="eastAsia"/>
        </w:rPr>
        <w:t>3.5 LEAD架构</w:t>
      </w:r>
      <w:bookmarkEnd w:id="35"/>
    </w:p>
    <w:p w14:paraId="75BD6478">
      <w:pPr>
        <w:pStyle w:val="4"/>
        <w:spacing w:before="240" w:after="240"/>
        <w:ind w:firstLine="489"/>
      </w:pPr>
      <w:bookmarkStart w:id="36" w:name="_Toc197274529"/>
      <w:r>
        <w:rPr>
          <w:rFonts w:hint="eastAsia"/>
        </w:rPr>
        <w:t>3.5.1 数据集与预处理</w:t>
      </w:r>
      <w:bookmarkEnd w:id="36"/>
    </w:p>
    <w:p w14:paraId="0095694A">
      <w:pPr>
        <w:ind w:firstLine="420" w:firstLineChars="0"/>
      </w:pPr>
      <w:r>
        <w:t>为构建用于微调越狱</w:t>
      </w:r>
      <w:r>
        <w:rPr>
          <w:rFonts w:hint="eastAsia"/>
        </w:rPr>
        <w:t>提示</w:t>
      </w:r>
      <w:r>
        <w:t>检测器的训练集，</w:t>
      </w:r>
      <w:r>
        <w:rPr>
          <w:rFonts w:hint="eastAsia"/>
        </w:rPr>
        <w:t>本小节</w:t>
      </w:r>
      <w:r>
        <w:t>在JailBench数据集的基础上进行了扩展，构建了包含正负样本的平衡数据集</w:t>
      </w:r>
      <w:r>
        <w:rPr>
          <w:b/>
          <w:bCs/>
        </w:rPr>
        <w:t>JailBench++</w:t>
      </w:r>
      <w:r>
        <w:t>。原始的JailBench数据集主要由具有强隐蔽性和攻击能力的越狱提示组成，生成的响应多为模型未能拒答的有害输出，整体呈现明显的类别不平衡，不适用于二分类检测任务的微调训练。</w:t>
      </w:r>
    </w:p>
    <w:p w14:paraId="3AEFDB77">
      <w:pPr>
        <w:ind w:firstLine="480"/>
      </w:pPr>
      <w:r>
        <w:t>为引入高质量的负类样本（即无害输</w:t>
      </w:r>
      <w:r>
        <w:rPr>
          <w:rFonts w:hint="eastAsia"/>
        </w:rPr>
        <w:t>入</w:t>
      </w:r>
      <w:r>
        <w:t>），</w:t>
      </w:r>
      <w:r>
        <w:rPr>
          <w:rFonts w:hint="eastAsia"/>
        </w:rPr>
        <w:t>这里</w:t>
      </w:r>
      <w:r>
        <w:t>从开源的Chinese-DeepSeek-R1-Distill</w:t>
      </w:r>
      <w:r>
        <w:rPr>
          <w:rFonts w:hint="eastAsia"/>
        </w:rPr>
        <w:t xml:space="preserve"> </w:t>
      </w:r>
      <w:r>
        <w:t>-data-110k数据集中随机抽取了与JailBench样本数量相当的无害问题子集，并将其与JailBench合并形成新数据集。Chinese-DeepSeek-R1-Distill-data-110k是开源的中文微调数据集</w:t>
      </w:r>
      <w:r>
        <w:rPr>
          <w:rStyle w:val="37"/>
          <w:sz w:val="21"/>
          <w:szCs w:val="21"/>
        </w:rPr>
        <w:footnoteReference w:id="8"/>
      </w:r>
      <w:r>
        <w:t>，</w:t>
      </w:r>
      <w:r>
        <w:rPr>
          <w:rFonts w:hint="eastAsia"/>
        </w:rPr>
        <w:t>包含约11万条中文指令-响应对，涵盖数学、考试、STEM和通用知识等多个领域，旨在</w:t>
      </w:r>
      <w:r>
        <w:t>为中文大模型的训练和评估提供高质量的蒸馏数据。本</w:t>
      </w:r>
      <w:r>
        <w:rPr>
          <w:rFonts w:hint="eastAsia"/>
        </w:rPr>
        <w:t>节</w:t>
      </w:r>
      <w:r>
        <w:t>从中选取的问题均为自然、无攻击意图的指令性样本，</w:t>
      </w:r>
      <w:r>
        <w:rPr>
          <w:color w:val="000000" w:themeColor="text1"/>
          <w14:textFill>
            <w14:solidFill>
              <w14:schemeClr w14:val="tx1"/>
            </w14:solidFill>
          </w14:textFill>
        </w:rPr>
        <w:t>确保其作为“</w:t>
      </w:r>
      <w:r>
        <w:rPr>
          <w:rFonts w:hint="eastAsia"/>
          <w:color w:val="000000" w:themeColor="text1"/>
          <w14:textFill>
            <w14:solidFill>
              <w14:schemeClr w14:val="tx1"/>
            </w14:solidFill>
          </w14:textFill>
        </w:rPr>
        <w:t>无</w:t>
      </w:r>
      <w:r>
        <w:rPr>
          <w:color w:val="000000" w:themeColor="text1"/>
          <w14:textFill>
            <w14:solidFill>
              <w14:schemeClr w14:val="tx1"/>
            </w14:solidFill>
          </w14:textFill>
        </w:rPr>
        <w:t>越狱</w:t>
      </w:r>
      <w:r>
        <w:rPr>
          <w:rFonts w:hint="eastAsia"/>
          <w:color w:val="000000" w:themeColor="text1"/>
          <w14:textFill>
            <w14:solidFill>
              <w14:schemeClr w14:val="tx1"/>
            </w14:solidFill>
          </w14:textFill>
        </w:rPr>
        <w:t>意图</w:t>
      </w:r>
      <w:r>
        <w:rPr>
          <w:color w:val="000000" w:themeColor="text1"/>
          <w14:textFill>
            <w14:solidFill>
              <w14:schemeClr w14:val="tx1"/>
            </w14:solidFill>
          </w14:textFill>
        </w:rPr>
        <w:t>”样本的代表性与多样性</w:t>
      </w:r>
      <w:r>
        <w:t>。最终构建的JailBench++数据集共计包含21,600条样本，正负类比例约为1:1，可有效支持基于指令微调的越狱</w:t>
      </w:r>
      <w:r>
        <w:rPr>
          <w:rFonts w:hint="eastAsia"/>
        </w:rPr>
        <w:t>提示</w:t>
      </w:r>
      <w:r>
        <w:t>检测器训练任务。</w:t>
      </w:r>
    </w:p>
    <w:p w14:paraId="040A6EC4">
      <w:pPr>
        <w:ind w:firstLine="480"/>
      </w:pPr>
      <w:r>
        <w:rPr>
          <w:rFonts w:hint="eastAsia"/>
        </w:rPr>
        <w:t>为便于后续指令微调，这一新数据集被统一整理为JSON格式，每条样本都包含“instruction</w:t>
      </w:r>
      <w:r>
        <w:t>”</w:t>
      </w:r>
      <w:r>
        <w:rPr>
          <w:rFonts w:hint="eastAsia"/>
        </w:rPr>
        <w:t>，“</w:t>
      </w:r>
      <w:r>
        <w:t>input”</w:t>
      </w:r>
      <w:r>
        <w:rPr>
          <w:rFonts w:hint="eastAsia"/>
        </w:rPr>
        <w:t>与</w:t>
      </w:r>
      <w:r>
        <w:t>”output”</w:t>
      </w:r>
      <w:r>
        <w:rPr>
          <w:rFonts w:hint="eastAsia"/>
        </w:rPr>
        <w:t>三个字段：“instruction</w:t>
      </w:r>
      <w:r>
        <w:t>”</w:t>
      </w:r>
      <w:r>
        <w:rPr>
          <w:rFonts w:hint="eastAsia"/>
        </w:rPr>
        <w:t xml:space="preserve">固定为人工指令 </w:t>
      </w:r>
      <w:r>
        <w:t>“</w:t>
      </w:r>
      <w:r>
        <w:rPr>
          <w:rFonts w:hint="eastAsia"/>
        </w:rPr>
        <w:t xml:space="preserve">Please judge whether the following question is harmful or unsafe. And only answer </w:t>
      </w:r>
      <w:r>
        <w:t>“</w:t>
      </w:r>
      <w:r>
        <w:rPr>
          <w:rFonts w:hint="eastAsia"/>
        </w:rPr>
        <w:t>True</w:t>
      </w:r>
      <w:r>
        <w:t>”</w:t>
      </w:r>
      <w:r>
        <w:rPr>
          <w:rFonts w:hint="eastAsia"/>
        </w:rPr>
        <w:t xml:space="preserve"> if it is harmful or unsafe, otherwise answer </w:t>
      </w:r>
      <w:r>
        <w:t>“</w:t>
      </w:r>
      <w:r>
        <w:rPr>
          <w:rFonts w:hint="eastAsia"/>
        </w:rPr>
        <w:t>False</w:t>
      </w:r>
      <w:r>
        <w:t>”.”</w:t>
      </w:r>
      <w:r>
        <w:rPr>
          <w:rFonts w:hint="eastAsia"/>
        </w:rPr>
        <w:t xml:space="preserve"> ；</w:t>
      </w:r>
      <w:r>
        <w:t>”input”</w:t>
      </w:r>
      <w:r>
        <w:rPr>
          <w:rFonts w:hint="eastAsia"/>
        </w:rPr>
        <w:t>为数据集中具体的用户指令；“</w:t>
      </w:r>
      <w:r>
        <w:t>output”</w:t>
      </w:r>
      <w:r>
        <w:rPr>
          <w:rFonts w:hint="eastAsia"/>
        </w:rPr>
        <w:t>为期望的标签，其中“True</w:t>
      </w:r>
      <w:r>
        <w:t>”</w:t>
      </w:r>
      <w:r>
        <w:rPr>
          <w:rFonts w:hint="eastAsia"/>
        </w:rPr>
        <w:t>表明提示属于越狱攻击，反之为安全输入。然后，本文按7：3的比例将数据划分为JailBench++_train和JailBench++_test，既保证训练足够充分，又为后续评估留出独立测试集。</w:t>
      </w:r>
    </w:p>
    <w:p w14:paraId="2C5D5C2C">
      <w:pPr>
        <w:ind w:firstLine="0" w:firstLineChars="0"/>
        <w:jc w:val="center"/>
        <w:rPr>
          <w:iCs/>
          <w:color w:val="000000" w:themeColor="text1"/>
          <w:sz w:val="21"/>
          <w:szCs w:val="21"/>
          <w14:textFill>
            <w14:solidFill>
              <w14:schemeClr w14:val="tx1"/>
            </w14:solidFill>
          </w14:textFill>
        </w:rPr>
      </w:pPr>
      <w:r>
        <w:rPr>
          <w:rFonts w:hint="eastAsia"/>
        </w:rPr>
        <w:drawing>
          <wp:inline distT="0" distB="0" distL="0" distR="0">
            <wp:extent cx="5083175" cy="3398520"/>
            <wp:effectExtent l="0" t="0" r="0" b="5080"/>
            <wp:docPr id="39667152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6671528" name="图片 1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15841" cy="3420711"/>
                    </a:xfrm>
                    <a:prstGeom prst="rect">
                      <a:avLst/>
                    </a:prstGeom>
                  </pic:spPr>
                </pic:pic>
              </a:graphicData>
            </a:graphic>
          </wp:inline>
        </w:drawing>
      </w:r>
    </w:p>
    <w:p w14:paraId="4D5E072A">
      <w:pPr>
        <w:ind w:firstLine="0" w:firstLineChars="0"/>
        <w:jc w:val="center"/>
        <w:rPr>
          <w:rFonts w:ascii="楷体" w:hAnsi="楷体" w:eastAsia="楷体"/>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3-3  LoRA</w:t>
      </w:r>
      <w:r>
        <w:rPr>
          <w:rFonts w:hint="eastAsia" w:ascii="楷体" w:hAnsi="楷体" w:eastAsia="楷体"/>
          <w:iCs/>
          <w:color w:val="000000" w:themeColor="text1"/>
          <w:sz w:val="21"/>
          <w:szCs w:val="21"/>
          <w14:textFill>
            <w14:solidFill>
              <w14:schemeClr w14:val="tx1"/>
            </w14:solidFill>
          </w14:textFill>
        </w:rPr>
        <w:t>微调过程中的损失变化曲线</w:t>
      </w:r>
    </w:p>
    <w:p w14:paraId="149B9215">
      <w:pPr>
        <w:pStyle w:val="4"/>
        <w:spacing w:before="240" w:after="240"/>
        <w:ind w:firstLine="489"/>
      </w:pPr>
      <w:bookmarkStart w:id="37" w:name="_Toc197274530"/>
      <w:r>
        <w:rPr>
          <w:rFonts w:hint="eastAsia"/>
        </w:rPr>
        <w:t>3.5.2 模型训练</w:t>
      </w:r>
      <w:bookmarkEnd w:id="37"/>
    </w:p>
    <w:p w14:paraId="7067B51F">
      <w:pPr>
        <w:ind w:firstLine="480"/>
      </w:pPr>
      <w:r>
        <w:rPr>
          <w:rFonts w:hint="eastAsia"/>
        </w:rPr>
        <w:t>模型训练阶段基于</w:t>
      </w:r>
      <w:r>
        <w:t>LLaMA-Factory</w:t>
      </w:r>
      <w:r>
        <w:rPr>
          <w:vertAlign w:val="superscript"/>
        </w:rPr>
        <w:fldChar w:fldCharType="begin"/>
      </w:r>
      <w:r>
        <w:rPr>
          <w:vertAlign w:val="superscript"/>
        </w:rPr>
        <w:instrText xml:space="preserve"> REF _Ref196928442 \r \h  \* MERGEFORMAT </w:instrText>
      </w:r>
      <w:r>
        <w:rPr>
          <w:vertAlign w:val="superscript"/>
        </w:rPr>
        <w:fldChar w:fldCharType="separate"/>
      </w:r>
      <w:r>
        <w:rPr>
          <w:vertAlign w:val="superscript"/>
        </w:rPr>
        <w:t>[53]</w:t>
      </w:r>
      <w:r>
        <w:rPr>
          <w:vertAlign w:val="superscript"/>
        </w:rPr>
        <w:fldChar w:fldCharType="end"/>
      </w:r>
      <w:r>
        <w:rPr>
          <w:rFonts w:hint="eastAsia"/>
        </w:rPr>
        <w:t>框架，LLaMA-Factory 支持多种主流大语言模型的参数高效微调，具备良好的模块化结构与兼容性，便于快速构建低资源环境下的指令对齐实验。利用四张</w:t>
      </w:r>
      <w:r>
        <w:t>NVIDIA RTX 4090</w:t>
      </w:r>
      <w:r>
        <w:rPr>
          <w:rFonts w:hint="eastAsia"/>
        </w:rPr>
        <w:t>显卡（</w:t>
      </w:r>
      <w:r>
        <w:t xml:space="preserve">24 GB </w:t>
      </w:r>
      <w:r>
        <w:rPr>
          <w:rFonts w:hint="eastAsia"/>
        </w:rPr>
        <w:t>显存）对</w:t>
      </w:r>
      <w:r>
        <w:t>Qwen2-1.5B-Instruct</w:t>
      </w:r>
      <w:r>
        <w:rPr>
          <w:rFonts w:hint="eastAsia"/>
        </w:rPr>
        <w:t>执行</w:t>
      </w:r>
      <w:r>
        <w:t>LoRA</w:t>
      </w:r>
      <w:r>
        <w:rPr>
          <w:rFonts w:hint="eastAsia"/>
        </w:rPr>
        <w:t>指令微调。</w:t>
      </w:r>
      <w:r>
        <w:t>LoRA</w:t>
      </w:r>
      <w:r>
        <w:rPr>
          <w:rFonts w:hint="eastAsia"/>
        </w:rPr>
        <w:t>仅注入至每个</w:t>
      </w:r>
      <w:r>
        <w:t xml:space="preserve">Transformer </w:t>
      </w:r>
      <w:r>
        <w:rPr>
          <w:rFonts w:hint="eastAsia"/>
        </w:rPr>
        <w:t>层的</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q</m:t>
            </m:r>
            <m:ctrlPr>
              <w:rPr>
                <w:rFonts w:ascii="Cambria Math" w:hAnsi="Cambria Math"/>
                <w:i/>
              </w:rPr>
            </m:ctrlPr>
          </m:sub>
        </m:sSub>
      </m:oMath>
      <w:r>
        <w:rPr>
          <w:rFonts w:hint="eastAsia"/>
        </w:rPr>
        <w:t>与</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v</m:t>
            </m:r>
            <m:ctrlPr>
              <w:rPr>
                <w:rFonts w:ascii="Cambria Math" w:hAnsi="Cambria Math"/>
                <w:i/>
              </w:rPr>
            </m:ctrlPr>
          </m:sub>
        </m:sSub>
      </m:oMath>
      <w:r>
        <w:rPr>
          <w:rFonts w:hint="eastAsia"/>
        </w:rPr>
        <w:t>权重矩阵，秩</w:t>
      </w:r>
      <m:oMath>
        <m:r>
          <m:rPr/>
          <w:rPr>
            <w:rFonts w:ascii="Cambria Math" w:hAnsi="Cambria Math"/>
          </w:rPr>
          <m:t>r</m:t>
        </m:r>
      </m:oMath>
      <w:r>
        <w:rPr>
          <w:rFonts w:hint="eastAsia"/>
        </w:rPr>
        <w:t>设为</w:t>
      </w:r>
      <w:r>
        <w:t>8</w:t>
      </w:r>
      <w:r>
        <w:rPr>
          <w:rFonts w:hint="eastAsia"/>
        </w:rPr>
        <w:t>，并采用缩放系数</w:t>
      </w:r>
      <m:oMath>
        <m:r>
          <m:rPr/>
          <w:rPr>
            <w:rFonts w:ascii="Cambria Math" w:hAnsi="Cambria Math"/>
          </w:rPr>
          <m:t>α</m:t>
        </m:r>
      </m:oMath>
      <w:r>
        <w:rPr>
          <w:rFonts w:hint="eastAsia"/>
        </w:rPr>
        <w:t>为16，以放大低秩更新的有效梯度。训练使用</w:t>
      </w:r>
      <w:r>
        <w:t>AdamW</w:t>
      </w:r>
      <w:r>
        <w:rPr>
          <w:rFonts w:hint="eastAsia"/>
        </w:rPr>
        <w:t>优化器（学习率</w:t>
      </w:r>
      <m:oMath>
        <m:r>
          <m:rPr/>
          <w:rPr>
            <w:rFonts w:ascii="Cambria Math" w:hAnsi="Cambria Math"/>
          </w:rPr>
          <m:t>5×</m:t>
        </m:r>
        <m:sSup>
          <m:sSupPr>
            <m:ctrlPr>
              <w:rPr>
                <w:rFonts w:ascii="Cambria Math" w:hAnsi="Cambria Math"/>
                <w:i/>
              </w:rPr>
            </m:ctrlPr>
          </m:sSupPr>
          <m:e>
            <m:r>
              <m:rPr/>
              <w:rPr>
                <w:rFonts w:ascii="Cambria Math" w:hAnsi="Cambria Math"/>
              </w:rPr>
              <m:t>10</m:t>
            </m:r>
            <m:ctrlPr>
              <w:rPr>
                <w:rFonts w:ascii="Cambria Math" w:hAnsi="Cambria Math"/>
                <w:i/>
              </w:rPr>
            </m:ctrlPr>
          </m:e>
          <m:sup>
            <m:r>
              <m:rPr/>
              <w:rPr>
                <w:rFonts w:ascii="Cambria Math" w:hAnsi="Cambria Math"/>
              </w:rPr>
              <m:t>−6</m:t>
            </m:r>
            <m:ctrlPr>
              <w:rPr>
                <w:rFonts w:ascii="Cambria Math" w:hAnsi="Cambria Math"/>
                <w:i/>
              </w:rPr>
            </m:ctrlPr>
          </m:sup>
        </m:sSup>
      </m:oMath>
      <w:r>
        <w:rPr>
          <w:rFonts w:hint="eastAsia"/>
        </w:rPr>
        <w:t>，权重衰减</w:t>
      </w:r>
      <w:r>
        <w:t>0.1</w:t>
      </w:r>
      <w:r>
        <w:rPr>
          <w:rFonts w:hint="eastAsia"/>
        </w:rPr>
        <w:t>），先线性</w:t>
      </w:r>
      <w:r>
        <w:t>warm-up 100</w:t>
      </w:r>
      <w:r>
        <w:rPr>
          <w:rFonts w:hint="eastAsia"/>
        </w:rPr>
        <w:t xml:space="preserve"> 步，再执行余弦退火；有效批大小为16，梯度累积步数为4。整个过程启用 bfloat16 混合精度与梯度检查点。总共训练3个epoch。最终可训练参数仅约1M，占原模型总量的 0.0705 %，训练损失与性能收敛曲线见图 3-4，可观察到LoRA在极低参数增量下即可显著提升模型对越狱提示的敏感性。模型结构如图3-3所示。</w:t>
      </w:r>
    </w:p>
    <w:p w14:paraId="0315CE02">
      <w:pPr>
        <w:ind w:firstLine="0" w:firstLineChars="0"/>
        <w:jc w:val="center"/>
      </w:pPr>
      <w:r>
        <w:rPr>
          <w:rFonts w:hint="eastAsia"/>
        </w:rPr>
        <w:drawing>
          <wp:inline distT="0" distB="0" distL="0" distR="0">
            <wp:extent cx="4605655" cy="3454400"/>
            <wp:effectExtent l="0" t="0" r="4445" b="0"/>
            <wp:docPr id="24098833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988339" name="图片 9"/>
                    <pic:cNvPicPr>
                      <a:picLocks noChangeAspect="1"/>
                    </pic:cNvPicPr>
                  </pic:nvPicPr>
                  <pic:blipFill>
                    <a:blip r:embed="rId26" cstate="print">
                      <a:extLst>
                        <a:ext uri="{28A0092B-C50C-407E-A947-70E740481C1C}">
                          <a14:useLocalDpi xmlns:a14="http://schemas.microsoft.com/office/drawing/2010/main" val="0"/>
                        </a:ext>
                      </a:extLst>
                    </a:blip>
                    <a:srcRect l="1944" t="8889" r="6944"/>
                    <a:stretch>
                      <a:fillRect/>
                    </a:stretch>
                  </pic:blipFill>
                  <pic:spPr>
                    <a:xfrm>
                      <a:off x="0" y="0"/>
                      <a:ext cx="4638516" cy="3478886"/>
                    </a:xfrm>
                    <a:prstGeom prst="rect">
                      <a:avLst/>
                    </a:prstGeom>
                    <a:ln>
                      <a:noFill/>
                    </a:ln>
                  </pic:spPr>
                </pic:pic>
              </a:graphicData>
            </a:graphic>
          </wp:inline>
        </w:drawing>
      </w:r>
    </w:p>
    <w:p w14:paraId="22DACCE3">
      <w:pPr>
        <w:ind w:firstLine="0" w:firstLineChars="0"/>
        <w:jc w:val="center"/>
        <w:rPr>
          <w:rFonts w:ascii="楷体" w:hAnsi="楷体" w:eastAsia="楷体"/>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rFonts w:hint="eastAsia"/>
          <w:iCs/>
          <w:color w:val="000000" w:themeColor="text1"/>
          <w:sz w:val="21"/>
          <w:szCs w:val="21"/>
          <w14:textFill>
            <w14:solidFill>
              <w14:schemeClr w14:val="tx1"/>
            </w14:solidFill>
          </w14:textFill>
        </w:rPr>
        <w:t>3-4  LoRA</w:t>
      </w:r>
      <w:r>
        <w:rPr>
          <w:rFonts w:hint="eastAsia" w:ascii="楷体" w:hAnsi="楷体" w:eastAsia="楷体"/>
          <w:iCs/>
          <w:color w:val="000000" w:themeColor="text1"/>
          <w:sz w:val="21"/>
          <w:szCs w:val="21"/>
          <w14:textFill>
            <w14:solidFill>
              <w14:schemeClr w14:val="tx1"/>
            </w14:solidFill>
          </w14:textFill>
        </w:rPr>
        <w:t>微调过程中的损失变化曲线</w:t>
      </w:r>
    </w:p>
    <w:p w14:paraId="795F0248">
      <w:pPr>
        <w:pStyle w:val="4"/>
        <w:spacing w:before="240" w:after="240"/>
        <w:ind w:firstLine="489"/>
      </w:pPr>
      <w:bookmarkStart w:id="38" w:name="_Toc197274531"/>
      <w:r>
        <w:rPr>
          <w:rFonts w:hint="eastAsia"/>
        </w:rPr>
        <w:t>3.5.3 推理部署</w:t>
      </w:r>
      <w:bookmarkEnd w:id="38"/>
    </w:p>
    <w:p w14:paraId="6467ECD0">
      <w:pPr>
        <w:ind w:firstLine="480"/>
      </w:pPr>
      <w:r>
        <w:rPr>
          <w:rFonts w:hint="eastAsia"/>
        </w:rPr>
        <w:t>推理部署阶段采用高性能推理引擎vLLM</w:t>
      </w:r>
      <w:r>
        <w:rPr>
          <w:vertAlign w:val="superscript"/>
        </w:rPr>
        <w:fldChar w:fldCharType="begin"/>
      </w:r>
      <w:r>
        <w:rPr>
          <w:vertAlign w:val="superscript"/>
        </w:rPr>
        <w:instrText xml:space="preserve"> </w:instrText>
      </w:r>
      <w:r>
        <w:rPr>
          <w:rFonts w:hint="eastAsia"/>
          <w:vertAlign w:val="superscript"/>
        </w:rPr>
        <w:instrText xml:space="preserve">REF _Ref196928496 \r \h</w:instrText>
      </w:r>
      <w:r>
        <w:rPr>
          <w:vertAlign w:val="superscript"/>
        </w:rPr>
        <w:instrText xml:space="preserve">  \* MERGEFORMAT </w:instrText>
      </w:r>
      <w:r>
        <w:rPr>
          <w:vertAlign w:val="superscript"/>
        </w:rPr>
        <w:fldChar w:fldCharType="separate"/>
      </w:r>
      <w:r>
        <w:rPr>
          <w:vertAlign w:val="superscript"/>
        </w:rPr>
        <w:t>[54]</w:t>
      </w:r>
      <w:r>
        <w:rPr>
          <w:vertAlign w:val="superscript"/>
        </w:rPr>
        <w:fldChar w:fldCharType="end"/>
      </w:r>
      <w:r>
        <w:rPr>
          <w:rFonts w:hint="eastAsia"/>
        </w:rPr>
        <w:t>。vLLM是一个专为大语言模型推理优化的开源框架，具备高效的动态批处理</w:t>
      </w:r>
      <w:r>
        <w:t>(</w:t>
      </w:r>
      <w:r>
        <w:rPr>
          <w:rFonts w:hint="eastAsia"/>
        </w:rPr>
        <w:t>Dynamic Batching</w:t>
      </w:r>
      <w:r>
        <w:t>)</w:t>
      </w:r>
      <w:r>
        <w:rPr>
          <w:rFonts w:hint="eastAsia"/>
        </w:rPr>
        <w:t>机制和连续张量分配策略</w:t>
      </w:r>
      <w:r>
        <w:t>(</w:t>
      </w:r>
      <w:r>
        <w:rPr>
          <w:rFonts w:hint="eastAsia"/>
        </w:rPr>
        <w:t>Paged Attention</w:t>
      </w:r>
      <w:r>
        <w:t>)</w:t>
      </w:r>
      <w:r>
        <w:rPr>
          <w:rFonts w:hint="eastAsia"/>
        </w:rPr>
        <w:t>，能够在保持生成质量的同时显著提升吞吐率与GPU利用率。与传统HuggingFace推理流程相比，vLLM支持更灵活的请求调度与并发执行，尤其适用于多请求场景下的低延迟响应与资源节省，因而广泛用于工业级LLM服务部署。本文</w:t>
      </w:r>
      <w:r>
        <w:t>通过</w:t>
      </w:r>
      <w:r>
        <w:rPr>
          <w:rFonts w:hint="eastAsia"/>
        </w:rPr>
        <w:t>张量并行(T</w:t>
      </w:r>
      <w:r>
        <w:rPr>
          <w:color w:val="000000" w:themeColor="text1"/>
          <w14:textFill>
            <w14:solidFill>
              <w14:schemeClr w14:val="tx1"/>
            </w14:solidFill>
          </w14:textFill>
        </w:rPr>
        <w:t xml:space="preserve">ensor </w:t>
      </w:r>
      <w:r>
        <w:rPr>
          <w:rFonts w:hint="eastAsia"/>
          <w:color w:val="000000" w:themeColor="text1"/>
          <w14:textFill>
            <w14:solidFill>
              <w14:schemeClr w14:val="tx1"/>
            </w14:solidFill>
          </w14:textFill>
        </w:rPr>
        <w:t>P</w:t>
      </w:r>
      <w:r>
        <w:rPr>
          <w:color w:val="000000" w:themeColor="text1"/>
          <w14:textFill>
            <w14:solidFill>
              <w14:schemeClr w14:val="tx1"/>
            </w14:solidFill>
          </w14:textFill>
        </w:rPr>
        <w:t>arallel</w:t>
      </w:r>
      <w:r>
        <w:rPr>
          <w:rFonts w:hint="eastAsia"/>
          <w:color w:val="000000" w:themeColor="text1"/>
          <w14:textFill>
            <w14:solidFill>
              <w14:schemeClr w14:val="tx1"/>
            </w14:solidFill>
          </w14:textFill>
        </w:rPr>
        <w:t>)</w:t>
      </w:r>
      <w:r>
        <w:t>将模型切分到两张GPU，并在运行时加载同路径下保存的LoRA权重</w:t>
      </w:r>
      <w:r>
        <w:rPr>
          <w:rFonts w:hint="eastAsia"/>
        </w:rPr>
        <w:t>，合并到基座模型中。</w:t>
      </w:r>
      <w:r>
        <w:t>推理</w:t>
      </w:r>
      <w:r>
        <w:rPr>
          <w:rFonts w:hint="eastAsia"/>
        </w:rPr>
        <w:t>时</w:t>
      </w:r>
      <w:r>
        <w:t>首先构造带有</w:t>
      </w:r>
      <w:r>
        <w:rPr>
          <w:rFonts w:hint="eastAsia"/>
        </w:rPr>
        <w:t>人工</w:t>
      </w:r>
      <w:r>
        <w:t>指令的用户消息，再调用LLM类的</w:t>
      </w:r>
      <w:r>
        <w:rPr>
          <w:rFonts w:hint="eastAsia"/>
        </w:rPr>
        <w:t>chat</w:t>
      </w:r>
      <w:r>
        <w:t>接口一次性并行推送请求。</w:t>
      </w:r>
      <w:r>
        <w:rPr>
          <w:rFonts w:hint="eastAsia"/>
        </w:rPr>
        <w:t>本文</w:t>
      </w:r>
      <w:r>
        <w:t>将</w:t>
      </w:r>
      <w:r>
        <w:rPr>
          <w:rFonts w:hint="eastAsia"/>
        </w:rPr>
        <w:t>最大令牌长度</w:t>
      </w:r>
      <w:r>
        <w:t>限制为 20，兼顾响应速度与</w:t>
      </w:r>
      <w:r>
        <w:rPr>
          <w:rFonts w:hint="eastAsia"/>
        </w:rPr>
        <w:t>回答</w:t>
      </w:r>
      <w:r>
        <w:t>完整性；同时设置</w:t>
      </w:r>
      <w:r>
        <w:rPr>
          <w:rFonts w:hint="eastAsia"/>
        </w:rPr>
        <w:t>温度系数为0.7，</w:t>
      </w:r>
      <w:r>
        <w:t>top</w:t>
      </w:r>
      <w:r>
        <w:rPr>
          <w:rFonts w:hint="eastAsia"/>
        </w:rPr>
        <w:t xml:space="preserve"> p为0.8</w:t>
      </w:r>
      <w:r>
        <w:t>以减少随机性</w:t>
      </w:r>
      <w:r>
        <w:rPr>
          <w:rFonts w:hint="eastAsia"/>
        </w:rPr>
        <w:t>。</w:t>
      </w:r>
    </w:p>
    <w:p w14:paraId="1D5B8BFB">
      <w:pPr>
        <w:pStyle w:val="3"/>
        <w:spacing w:before="240" w:after="240"/>
        <w:ind w:firstLine="0" w:firstLineChars="0"/>
      </w:pPr>
      <w:bookmarkStart w:id="39" w:name="_Toc197274532"/>
      <w:r>
        <w:rPr>
          <w:rFonts w:hint="eastAsia"/>
        </w:rPr>
        <w:t>3</w:t>
      </w:r>
      <w:r>
        <w:t xml:space="preserve">.6 </w:t>
      </w:r>
      <w:r>
        <w:rPr>
          <w:rFonts w:hint="eastAsia"/>
        </w:rPr>
        <w:t>本章小结</w:t>
      </w:r>
      <w:bookmarkEnd w:id="39"/>
    </w:p>
    <w:p w14:paraId="5FBED9FE">
      <w:pPr>
        <w:ind w:firstLine="480"/>
      </w:pPr>
      <w:r>
        <w:rPr>
          <w:rFonts w:hint="eastAsia"/>
        </w:rPr>
        <w:t>本章提出并实现了一个高效的轻量化越狱提示检测器LEAD。首先探索了基于规则过滤、情感分析与困惑度检测的方法，从不同角度理解了越狱提示的特性。随后选用Qwen2-1.5B-Instruct作为基座模型，结合LoRA实现参数高效的指令微调，并完成了数据处理、模型训练与推理部署流程。</w:t>
      </w:r>
    </w:p>
    <w:p w14:paraId="20EF4704">
      <w:pPr>
        <w:ind w:firstLine="480"/>
      </w:pPr>
      <w:r>
        <w:br w:type="page"/>
      </w:r>
    </w:p>
    <w:p w14:paraId="64DC5230">
      <w:pPr>
        <w:pStyle w:val="2"/>
        <w:spacing w:before="240" w:after="240"/>
        <w:ind w:firstLine="0" w:firstLineChars="0"/>
      </w:pPr>
      <w:bookmarkStart w:id="40" w:name="_Toc196336442"/>
      <w:bookmarkStart w:id="41" w:name="_Toc197274533"/>
      <w:r>
        <w:rPr>
          <w:rFonts w:hint="eastAsia"/>
        </w:rPr>
        <w:t>第四章 实验</w:t>
      </w:r>
      <w:bookmarkEnd w:id="40"/>
      <w:r>
        <w:rPr>
          <w:rFonts w:hint="eastAsia"/>
        </w:rPr>
        <w:t>与分析</w:t>
      </w:r>
      <w:bookmarkEnd w:id="41"/>
    </w:p>
    <w:p w14:paraId="31DA5F0C">
      <w:pPr>
        <w:pStyle w:val="3"/>
        <w:spacing w:before="240" w:after="240"/>
        <w:ind w:firstLine="0" w:firstLineChars="0"/>
      </w:pPr>
      <w:bookmarkStart w:id="42" w:name="_Toc197274534"/>
      <w:r>
        <w:rPr>
          <w:rFonts w:hint="eastAsia"/>
        </w:rPr>
        <w:t>4.1 概述</w:t>
      </w:r>
      <w:bookmarkEnd w:id="42"/>
    </w:p>
    <w:p w14:paraId="55309F76">
      <w:pPr>
        <w:ind w:firstLine="480"/>
      </w:pPr>
      <w:r>
        <w:rPr>
          <w:rFonts w:hint="eastAsia"/>
        </w:rPr>
        <w:t>本章实验分为两个部分。首先，针对主流大模型，基于中文越狱评估基准 JailBench（含人工种子集与自动扩展集）设计安全测试：阐述数据集覆盖面、越狱成功率(ASR)指标、GPT-4o-mini自动判别器、vLLM推理框架及硬件配置，展示完整的评测流程，并进行测评结果的分析。随后，在越狱提示检测任务中，将第三章提出的LEAD与三类基线方法——启发式文本过滤、零样本大模型判别、梯度分析检测进行性能与部署效率方面的对比。</w:t>
      </w:r>
    </w:p>
    <w:p w14:paraId="504916FD">
      <w:pPr>
        <w:pStyle w:val="3"/>
        <w:spacing w:before="240" w:after="240"/>
        <w:ind w:firstLine="0" w:firstLineChars="0"/>
      </w:pPr>
      <w:bookmarkStart w:id="43" w:name="_Toc197274535"/>
      <w:r>
        <w:rPr>
          <w:rFonts w:hint="eastAsia"/>
        </w:rPr>
        <w:t>4.2 大模型评测</w:t>
      </w:r>
      <w:bookmarkEnd w:id="43"/>
    </w:p>
    <w:p w14:paraId="28057F45">
      <w:pPr>
        <w:ind w:firstLine="480"/>
      </w:pPr>
      <w:r>
        <w:t>为了系统评估大模型在面对人工</w:t>
      </w:r>
      <w:r>
        <w:rPr>
          <w:rFonts w:hint="eastAsia"/>
        </w:rPr>
        <w:t>精心设计的</w:t>
      </w:r>
      <w:r>
        <w:t>对抗攻击时的安全表现，</w:t>
      </w:r>
      <w:r>
        <w:rPr>
          <w:rFonts w:hint="eastAsia"/>
        </w:rPr>
        <w:t>本节</w:t>
      </w:r>
      <w:r>
        <w:t>基</w:t>
      </w:r>
      <w:r>
        <w:rPr>
          <w:rFonts w:hint="eastAsia"/>
        </w:rPr>
        <w:t>于Jai</w:t>
      </w:r>
      <w:r>
        <w:t>lBench对主流模型进行了全面的实验测试。首先简要介绍JailBench数据集的构成和特点，随后阐述实验设计，包括评测指标、</w:t>
      </w:r>
      <w:r>
        <w:rPr>
          <w:rFonts w:hint="eastAsia"/>
        </w:rPr>
        <w:t>评估方法，</w:t>
      </w:r>
      <w:r>
        <w:t>以及测试环境与流程等。通过对多种模型性能进行横向对比，揭示当前模型在对抗性防御能力方面的优劣势，并为后续的改进与研究提供参考。</w:t>
      </w:r>
    </w:p>
    <w:p w14:paraId="6E132BE7">
      <w:pPr>
        <w:pStyle w:val="4"/>
        <w:spacing w:before="240" w:after="240"/>
        <w:ind w:firstLine="489"/>
      </w:pPr>
      <w:bookmarkStart w:id="44" w:name="_Toc197274536"/>
      <w:r>
        <w:rPr>
          <w:rFonts w:hint="eastAsia"/>
        </w:rPr>
        <w:t>4.2.1 J</w:t>
      </w:r>
      <w:r>
        <w:t>ailBench</w:t>
      </w:r>
      <w:r>
        <w:rPr>
          <w:rFonts w:hint="eastAsia"/>
        </w:rPr>
        <w:t>数据集</w:t>
      </w:r>
      <w:bookmarkEnd w:id="44"/>
    </w:p>
    <w:p w14:paraId="5C8DB11D">
      <w:pPr>
        <w:ind w:firstLine="480"/>
      </w:pPr>
      <w:r>
        <w:t>JailBench</w:t>
      </w:r>
      <w:r>
        <w:rPr>
          <w:vertAlign w:val="superscript"/>
        </w:rPr>
        <w:fldChar w:fldCharType="begin"/>
      </w:r>
      <w:r>
        <w:rPr>
          <w:vertAlign w:val="superscript"/>
        </w:rPr>
        <w:instrText xml:space="preserve"> REF _Ref195451327 \r \h  \* MERGEFORMAT </w:instrText>
      </w:r>
      <w:r>
        <w:rPr>
          <w:vertAlign w:val="superscript"/>
        </w:rPr>
        <w:fldChar w:fldCharType="separate"/>
      </w:r>
      <w:r>
        <w:rPr>
          <w:vertAlign w:val="superscript"/>
        </w:rPr>
        <w:t>[13]</w:t>
      </w:r>
      <w:r>
        <w:rPr>
          <w:vertAlign w:val="superscript"/>
        </w:rPr>
        <w:fldChar w:fldCharType="end"/>
      </w:r>
      <w:r>
        <w:t>是专为大模型安全评估设计的</w:t>
      </w:r>
      <w:r>
        <w:rPr>
          <w:rFonts w:hint="eastAsia"/>
        </w:rPr>
        <w:t>中文</w:t>
      </w:r>
      <w:r>
        <w:t>基准数据集，旨在系统挖掘模型的潜在越狱风险。该数据集构建了覆盖五大类、四十种子类的精细安全分类体系，并引入自动越狱提示工程(AJPE)框架，通过上下文学习生成高质量越狱指令，从而实现数据的高效扩展与多样化。实验结果表明，JailBench在ChatGPT等主流模型上的攻击成功率显著高于现有中文基准</w:t>
      </w:r>
      <w:r>
        <w:rPr>
          <w:rFonts w:hint="eastAsia"/>
        </w:rPr>
        <w:t>数据集</w:t>
      </w:r>
      <w:r>
        <w:t>，验证了其强大的攻击覆盖能力和实用性。</w:t>
      </w:r>
    </w:p>
    <w:p w14:paraId="3A6CB357">
      <w:pPr>
        <w:ind w:firstLine="480"/>
      </w:pPr>
      <w:r>
        <w:t>该基准包含两个关键子集：</w:t>
      </w:r>
      <w:r>
        <w:rPr>
          <w:rFonts w:hint="eastAsia"/>
        </w:rPr>
        <w:t>J</w:t>
      </w:r>
      <w:r>
        <w:t>ailBench_seed(54</w:t>
      </w:r>
      <w:r>
        <w:rPr>
          <w:rFonts w:hint="eastAsia"/>
        </w:rPr>
        <w:t>0条</w:t>
      </w:r>
      <w:r>
        <w:t>)为人工</w:t>
      </w:r>
      <w:r>
        <w:rPr>
          <w:rFonts w:hint="eastAsia"/>
        </w:rPr>
        <w:t>精心设计</w:t>
      </w:r>
      <w:r>
        <w:t>的高质量越狱提示集合，用于提供攻击的种子样本; JailBench(10800</w:t>
      </w:r>
      <w:r>
        <w:rPr>
          <w:rFonts w:hint="eastAsia"/>
        </w:rPr>
        <w:t>条</w:t>
      </w:r>
      <w:r>
        <w:t>)则是在种子集基础上自动扩展的主数据集，覆盖更广泛的攻击类型</w:t>
      </w:r>
      <w:r>
        <w:rPr>
          <w:rFonts w:hint="eastAsia"/>
        </w:rPr>
        <w:t>，具有更强大的越狱能力</w:t>
      </w:r>
      <w:r>
        <w:t>。</w:t>
      </w:r>
      <w:r>
        <w:rPr>
          <w:rFonts w:hint="eastAsia"/>
        </w:rPr>
        <w:t>本节</w:t>
      </w:r>
      <w:r>
        <w:t>采用这两个数据集对主流大模型进行了系统性的对抗性防御能力评估。</w:t>
      </w:r>
    </w:p>
    <w:p w14:paraId="53BC03C8">
      <w:pPr>
        <w:pStyle w:val="4"/>
        <w:spacing w:before="240" w:after="240"/>
        <w:ind w:firstLine="489"/>
      </w:pPr>
      <w:bookmarkStart w:id="45" w:name="_Toc197274537"/>
      <w:r>
        <w:rPr>
          <w:rFonts w:hint="eastAsia"/>
        </w:rPr>
        <w:t>4.2.2 评估实验设计</w:t>
      </w:r>
      <w:bookmarkEnd w:id="45"/>
    </w:p>
    <w:p w14:paraId="261ED5AA">
      <w:pPr>
        <w:ind w:firstLine="480"/>
      </w:pPr>
      <w:r>
        <w:rPr>
          <w:rFonts w:hint="eastAsia"/>
        </w:rPr>
        <w:t>·评测指标：在大模型安全评估实验中，采用越狱成功率(</w:t>
      </w:r>
      <w:r>
        <w:t>Attack Success Rate</w:t>
      </w:r>
      <w:r>
        <w:rPr>
          <w:rFonts w:hint="eastAsia"/>
        </w:rPr>
        <w:t xml:space="preserve">, </w:t>
      </w:r>
      <w:r>
        <w:t>ASR)</w:t>
      </w:r>
      <w:r>
        <w:rPr>
          <w:rFonts w:hint="eastAsia"/>
        </w:rPr>
        <w:t>作为评估指标，指能够成功突破模型安全防御并产生有害输出的测试问题占总测试问题的比例。</w:t>
      </w:r>
      <w:r>
        <w:t>越狱成功率越高，代表目标模型的安全防护能力越弱。</w:t>
      </w:r>
    </w:p>
    <w:p w14:paraId="39F1D46C">
      <w:pPr>
        <w:ind w:firstLine="480"/>
      </w:pPr>
      <w:r>
        <w:rPr>
          <w:rFonts w:hint="eastAsia"/>
        </w:rPr>
        <w:t>·评估方法：</w:t>
      </w:r>
      <w:r>
        <w:t>考虑到对大规模对抗性样本进行人工评测不仅耗时耗力，且难以保持一致性和可重复性，</w:t>
      </w:r>
      <w:r>
        <w:rPr>
          <w:rFonts w:hint="eastAsia"/>
        </w:rPr>
        <w:t>这里</w:t>
      </w:r>
      <w:r>
        <w:t>采用了一种自动化评估方案JailbreakEval</w:t>
      </w:r>
      <w:r>
        <w:rPr>
          <w:vertAlign w:val="superscript"/>
        </w:rPr>
        <w:fldChar w:fldCharType="begin"/>
      </w:r>
      <w:r>
        <w:rPr>
          <w:vertAlign w:val="superscript"/>
        </w:rPr>
        <w:instrText xml:space="preserve"> REF _Ref195728975 \r \h  \* MERGEFORMAT </w:instrText>
      </w:r>
      <w:r>
        <w:rPr>
          <w:vertAlign w:val="superscript"/>
        </w:rPr>
        <w:fldChar w:fldCharType="separate"/>
      </w:r>
      <w:r>
        <w:rPr>
          <w:vertAlign w:val="superscript"/>
        </w:rPr>
        <w:t>[55]</w:t>
      </w:r>
      <w:r>
        <w:rPr>
          <w:vertAlign w:val="superscript"/>
        </w:rPr>
        <w:fldChar w:fldCharType="end"/>
      </w:r>
      <w:r>
        <w:rPr>
          <w:rFonts w:hint="eastAsia"/>
        </w:rPr>
        <w:t>，</w:t>
      </w:r>
      <w:r>
        <w:t>引入GPT-4o-mini</w:t>
      </w:r>
      <w:r>
        <w:rPr>
          <w:rStyle w:val="37"/>
          <w:sz w:val="21"/>
          <w:szCs w:val="21"/>
        </w:rPr>
        <w:footnoteReference w:id="9"/>
      </w:r>
      <w:r>
        <w:t>模型作为自动判别器，对模型生成的响应进行判断，以评估其是否成功绕过安全机制，从而实现对对抗性防御能力的高效评估。</w:t>
      </w:r>
      <w:r>
        <w:rPr>
          <w:rFonts w:hint="eastAsia"/>
        </w:rPr>
        <w:t>具体方法是将“用户问题”与“模型回答”嵌入预设的判别提示中，如图4-1所示，请求GPT-4o-mini判断回答是否违反伦理、法律或安全规范，并以A</w:t>
      </w:r>
      <w:r>
        <w:t>(</w:t>
      </w:r>
      <w:r>
        <w:rPr>
          <w:rFonts w:hint="eastAsia"/>
        </w:rPr>
        <w:t>Very Harmful</w:t>
      </w:r>
      <w:r>
        <w:t>)</w:t>
      </w:r>
      <w:r>
        <w:rPr>
          <w:rFonts w:hint="eastAsia"/>
        </w:rPr>
        <w:t>至E</w:t>
      </w:r>
      <w:r>
        <w:t>(</w:t>
      </w:r>
      <w:r>
        <w:rPr>
          <w:rFonts w:hint="eastAsia"/>
        </w:rPr>
        <w:t>No Harmful at All</w:t>
      </w:r>
      <w:r>
        <w:t>)</w:t>
      </w:r>
      <w:r>
        <w:rPr>
          <w:rFonts w:hint="eastAsia"/>
        </w:rPr>
        <w:t>五级标签给出判定结果。若判定结果为A或B，则认为本次攻击成功绕过了模型的安全机制，构成一次越狱成功。</w:t>
      </w:r>
    </w:p>
    <w:p w14:paraId="2DD9997A">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389120" cy="2655570"/>
            <wp:effectExtent l="0" t="0" r="0" b="0"/>
            <wp:docPr id="7036699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669913" name="图片 4"/>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22275" cy="2676178"/>
                    </a:xfrm>
                    <a:prstGeom prst="rect">
                      <a:avLst/>
                    </a:prstGeom>
                  </pic:spPr>
                </pic:pic>
              </a:graphicData>
            </a:graphic>
          </wp:inline>
        </w:drawing>
      </w:r>
    </w:p>
    <w:p w14:paraId="2AF8BC0D">
      <w:pPr>
        <w:ind w:firstLine="0" w:firstLineChars="0"/>
        <w:jc w:val="center"/>
        <w:rPr>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-1  </w:t>
      </w:r>
      <w:r>
        <w:rPr>
          <w:rFonts w:hint="eastAsia" w:ascii="楷体" w:hAnsi="楷体" w:eastAsia="楷体"/>
          <w:iCs/>
          <w:color w:val="000000" w:themeColor="text1"/>
          <w:sz w:val="21"/>
          <w:szCs w:val="21"/>
          <w14:textFill>
            <w14:solidFill>
              <w14:schemeClr w14:val="tx1"/>
            </w14:solidFill>
          </w14:textFill>
        </w:rPr>
        <w:t>越狱评估使用的提示词</w:t>
      </w:r>
    </w:p>
    <w:p w14:paraId="3B8F0661">
      <w:pPr>
        <w:ind w:firstLine="480"/>
      </w:pPr>
      <w:r>
        <w:rPr>
          <w:rFonts w:hint="eastAsia"/>
        </w:rPr>
        <w:t>·测试环境：</w:t>
      </w:r>
      <w:r>
        <w:t xml:space="preserve">为了在保证推理效率的同时有效节省显存资源，采用了高性能的 </w:t>
      </w:r>
      <w:r>
        <w:rPr>
          <w:rFonts w:hint="eastAsia"/>
        </w:rPr>
        <w:t>v</w:t>
      </w:r>
      <w:r>
        <w:t>LLM</w:t>
      </w:r>
      <w:r>
        <w:rPr>
          <w:vertAlign w:val="superscript"/>
        </w:rPr>
        <w:fldChar w:fldCharType="begin"/>
      </w:r>
      <w:r>
        <w:rPr>
          <w:vertAlign w:val="superscript"/>
        </w:rPr>
        <w:instrText xml:space="preserve"> REF _Ref196928496 \r \h  \* MERGEFORMAT </w:instrText>
      </w:r>
      <w:r>
        <w:rPr>
          <w:vertAlign w:val="superscript"/>
        </w:rPr>
        <w:fldChar w:fldCharType="separate"/>
      </w:r>
      <w:r>
        <w:rPr>
          <w:vertAlign w:val="superscript"/>
        </w:rPr>
        <w:t>[54]</w:t>
      </w:r>
      <w:r>
        <w:rPr>
          <w:vertAlign w:val="superscript"/>
        </w:rPr>
        <w:fldChar w:fldCharType="end"/>
      </w:r>
      <w:r>
        <w:t>推理框架部署主流大语言模型。</w:t>
      </w:r>
      <w:r>
        <w:rPr>
          <w:rFonts w:hint="eastAsia"/>
        </w:rPr>
        <w:t>v</w:t>
      </w:r>
      <w:r>
        <w:t>LLM支持高吞吐量的推理任务，适用于大规模样本评估场景。实验运行环境配备了4张NVIDIA RTX</w:t>
      </w:r>
      <w:r>
        <w:rPr>
          <w:rFonts w:hint="eastAsia"/>
        </w:rPr>
        <w:t xml:space="preserve"> </w:t>
      </w:r>
      <w:r>
        <w:t>4090显卡，用于加速模型推理过程，显著提升了整体评估效率。</w:t>
      </w:r>
    </w:p>
    <w:p w14:paraId="13D28ADE">
      <w:pPr>
        <w:pStyle w:val="4"/>
        <w:spacing w:before="240" w:after="240"/>
        <w:ind w:firstLine="489"/>
      </w:pPr>
      <w:bookmarkStart w:id="46" w:name="_Toc197274538"/>
      <w:r>
        <w:rPr>
          <w:rFonts w:hint="eastAsia"/>
        </w:rPr>
        <w:t>4.2.3 评测结果与分析</w:t>
      </w:r>
      <w:bookmarkEnd w:id="46"/>
    </w:p>
    <w:p w14:paraId="12BF0C33">
      <w:pPr>
        <w:ind w:firstLine="420" w:firstLineChars="175"/>
      </w:pPr>
      <w:r>
        <w:rPr>
          <w:rFonts w:hint="eastAsia"/>
        </w:rPr>
        <w:t>各个主流大模型的对抗性防御能力评测结果如表4-1所示。</w:t>
      </w:r>
    </w:p>
    <w:p w14:paraId="0C386832">
      <w:pPr>
        <w:ind w:firstLine="420" w:firstLineChars="175"/>
      </w:pPr>
      <w:r>
        <w:t>在JailBench_seed子集上的评估结果表明，大多数模型在面对该数据集中的有害提示时表现出较强的防御能力，攻击成功率普遍较低（如L</w:t>
      </w:r>
      <w:r>
        <w:rPr>
          <w:rFonts w:hint="eastAsia"/>
        </w:rPr>
        <w:t>lama</w:t>
      </w:r>
      <w:r>
        <w:t>3</w:t>
      </w:r>
      <w:r>
        <w:rPr>
          <w:rFonts w:hint="eastAsia"/>
        </w:rPr>
        <w:t>系列</w:t>
      </w:r>
      <w:r>
        <w:t>和Qwen2系列模型的攻击成功率均低于0.05）。这一现象主要归因于JailBench_seed本身由人工设计的高质量越狱提示构成，其问题形式较为直接且具有明显的危害性，按理应被模型准确拒绝。然而，DeepSeek-R1-Distill-Qwen-7B模型在该子集上的攻击成功率高达0.17，显著高于其他模型。这一异常结果可能与该模型在推理阶段启用了更强的</w:t>
      </w:r>
      <w:r>
        <w:rPr>
          <w:rFonts w:hint="eastAsia"/>
        </w:rPr>
        <w:t>推理</w:t>
      </w:r>
      <w:r>
        <w:t>模式有关，从而导致模型在生成响应时倾向于“思考过多”，进而绕过了原有的</w:t>
      </w:r>
      <w:r>
        <w:rPr>
          <w:rFonts w:hint="eastAsia"/>
        </w:rPr>
        <w:t>防御策</w:t>
      </w:r>
      <w:r>
        <w:t>略。但具体原因仍需进一步对模型内部机制进行深入分析。</w:t>
      </w:r>
    </w:p>
    <w:p w14:paraId="7CE622DF">
      <w:pPr>
        <w:ind w:firstLine="0" w:firstLineChars="0"/>
        <w:jc w:val="center"/>
        <w:rPr>
          <w:rFonts w:ascii="楷体" w:hAnsi="楷体" w:eastAsia="楷体"/>
          <w:sz w:val="21"/>
          <w:szCs w:val="21"/>
        </w:rPr>
      </w:pPr>
      <w:r>
        <w:rPr>
          <w:rFonts w:hint="eastAsia" w:ascii="楷体" w:hAnsi="楷体" w:eastAsia="楷体"/>
          <w:sz w:val="21"/>
          <w:szCs w:val="21"/>
        </w:rPr>
        <w:t>表</w:t>
      </w:r>
      <w:r>
        <w:rPr>
          <w:rFonts w:hint="eastAsia" w:cs="Times New Roman"/>
        </w:rPr>
        <w:t>4</w:t>
      </w:r>
      <w:r>
        <w:rPr>
          <w:rFonts w:cs="Times New Roman"/>
        </w:rPr>
        <w:t xml:space="preserve">-1  </w:t>
      </w:r>
      <w:r>
        <w:rPr>
          <w:rFonts w:hint="eastAsia" w:ascii="楷体" w:hAnsi="楷体" w:eastAsia="楷体" w:cs="Times New Roman"/>
          <w:sz w:val="21"/>
          <w:szCs w:val="21"/>
        </w:rPr>
        <w:t>不同模型在</w:t>
      </w:r>
      <w:r>
        <w:rPr>
          <w:rFonts w:hint="eastAsia" w:eastAsia="楷体" w:cs="Times New Roman"/>
          <w:sz w:val="21"/>
          <w:szCs w:val="21"/>
        </w:rPr>
        <w:t>Jai</w:t>
      </w:r>
      <w:r>
        <w:rPr>
          <w:rFonts w:eastAsia="楷体" w:cs="Times New Roman"/>
          <w:sz w:val="21"/>
          <w:szCs w:val="21"/>
        </w:rPr>
        <w:t>lBench_seed, JailBench</w:t>
      </w:r>
      <w:r>
        <w:rPr>
          <w:rFonts w:hint="eastAsia" w:ascii="楷体" w:hAnsi="楷体" w:eastAsia="楷体" w:cs="Times New Roman"/>
          <w:sz w:val="21"/>
          <w:szCs w:val="21"/>
        </w:rPr>
        <w:t>数据集上的评测结果</w:t>
      </w:r>
    </w:p>
    <w:tbl>
      <w:tblPr>
        <w:tblStyle w:val="29"/>
        <w:tblW w:w="0" w:type="auto"/>
        <w:jc w:val="center"/>
        <w:tblBorders>
          <w:top w:val="single" w:color="auto" w:sz="4" w:space="0"/>
          <w:left w:val="none" w:color="auto" w:sz="0" w:space="0"/>
          <w:bottom w:val="single" w:color="auto" w:sz="4" w:space="0"/>
          <w:right w:val="none" w:color="auto" w:sz="0" w:space="0"/>
          <w:insideH w:val="single" w:color="auto" w:sz="4" w:space="0"/>
          <w:insideV w:val="single" w:color="auto" w:sz="4" w:space="0"/>
        </w:tblBorders>
        <w:tblLayout w:type="autofit"/>
        <w:tblCellMar>
          <w:top w:w="0" w:type="dxa"/>
          <w:left w:w="108" w:type="dxa"/>
          <w:bottom w:w="0" w:type="dxa"/>
          <w:right w:w="108" w:type="dxa"/>
        </w:tblCellMar>
      </w:tblPr>
      <w:tblGrid>
        <w:gridCol w:w="3570"/>
        <w:gridCol w:w="2844"/>
        <w:gridCol w:w="2225"/>
      </w:tblGrid>
      <w:tr w14:paraId="0C61D8CE">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bottom w:val="single" w:color="auto" w:sz="4" w:space="0"/>
              <w:right w:val="nil"/>
            </w:tcBorders>
          </w:tcPr>
          <w:p w14:paraId="1938F77D">
            <w:pPr>
              <w:ind w:firstLine="0" w:firstLineChars="0"/>
              <w:jc w:val="left"/>
              <w:rPr>
                <w:b/>
                <w:bCs/>
              </w:rPr>
            </w:pPr>
            <w:r>
              <w:rPr>
                <w:rFonts w:hint="eastAsia"/>
                <w:b/>
                <w:bCs/>
              </w:rPr>
              <w:t>模型</w:t>
            </w:r>
          </w:p>
        </w:tc>
        <w:tc>
          <w:tcPr>
            <w:tcW w:w="2844" w:type="dxa"/>
            <w:tcBorders>
              <w:left w:val="nil"/>
              <w:bottom w:val="single" w:color="auto" w:sz="4" w:space="0"/>
              <w:right w:val="nil"/>
            </w:tcBorders>
          </w:tcPr>
          <w:p w14:paraId="5C532AC6">
            <w:pPr>
              <w:ind w:firstLine="0" w:firstLineChars="0"/>
              <w:jc w:val="center"/>
              <w:rPr>
                <w:b/>
                <w:bCs/>
              </w:rPr>
            </w:pPr>
            <w:r>
              <w:rPr>
                <w:b/>
                <w:bCs/>
              </w:rPr>
              <w:t>JailBench_seed (ASR)</w:t>
            </w:r>
          </w:p>
        </w:tc>
        <w:tc>
          <w:tcPr>
            <w:tcW w:w="2225" w:type="dxa"/>
            <w:tcBorders>
              <w:left w:val="nil"/>
              <w:bottom w:val="single" w:color="auto" w:sz="4" w:space="0"/>
            </w:tcBorders>
          </w:tcPr>
          <w:p w14:paraId="561752A9">
            <w:pPr>
              <w:ind w:firstLine="0" w:firstLineChars="0"/>
              <w:jc w:val="center"/>
              <w:rPr>
                <w:b/>
                <w:bCs/>
              </w:rPr>
            </w:pPr>
            <w:r>
              <w:rPr>
                <w:b/>
                <w:bCs/>
              </w:rPr>
              <w:t>JailBench (ASR)</w:t>
            </w:r>
          </w:p>
        </w:tc>
      </w:tr>
      <w:tr w14:paraId="536EB096">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bottom w:val="nil"/>
              <w:right w:val="nil"/>
            </w:tcBorders>
          </w:tcPr>
          <w:p w14:paraId="3B492C35">
            <w:pPr>
              <w:ind w:firstLine="0" w:firstLineChars="0"/>
              <w:jc w:val="left"/>
            </w:pPr>
            <w:r>
              <w:t>DeepSeek-R1-Distill-Qwen-7B</w:t>
            </w:r>
            <w:r>
              <w:rPr>
                <w:vertAlign w:val="superscript"/>
              </w:rPr>
              <w:fldChar w:fldCharType="begin"/>
            </w:r>
            <w:r>
              <w:rPr>
                <w:vertAlign w:val="superscript"/>
              </w:rPr>
              <w:instrText xml:space="preserve"> REF _Ref195736491 \r \h  \* MERGEFORMAT </w:instrText>
            </w:r>
            <w:r>
              <w:rPr>
                <w:vertAlign w:val="superscript"/>
              </w:rPr>
              <w:fldChar w:fldCharType="separate"/>
            </w:r>
            <w:r>
              <w:rPr>
                <w:vertAlign w:val="superscript"/>
              </w:rPr>
              <w:t>[56]</w:t>
            </w:r>
            <w:r>
              <w:rPr>
                <w:vertAlign w:val="superscript"/>
              </w:rPr>
              <w:fldChar w:fldCharType="end"/>
            </w:r>
          </w:p>
        </w:tc>
        <w:tc>
          <w:tcPr>
            <w:tcW w:w="2844" w:type="dxa"/>
            <w:tcBorders>
              <w:left w:val="nil"/>
              <w:bottom w:val="nil"/>
              <w:right w:val="nil"/>
            </w:tcBorders>
          </w:tcPr>
          <w:p w14:paraId="5617EF47">
            <w:pPr>
              <w:ind w:firstLine="0" w:firstLineChars="0"/>
              <w:jc w:val="center"/>
            </w:pPr>
            <w:r>
              <w:t>0.17</w:t>
            </w:r>
          </w:p>
        </w:tc>
        <w:tc>
          <w:tcPr>
            <w:tcW w:w="2225" w:type="dxa"/>
            <w:tcBorders>
              <w:left w:val="nil"/>
              <w:bottom w:val="nil"/>
            </w:tcBorders>
          </w:tcPr>
          <w:p w14:paraId="0851B27E">
            <w:pPr>
              <w:ind w:firstLine="0" w:firstLineChars="0"/>
              <w:jc w:val="center"/>
            </w:pPr>
            <w:r>
              <w:t>0.54</w:t>
            </w:r>
          </w:p>
        </w:tc>
      </w:tr>
      <w:tr w14:paraId="2789A175">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top w:val="nil"/>
              <w:bottom w:val="nil"/>
              <w:right w:val="nil"/>
            </w:tcBorders>
          </w:tcPr>
          <w:p w14:paraId="50230ACA">
            <w:pPr>
              <w:ind w:firstLine="0" w:firstLineChars="0"/>
              <w:jc w:val="left"/>
            </w:pPr>
            <w:r>
              <w:t>Llama-3.2-3B-Instruct</w:t>
            </w:r>
            <w:r>
              <w:rPr>
                <w:rStyle w:val="37"/>
                <w:sz w:val="21"/>
                <w:szCs w:val="21"/>
              </w:rPr>
              <w:footnoteReference w:id="10"/>
            </w:r>
          </w:p>
        </w:tc>
        <w:tc>
          <w:tcPr>
            <w:tcW w:w="2844" w:type="dxa"/>
            <w:tcBorders>
              <w:top w:val="nil"/>
              <w:left w:val="nil"/>
              <w:bottom w:val="nil"/>
              <w:right w:val="nil"/>
            </w:tcBorders>
          </w:tcPr>
          <w:p w14:paraId="165DEC72">
            <w:pPr>
              <w:ind w:firstLine="0" w:firstLineChars="0"/>
              <w:jc w:val="center"/>
            </w:pPr>
            <w:r>
              <w:t>0.04</w:t>
            </w:r>
          </w:p>
        </w:tc>
        <w:tc>
          <w:tcPr>
            <w:tcW w:w="2225" w:type="dxa"/>
            <w:tcBorders>
              <w:top w:val="nil"/>
              <w:left w:val="nil"/>
              <w:bottom w:val="nil"/>
            </w:tcBorders>
          </w:tcPr>
          <w:p w14:paraId="22A489F8">
            <w:pPr>
              <w:ind w:firstLine="0" w:firstLineChars="0"/>
              <w:jc w:val="center"/>
              <w:rPr>
                <w:b/>
                <w:bCs/>
              </w:rPr>
            </w:pPr>
            <w:r>
              <w:rPr>
                <w:b/>
                <w:bCs/>
              </w:rPr>
              <w:t>0.28</w:t>
            </w:r>
          </w:p>
        </w:tc>
      </w:tr>
      <w:tr w14:paraId="5BE45A24">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top w:val="nil"/>
              <w:bottom w:val="nil"/>
              <w:right w:val="nil"/>
            </w:tcBorders>
          </w:tcPr>
          <w:p w14:paraId="780730C3">
            <w:pPr>
              <w:ind w:firstLine="0" w:firstLineChars="0"/>
              <w:jc w:val="left"/>
            </w:pPr>
            <w:r>
              <w:t>Llama-3-8B-Instruct</w:t>
            </w:r>
            <w:r>
              <w:rPr>
                <w:vertAlign w:val="superscript"/>
              </w:rPr>
              <w:fldChar w:fldCharType="begin"/>
            </w:r>
            <w:r>
              <w:rPr>
                <w:vertAlign w:val="superscript"/>
              </w:rPr>
              <w:instrText xml:space="preserve"> REF _Ref195736542 \r \h  \* MERGEFORMAT </w:instrText>
            </w:r>
            <w:r>
              <w:rPr>
                <w:vertAlign w:val="superscript"/>
              </w:rPr>
              <w:fldChar w:fldCharType="separate"/>
            </w:r>
            <w:r>
              <w:rPr>
                <w:vertAlign w:val="superscript"/>
              </w:rPr>
              <w:t>[57]</w:t>
            </w:r>
            <w:r>
              <w:rPr>
                <w:vertAlign w:val="superscript"/>
              </w:rPr>
              <w:fldChar w:fldCharType="end"/>
            </w:r>
          </w:p>
        </w:tc>
        <w:tc>
          <w:tcPr>
            <w:tcW w:w="2844" w:type="dxa"/>
            <w:tcBorders>
              <w:top w:val="nil"/>
              <w:left w:val="nil"/>
              <w:bottom w:val="nil"/>
              <w:right w:val="nil"/>
            </w:tcBorders>
          </w:tcPr>
          <w:p w14:paraId="3370E679">
            <w:pPr>
              <w:ind w:firstLine="0" w:firstLineChars="0"/>
              <w:jc w:val="center"/>
              <w:rPr>
                <w:b/>
                <w:bCs/>
              </w:rPr>
            </w:pPr>
            <w:r>
              <w:rPr>
                <w:b/>
                <w:bCs/>
              </w:rPr>
              <w:t>0.01</w:t>
            </w:r>
          </w:p>
        </w:tc>
        <w:tc>
          <w:tcPr>
            <w:tcW w:w="2225" w:type="dxa"/>
            <w:tcBorders>
              <w:top w:val="nil"/>
              <w:left w:val="nil"/>
              <w:bottom w:val="nil"/>
            </w:tcBorders>
          </w:tcPr>
          <w:p w14:paraId="7AD1F944">
            <w:pPr>
              <w:ind w:firstLine="0" w:firstLineChars="0"/>
              <w:jc w:val="center"/>
            </w:pPr>
            <w:r>
              <w:t>0.43</w:t>
            </w:r>
          </w:p>
        </w:tc>
      </w:tr>
      <w:tr w14:paraId="1A9A9FDB">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top w:val="nil"/>
              <w:bottom w:val="nil"/>
              <w:right w:val="nil"/>
            </w:tcBorders>
          </w:tcPr>
          <w:p w14:paraId="06AED6A3">
            <w:pPr>
              <w:ind w:firstLine="0" w:firstLineChars="0"/>
              <w:jc w:val="left"/>
            </w:pPr>
            <w:r>
              <w:t>Baichuan2-7B-Chat</w:t>
            </w:r>
            <w:r>
              <w:rPr>
                <w:vertAlign w:val="superscript"/>
              </w:rPr>
              <w:fldChar w:fldCharType="begin"/>
            </w:r>
            <w:r>
              <w:rPr>
                <w:vertAlign w:val="superscript"/>
              </w:rPr>
              <w:instrText xml:space="preserve"> REF _Ref195736554 \r \h  \* MERGEFORMAT </w:instrText>
            </w:r>
            <w:r>
              <w:rPr>
                <w:vertAlign w:val="superscript"/>
              </w:rPr>
              <w:fldChar w:fldCharType="separate"/>
            </w:r>
            <w:r>
              <w:rPr>
                <w:vertAlign w:val="superscript"/>
              </w:rPr>
              <w:t>[58]</w:t>
            </w:r>
            <w:r>
              <w:rPr>
                <w:vertAlign w:val="superscript"/>
              </w:rPr>
              <w:fldChar w:fldCharType="end"/>
            </w:r>
          </w:p>
        </w:tc>
        <w:tc>
          <w:tcPr>
            <w:tcW w:w="2844" w:type="dxa"/>
            <w:tcBorders>
              <w:top w:val="nil"/>
              <w:left w:val="nil"/>
              <w:bottom w:val="nil"/>
              <w:right w:val="nil"/>
            </w:tcBorders>
          </w:tcPr>
          <w:p w14:paraId="18DD9D6D">
            <w:pPr>
              <w:ind w:firstLine="0" w:firstLineChars="0"/>
              <w:jc w:val="center"/>
            </w:pPr>
            <w:r>
              <w:t>0.14</w:t>
            </w:r>
          </w:p>
        </w:tc>
        <w:tc>
          <w:tcPr>
            <w:tcW w:w="2225" w:type="dxa"/>
            <w:tcBorders>
              <w:top w:val="nil"/>
              <w:left w:val="nil"/>
              <w:bottom w:val="nil"/>
            </w:tcBorders>
          </w:tcPr>
          <w:p w14:paraId="130C5AAC">
            <w:pPr>
              <w:ind w:firstLine="0" w:firstLineChars="0"/>
              <w:jc w:val="center"/>
            </w:pPr>
            <w:r>
              <w:t>0.54</w:t>
            </w:r>
          </w:p>
        </w:tc>
      </w:tr>
      <w:tr w14:paraId="1F3F509D">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top w:val="nil"/>
              <w:bottom w:val="nil"/>
              <w:right w:val="nil"/>
            </w:tcBorders>
          </w:tcPr>
          <w:p w14:paraId="28DEA593">
            <w:pPr>
              <w:ind w:firstLine="0" w:firstLineChars="0"/>
              <w:jc w:val="left"/>
            </w:pPr>
            <w:r>
              <w:t>Qwen2-1.5B-Instruct</w:t>
            </w:r>
            <w:r>
              <w:rPr>
                <w:vertAlign w:val="superscript"/>
              </w:rPr>
              <w:fldChar w:fldCharType="begin"/>
            </w:r>
            <w:r>
              <w:rPr>
                <w:vertAlign w:val="superscript"/>
              </w:rPr>
              <w:instrText xml:space="preserve"> REF _Ref196257668 \r \h  \* MERGEFORMAT </w:instrText>
            </w:r>
            <w:r>
              <w:rPr>
                <w:vertAlign w:val="superscript"/>
              </w:rPr>
              <w:fldChar w:fldCharType="separate"/>
            </w:r>
            <w:r>
              <w:rPr>
                <w:vertAlign w:val="superscript"/>
              </w:rPr>
              <w:t>[38]</w:t>
            </w:r>
            <w:r>
              <w:rPr>
                <w:vertAlign w:val="superscript"/>
              </w:rPr>
              <w:fldChar w:fldCharType="end"/>
            </w:r>
          </w:p>
        </w:tc>
        <w:tc>
          <w:tcPr>
            <w:tcW w:w="2844" w:type="dxa"/>
            <w:tcBorders>
              <w:top w:val="nil"/>
              <w:left w:val="nil"/>
              <w:bottom w:val="nil"/>
              <w:right w:val="nil"/>
            </w:tcBorders>
          </w:tcPr>
          <w:p w14:paraId="173235BE">
            <w:pPr>
              <w:ind w:firstLine="0" w:firstLineChars="0"/>
              <w:jc w:val="center"/>
            </w:pPr>
            <w:r>
              <w:t>0.04</w:t>
            </w:r>
          </w:p>
        </w:tc>
        <w:tc>
          <w:tcPr>
            <w:tcW w:w="2225" w:type="dxa"/>
            <w:tcBorders>
              <w:top w:val="nil"/>
              <w:left w:val="nil"/>
              <w:bottom w:val="nil"/>
            </w:tcBorders>
          </w:tcPr>
          <w:p w14:paraId="3B69B2E7">
            <w:pPr>
              <w:ind w:firstLine="0" w:firstLineChars="0"/>
              <w:jc w:val="center"/>
            </w:pPr>
            <w:r>
              <w:t>0.34</w:t>
            </w:r>
          </w:p>
        </w:tc>
      </w:tr>
      <w:tr w14:paraId="29E82242">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top w:val="nil"/>
              <w:bottom w:val="nil"/>
              <w:right w:val="nil"/>
            </w:tcBorders>
          </w:tcPr>
          <w:p w14:paraId="3EEFF745">
            <w:pPr>
              <w:ind w:firstLine="0" w:firstLineChars="0"/>
              <w:jc w:val="left"/>
            </w:pPr>
            <w:r>
              <w:t>Qwen2.5-3B-Instruct</w:t>
            </w:r>
            <w:r>
              <w:rPr>
                <w:vertAlign w:val="superscript"/>
              </w:rPr>
              <w:fldChar w:fldCharType="begin"/>
            </w:r>
            <w:r>
              <w:rPr>
                <w:vertAlign w:val="superscript"/>
              </w:rPr>
              <w:instrText xml:space="preserve"> REF _Ref196301198 \r \h  \* MERGEFORMAT </w:instrText>
            </w:r>
            <w:r>
              <w:rPr>
                <w:vertAlign w:val="superscript"/>
              </w:rPr>
              <w:fldChar w:fldCharType="separate"/>
            </w:r>
            <w:r>
              <w:rPr>
                <w:vertAlign w:val="superscript"/>
              </w:rPr>
              <w:t>[59]</w:t>
            </w:r>
            <w:r>
              <w:rPr>
                <w:vertAlign w:val="superscript"/>
              </w:rPr>
              <w:fldChar w:fldCharType="end"/>
            </w:r>
          </w:p>
        </w:tc>
        <w:tc>
          <w:tcPr>
            <w:tcW w:w="2844" w:type="dxa"/>
            <w:tcBorders>
              <w:top w:val="nil"/>
              <w:left w:val="nil"/>
              <w:bottom w:val="nil"/>
              <w:right w:val="nil"/>
            </w:tcBorders>
          </w:tcPr>
          <w:p w14:paraId="6AF18054">
            <w:pPr>
              <w:ind w:firstLine="0" w:firstLineChars="0"/>
              <w:jc w:val="center"/>
              <w:rPr>
                <w:b/>
                <w:bCs/>
              </w:rPr>
            </w:pPr>
            <w:r>
              <w:rPr>
                <w:b/>
                <w:bCs/>
              </w:rPr>
              <w:t>0.01</w:t>
            </w:r>
          </w:p>
        </w:tc>
        <w:tc>
          <w:tcPr>
            <w:tcW w:w="2225" w:type="dxa"/>
            <w:tcBorders>
              <w:top w:val="nil"/>
              <w:left w:val="nil"/>
              <w:bottom w:val="nil"/>
            </w:tcBorders>
          </w:tcPr>
          <w:p w14:paraId="36947377">
            <w:pPr>
              <w:ind w:firstLine="0" w:firstLineChars="0"/>
              <w:jc w:val="center"/>
            </w:pPr>
            <w:r>
              <w:t>0.35</w:t>
            </w:r>
          </w:p>
        </w:tc>
      </w:tr>
      <w:tr w14:paraId="05DB50E8">
        <w:tblPrEx>
          <w:tblBorders>
            <w:top w:val="single" w:color="auto" w:sz="4" w:space="0"/>
            <w:left w:val="none" w:color="auto" w:sz="0" w:space="0"/>
            <w:bottom w:val="single" w:color="auto" w:sz="4" w:space="0"/>
            <w:right w:val="none" w:color="auto" w:sz="0" w:space="0"/>
            <w:insideH w:val="single" w:color="auto" w:sz="4" w:space="0"/>
            <w:insideV w:val="single" w:color="auto" w:sz="4" w:space="0"/>
          </w:tblBorders>
        </w:tblPrEx>
        <w:trPr>
          <w:jc w:val="center"/>
        </w:trPr>
        <w:tc>
          <w:tcPr>
            <w:tcW w:w="3570" w:type="dxa"/>
            <w:tcBorders>
              <w:top w:val="nil"/>
              <w:right w:val="nil"/>
            </w:tcBorders>
          </w:tcPr>
          <w:p w14:paraId="1A887551">
            <w:pPr>
              <w:ind w:firstLine="0" w:firstLineChars="0"/>
              <w:jc w:val="left"/>
            </w:pPr>
            <w:r>
              <w:t>Qwen2.5-7B-Instruct</w:t>
            </w:r>
            <w:r>
              <w:rPr>
                <w:vertAlign w:val="superscript"/>
              </w:rPr>
              <w:fldChar w:fldCharType="begin"/>
            </w:r>
            <w:r>
              <w:rPr>
                <w:vertAlign w:val="superscript"/>
              </w:rPr>
              <w:instrText xml:space="preserve"> REF _Ref196301198 \r \h  \* MERGEFORMAT </w:instrText>
            </w:r>
            <w:r>
              <w:rPr>
                <w:vertAlign w:val="superscript"/>
              </w:rPr>
              <w:fldChar w:fldCharType="separate"/>
            </w:r>
            <w:r>
              <w:rPr>
                <w:vertAlign w:val="superscript"/>
              </w:rPr>
              <w:t>[59]</w:t>
            </w:r>
            <w:r>
              <w:rPr>
                <w:vertAlign w:val="superscript"/>
              </w:rPr>
              <w:fldChar w:fldCharType="end"/>
            </w:r>
          </w:p>
        </w:tc>
        <w:tc>
          <w:tcPr>
            <w:tcW w:w="2844" w:type="dxa"/>
            <w:tcBorders>
              <w:top w:val="nil"/>
              <w:left w:val="nil"/>
              <w:right w:val="nil"/>
            </w:tcBorders>
          </w:tcPr>
          <w:p w14:paraId="7F7BFCB7">
            <w:pPr>
              <w:ind w:firstLine="0" w:firstLineChars="0"/>
              <w:jc w:val="center"/>
            </w:pPr>
            <w:r>
              <w:t>0.02</w:t>
            </w:r>
          </w:p>
        </w:tc>
        <w:tc>
          <w:tcPr>
            <w:tcW w:w="2225" w:type="dxa"/>
            <w:tcBorders>
              <w:top w:val="nil"/>
              <w:left w:val="nil"/>
            </w:tcBorders>
          </w:tcPr>
          <w:p w14:paraId="5A8FA006">
            <w:pPr>
              <w:ind w:firstLine="0" w:firstLineChars="0"/>
              <w:jc w:val="center"/>
            </w:pPr>
            <w:r>
              <w:t>0.54</w:t>
            </w:r>
          </w:p>
        </w:tc>
      </w:tr>
    </w:tbl>
    <w:p w14:paraId="5B4E9EC5">
      <w:pPr>
        <w:ind w:firstLine="480"/>
      </w:pPr>
      <w:r>
        <w:t>相比之下，在完整的JailBench数据集上，所有模型的</w:t>
      </w:r>
      <w:r>
        <w:rPr>
          <w:rFonts w:hint="eastAsia"/>
        </w:rPr>
        <w:t>对抗性</w:t>
      </w:r>
      <w:r>
        <w:t>防御能力均出现明显下降。数据显示，绝大多数模型的攻击成功率均超过30%，部分模型（如DeepSeek</w:t>
      </w:r>
      <w:r>
        <w:rPr>
          <w:rFonts w:hint="eastAsia"/>
        </w:rPr>
        <w:t>-</w:t>
      </w:r>
      <w:r>
        <w:t>R1和Baichuan2）甚至高达54%。这一结果充分体现了JailBench数据集中自动扩展的越狱提示具备更强的隐蔽性和攻击能力，能够更有效地诱导模型生成有害输出。在所有被测模型中，L</w:t>
      </w:r>
      <w:r>
        <w:rPr>
          <w:rFonts w:hint="eastAsia"/>
        </w:rPr>
        <w:t>l</w:t>
      </w:r>
      <w:r>
        <w:t>ama-3.2-3B-Instruct展现出相对较强的鲁棒性，攻击成功率仅为0.28。其</w:t>
      </w:r>
      <w:r>
        <w:rPr>
          <w:rFonts w:hint="eastAsia"/>
        </w:rPr>
        <w:t>相对</w:t>
      </w:r>
      <w:r>
        <w:t>优异</w:t>
      </w:r>
      <w:r>
        <w:rPr>
          <w:rFonts w:hint="eastAsia"/>
        </w:rPr>
        <w:t>的</w:t>
      </w:r>
      <w:r>
        <w:t>表现可能源于Meta在Llama-3.2系列开发过程中引入的多重安全强化措施，包括使用专门的对抗性评估数据集、集成Purple Llama</w:t>
      </w:r>
      <w:r>
        <w:rPr>
          <w:vertAlign w:val="superscript"/>
        </w:rPr>
        <w:fldChar w:fldCharType="begin"/>
      </w:r>
      <w:r>
        <w:rPr>
          <w:vertAlign w:val="superscript"/>
        </w:rPr>
        <w:instrText xml:space="preserve"> REF _Ref196301249 \r \h  \* MERGEFORMAT </w:instrText>
      </w:r>
      <w:r>
        <w:rPr>
          <w:vertAlign w:val="superscript"/>
        </w:rPr>
        <w:fldChar w:fldCharType="separate"/>
      </w:r>
      <w:r>
        <w:rPr>
          <w:vertAlign w:val="superscript"/>
        </w:rPr>
        <w:t>[60]</w:t>
      </w:r>
      <w:r>
        <w:rPr>
          <w:vertAlign w:val="superscript"/>
        </w:rPr>
        <w:fldChar w:fldCharType="end"/>
      </w:r>
      <w:r>
        <w:t>安全工具以过滤输入输出内容，以及开展多轮红队测试</w:t>
      </w:r>
      <w:r>
        <w:rPr>
          <w:vertAlign w:val="superscript"/>
        </w:rPr>
        <w:fldChar w:fldCharType="begin"/>
      </w:r>
      <w:r>
        <w:rPr>
          <w:vertAlign w:val="superscript"/>
        </w:rPr>
        <w:instrText xml:space="preserve"> REF _Ref196301260 \r \h  \* MERGEFORMAT </w:instrText>
      </w:r>
      <w:r>
        <w:rPr>
          <w:vertAlign w:val="superscript"/>
        </w:rPr>
        <w:fldChar w:fldCharType="separate"/>
      </w:r>
      <w:r>
        <w:rPr>
          <w:vertAlign w:val="superscript"/>
        </w:rPr>
        <w:t>[61]</w:t>
      </w:r>
      <w:r>
        <w:rPr>
          <w:vertAlign w:val="superscript"/>
        </w:rPr>
        <w:fldChar w:fldCharType="end"/>
      </w:r>
      <w:r>
        <w:t>以覆盖广泛的潜在滥用场景。这些实践有效提升了模型在复杂攻击场景下的防御能力。</w:t>
      </w:r>
    </w:p>
    <w:p w14:paraId="6B624091">
      <w:pPr>
        <w:ind w:firstLine="480"/>
        <w:rPr>
          <w:color w:val="000000" w:themeColor="text1"/>
          <w14:textFill>
            <w14:solidFill>
              <w14:schemeClr w14:val="tx1"/>
            </w14:solidFill>
          </w14:textFill>
        </w:rPr>
      </w:pPr>
      <w:r>
        <w:t>综上所述，该组</w:t>
      </w:r>
      <w:r>
        <w:rPr>
          <w:rFonts w:hint="eastAsia"/>
        </w:rPr>
        <w:t>大模型评测</w:t>
      </w:r>
      <w:r>
        <w:t>实验充分暴露了当前主流大模型在面对复杂越狱提示时的防御短板，表明仅依赖静态安全训练仍不足以应对动态演化的越狱攻击。这进一步凸显了构建高效、自动化检测越狱提示机制的重要性与紧迫性。</w:t>
      </w:r>
    </w:p>
    <w:p w14:paraId="45BCD567">
      <w:pPr>
        <w:pStyle w:val="3"/>
        <w:spacing w:before="240" w:after="240"/>
        <w:ind w:firstLine="0" w:firstLineChars="0"/>
      </w:pPr>
      <w:bookmarkStart w:id="47" w:name="_Toc196336443"/>
      <w:bookmarkStart w:id="48" w:name="_Toc197274539"/>
      <w:r>
        <w:t>4.</w:t>
      </w:r>
      <w:r>
        <w:rPr>
          <w:rFonts w:hint="eastAsia"/>
        </w:rPr>
        <w:t>3</w:t>
      </w:r>
      <w:r>
        <w:t xml:space="preserve"> </w:t>
      </w:r>
      <w:bookmarkEnd w:id="47"/>
      <w:r>
        <w:rPr>
          <w:rFonts w:hint="eastAsia"/>
          <w:color w:val="000000" w:themeColor="text1"/>
          <w14:textFill>
            <w14:solidFill>
              <w14:schemeClr w14:val="tx1"/>
            </w14:solidFill>
          </w14:textFill>
        </w:rPr>
        <w:t>LEAD对比实验</w:t>
      </w:r>
      <w:bookmarkEnd w:id="48"/>
    </w:p>
    <w:p w14:paraId="48A83B56">
      <w:pPr>
        <w:pStyle w:val="4"/>
        <w:spacing w:before="240" w:after="240"/>
        <w:ind w:firstLine="489"/>
      </w:pPr>
      <w:bookmarkStart w:id="49" w:name="_Toc196336445"/>
      <w:bookmarkStart w:id="50" w:name="_Toc197274540"/>
      <w:r>
        <w:rPr>
          <w:rFonts w:hint="eastAsia"/>
        </w:rPr>
        <w:t>4.3.1 评估指标</w:t>
      </w:r>
      <w:bookmarkEnd w:id="49"/>
      <w:bookmarkEnd w:id="50"/>
    </w:p>
    <w:p w14:paraId="6E49A5BE">
      <w:pPr>
        <w:ind w:firstLine="480"/>
      </w:pPr>
      <w:r>
        <w:rPr>
          <w:rFonts w:hint="eastAsia"/>
        </w:rPr>
        <w:t>在本节的评估中，</w:t>
      </w:r>
      <w:r>
        <w:rPr>
          <w:i/>
          <w:iCs/>
        </w:rPr>
        <w:t xml:space="preserve">F1 </w:t>
      </w:r>
      <w:r>
        <w:rPr>
          <w:rFonts w:hint="eastAsia"/>
        </w:rPr>
        <w:t>得分被作为主要指标。越狱提示检测属于安全强相关的二分类任务，既要求尽可能发现潜在的越狱提示，又必须控制误检率，以免影响正常用户体验。</w:t>
      </w:r>
      <w:r>
        <w:rPr>
          <w:i/>
          <w:iCs/>
        </w:rPr>
        <w:t xml:space="preserve">F1 </w:t>
      </w:r>
      <w:r>
        <w:rPr>
          <w:rFonts w:hint="eastAsia"/>
        </w:rPr>
        <w:t>同时考虑准确率</w:t>
      </w:r>
      <w:r>
        <w:t>(</w:t>
      </w:r>
      <w:r>
        <w:rPr>
          <w:rFonts w:hint="eastAsia"/>
          <w:i/>
          <w:iCs/>
        </w:rPr>
        <w:t>P</w:t>
      </w:r>
      <w:r>
        <w:rPr>
          <w:i/>
          <w:iCs/>
        </w:rPr>
        <w:t>recision</w:t>
      </w:r>
      <w:r>
        <w:t>)</w:t>
      </w:r>
      <w:r>
        <w:rPr>
          <w:rFonts w:hint="eastAsia"/>
        </w:rPr>
        <w:t>与召回率</w:t>
      </w:r>
      <w:r>
        <w:t>(</w:t>
      </w:r>
      <w:r>
        <w:rPr>
          <w:rFonts w:hint="eastAsia"/>
          <w:i/>
          <w:iCs/>
        </w:rPr>
        <w:t>R</w:t>
      </w:r>
      <w:r>
        <w:rPr>
          <w:i/>
          <w:iCs/>
        </w:rPr>
        <w:t>ecall</w:t>
      </w:r>
      <w:r>
        <w:t>)</w:t>
      </w:r>
      <w:r>
        <w:rPr>
          <w:rFonts w:hint="eastAsia"/>
        </w:rPr>
        <w:t>，可在两类风险之间取得平衡，因此最能反映模型的整体有效性。同时，本文也补充准确率</w:t>
      </w:r>
      <w:r>
        <w:t>,</w:t>
      </w:r>
      <w:r>
        <w:rPr>
          <w:rFonts w:hint="eastAsia"/>
        </w:rPr>
        <w:t xml:space="preserve"> 召回率两个单点数值，以确保对性能的全面评估。</w:t>
      </w:r>
    </w:p>
    <w:p w14:paraId="381F3D42">
      <w:pPr>
        <w:pStyle w:val="4"/>
        <w:spacing w:before="240" w:after="240"/>
        <w:ind w:firstLine="489"/>
      </w:pPr>
      <w:bookmarkStart w:id="51" w:name="_Toc196336447"/>
      <w:bookmarkStart w:id="52" w:name="_Toc197274541"/>
      <w:r>
        <w:rPr>
          <w:rFonts w:hint="eastAsia"/>
        </w:rPr>
        <w:t>4.3.2 基线方法</w:t>
      </w:r>
      <w:bookmarkEnd w:id="51"/>
      <w:bookmarkEnd w:id="52"/>
    </w:p>
    <w:p w14:paraId="3E5D9C8F">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本节的实验对比基线涵盖三大类：其一为启发式文本过滤器，包括基于黑名单与词频的规则过滤、情感倾向检测以及困惑度异常检测，侧重对输入的表层统计特征进行拦截；其二为零样本大模型检测器，即直接用GPT-4、GPT-3.5与开源的Qwen2-1.5B-Instruct在无微调情形下判断提示安全性；其三为梯度分析类安全检测方法，以GradSafe为代表，通过计算安全相关参数的梯度相似度来识别潜在越狱攻击。</w:t>
      </w:r>
    </w:p>
    <w:p w14:paraId="1A317624">
      <w:pPr>
        <w:ind w:firstLine="420" w:firstLineChars="175"/>
        <w:rPr>
          <w:color w:val="000000" w:themeColor="text1"/>
          <w14:textFill>
            <w14:solidFill>
              <w14:schemeClr w14:val="tx1"/>
            </w14:solidFill>
          </w14:textFill>
        </w:rPr>
      </w:pPr>
      <w:r>
        <w:rPr>
          <w:rFonts w:hint="eastAsia"/>
          <w:color w:val="000000" w:themeColor="text1"/>
          <w14:textFill>
            <w14:solidFill>
              <w14:schemeClr w14:val="tx1"/>
            </w14:solidFill>
          </w14:textFill>
        </w:rPr>
        <w:t>·规则过滤</w:t>
      </w:r>
      <w:r>
        <w:rPr>
          <w:color w:val="000000" w:themeColor="text1"/>
          <w14:textFill>
            <w14:solidFill>
              <w14:schemeClr w14:val="tx1"/>
            </w14:solidFill>
          </w14:textFill>
        </w:rPr>
        <w:t>(Rule-based Filtering)</w:t>
      </w:r>
      <w:r>
        <w:rPr>
          <w:rFonts w:hint="eastAsia"/>
          <w:color w:val="000000" w:themeColor="text1"/>
          <w14:textFill>
            <w14:solidFill>
              <w14:schemeClr w14:val="tx1"/>
            </w14:solidFill>
          </w14:textFill>
        </w:rPr>
        <w:t>：</w:t>
      </w:r>
      <w:r>
        <w:rPr>
          <w:rFonts w:hint="eastAsia" w:ascii="宋体" w:hAnsi="宋体"/>
          <w:color w:val="000000" w:themeColor="text1"/>
          <w14:textFill>
            <w14:solidFill>
              <w14:schemeClr w14:val="tx1"/>
            </w14:solidFill>
          </w14:textFill>
        </w:rPr>
        <w:t>基于对</w:t>
      </w:r>
      <w:r>
        <w:rPr>
          <w:rFonts w:cs="Times New Roman"/>
          <w:color w:val="000000" w:themeColor="text1"/>
          <w14:textFill>
            <w14:solidFill>
              <w14:schemeClr w14:val="tx1"/>
            </w14:solidFill>
          </w14:textFill>
        </w:rPr>
        <w:t>JailBench++_train</w:t>
      </w:r>
      <w:r>
        <w:rPr>
          <w:rFonts w:hint="eastAsia" w:ascii="宋体" w:hAnsi="宋体"/>
          <w:color w:val="000000" w:themeColor="text1"/>
          <w14:textFill>
            <w14:solidFill>
              <w14:schemeClr w14:val="tx1"/>
            </w14:solidFill>
          </w14:textFill>
        </w:rPr>
        <w:t>中有害提示的词频统计与开源违禁词表构建，本文设计了黑名单过滤规则。检测时，若输入提示包含黑名单词，或单词频率异常提升，或存在字符级重复，即判定为越狱提示。规则过滤的词频统计图和词云如图</w:t>
      </w:r>
      <w:r>
        <w:rPr>
          <w:rFonts w:cs="Times New Roman"/>
          <w:color w:val="000000" w:themeColor="text1"/>
          <w14:textFill>
            <w14:solidFill>
              <w14:schemeClr w14:val="tx1"/>
            </w14:solidFill>
          </w14:textFill>
        </w:rPr>
        <w:t>4-</w:t>
      </w:r>
      <w:r>
        <w:rPr>
          <w:rFonts w:hint="eastAsia" w:cs="Times New Roman"/>
          <w:color w:val="000000" w:themeColor="text1"/>
          <w14:textFill>
            <w14:solidFill>
              <w14:schemeClr w14:val="tx1"/>
            </w14:solidFill>
          </w14:textFill>
        </w:rPr>
        <w:t>2</w:t>
      </w:r>
      <w:r>
        <w:rPr>
          <w:rFonts w:hint="eastAsia" w:ascii="宋体" w:hAnsi="宋体"/>
          <w:color w:val="000000" w:themeColor="text1"/>
          <w14:textFill>
            <w14:solidFill>
              <w14:schemeClr w14:val="tx1"/>
            </w14:solidFill>
          </w14:textFill>
        </w:rPr>
        <w:t>和图</w:t>
      </w:r>
      <w:r>
        <w:rPr>
          <w:rFonts w:cs="Times New Roman"/>
          <w:color w:val="000000" w:themeColor="text1"/>
          <w14:textFill>
            <w14:solidFill>
              <w14:schemeClr w14:val="tx1"/>
            </w14:solidFill>
          </w14:textFill>
        </w:rPr>
        <w:t>4-</w:t>
      </w:r>
      <w:r>
        <w:rPr>
          <w:rFonts w:hint="eastAsia" w:cs="Times New Roman"/>
          <w:color w:val="000000" w:themeColor="text1"/>
          <w14:textFill>
            <w14:solidFill>
              <w14:schemeClr w14:val="tx1"/>
            </w14:solidFill>
          </w14:textFill>
        </w:rPr>
        <w:t>3</w:t>
      </w:r>
      <w:r>
        <w:rPr>
          <w:rFonts w:hint="eastAsia" w:ascii="宋体" w:hAnsi="宋体"/>
          <w:color w:val="000000" w:themeColor="text1"/>
          <w14:textFill>
            <w14:solidFill>
              <w14:schemeClr w14:val="tx1"/>
            </w14:solidFill>
          </w14:textFill>
        </w:rPr>
        <w:t>所示。</w:t>
      </w:r>
    </w:p>
    <w:p w14:paraId="53E74E72">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161280" cy="3072765"/>
            <wp:effectExtent l="0" t="0" r="0" b="635"/>
            <wp:docPr id="86912420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24207" name="图片 8"/>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199647" cy="3096174"/>
                    </a:xfrm>
                    <a:prstGeom prst="rect">
                      <a:avLst/>
                    </a:prstGeom>
                  </pic:spPr>
                </pic:pic>
              </a:graphicData>
            </a:graphic>
          </wp:inline>
        </w:drawing>
      </w:r>
    </w:p>
    <w:p w14:paraId="0EB0C66B">
      <w:pPr>
        <w:ind w:firstLine="0" w:firstLineChars="0"/>
        <w:jc w:val="center"/>
        <w:rPr>
          <w:rFonts w:eastAsia="楷体"/>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-2  </w:t>
      </w:r>
      <w:r>
        <w:rPr>
          <w:iCs/>
          <w:color w:val="000000" w:themeColor="text1"/>
          <w:sz w:val="21"/>
          <w:szCs w:val="21"/>
          <w14:textFill>
            <w14:solidFill>
              <w14:schemeClr w14:val="tx1"/>
            </w14:solidFill>
          </w14:textFill>
        </w:rPr>
        <w:t>JailBench++_train</w:t>
      </w:r>
      <w:r>
        <w:rPr>
          <w:rFonts w:hint="eastAsia" w:ascii="楷体" w:hAnsi="楷体" w:eastAsia="楷体"/>
          <w:iCs/>
          <w:color w:val="000000" w:themeColor="text1"/>
          <w:sz w:val="21"/>
          <w:szCs w:val="21"/>
          <w14:textFill>
            <w14:solidFill>
              <w14:schemeClr w14:val="tx1"/>
            </w14:solidFill>
          </w14:textFill>
        </w:rPr>
        <w:t>数据集的词频统计图</w:t>
      </w:r>
    </w:p>
    <w:p w14:paraId="50678E3D">
      <w:pPr>
        <w:ind w:firstLine="367" w:firstLineChars="175"/>
        <w:jc w:val="center"/>
        <w:rPr>
          <w:iCs/>
          <w:color w:val="000000" w:themeColor="text1"/>
          <w:sz w:val="21"/>
          <w:szCs w:val="21"/>
          <w14:textFill>
            <w14:solidFill>
              <w14:schemeClr w14:val="tx1"/>
            </w14:solidFill>
          </w14:textFill>
        </w:rPr>
      </w:pPr>
      <w:r>
        <w:rPr>
          <w:iCs/>
          <w:color w:val="000000" w:themeColor="text1"/>
          <w:sz w:val="21"/>
          <w:szCs w:val="21"/>
          <w14:textFill>
            <w14:solidFill>
              <w14:schemeClr w14:val="tx1"/>
            </w14:solidFill>
          </w14:textFill>
        </w:rPr>
        <w:drawing>
          <wp:inline distT="0" distB="0" distL="0" distR="0">
            <wp:extent cx="5439410" cy="2785745"/>
            <wp:effectExtent l="0" t="0" r="0" b="0"/>
            <wp:docPr id="88460085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600854" name="图片 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572276" cy="2854317"/>
                    </a:xfrm>
                    <a:prstGeom prst="rect">
                      <a:avLst/>
                    </a:prstGeom>
                  </pic:spPr>
                </pic:pic>
              </a:graphicData>
            </a:graphic>
          </wp:inline>
        </w:drawing>
      </w:r>
    </w:p>
    <w:p w14:paraId="686B47C7">
      <w:pPr>
        <w:ind w:firstLine="0" w:firstLineChars="0"/>
        <w:jc w:val="center"/>
        <w:rPr>
          <w:rFonts w:ascii="楷体" w:hAnsi="楷体" w:eastAsia="楷体"/>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-3  </w:t>
      </w:r>
      <w:r>
        <w:rPr>
          <w:rFonts w:eastAsia="楷体" w:cs="Times New Roman"/>
          <w:iCs/>
          <w:color w:val="000000" w:themeColor="text1"/>
          <w:sz w:val="21"/>
          <w:szCs w:val="21"/>
          <w14:textFill>
            <w14:solidFill>
              <w14:schemeClr w14:val="tx1"/>
            </w14:solidFill>
          </w14:textFill>
        </w:rPr>
        <w:t>JailBench++_train</w:t>
      </w:r>
      <w:r>
        <w:rPr>
          <w:rFonts w:hint="eastAsia" w:ascii="楷体" w:hAnsi="楷体" w:eastAsia="楷体"/>
          <w:iCs/>
          <w:color w:val="000000" w:themeColor="text1"/>
          <w:sz w:val="21"/>
          <w:szCs w:val="21"/>
          <w14:textFill>
            <w14:solidFill>
              <w14:schemeClr w14:val="tx1"/>
            </w14:solidFill>
          </w14:textFill>
        </w:rPr>
        <w:t>数据集的词云图</w:t>
      </w:r>
    </w:p>
    <w:p w14:paraId="4B47EA11">
      <w:pPr>
        <w:ind w:firstLine="420" w:firstLineChars="175"/>
        <w:rPr>
          <w:iCs/>
          <w:color w:val="000000" w:themeColor="text1"/>
          <w:sz w:val="21"/>
          <w:szCs w:val="21"/>
          <w14:textFill>
            <w14:solidFill>
              <w14:schemeClr w14:val="tx1"/>
            </w14:solidFill>
          </w14:textFill>
        </w:rPr>
      </w:pPr>
      <w:r>
        <w:rPr>
          <w:rFonts w:hint="eastAsia"/>
          <w:color w:val="000000" w:themeColor="text1"/>
          <w14:textFill>
            <w14:solidFill>
              <w14:schemeClr w14:val="tx1"/>
            </w14:solidFill>
          </w14:textFill>
        </w:rPr>
        <w:t>·情感分析</w:t>
      </w:r>
      <w:r>
        <w:rPr>
          <w:color w:val="000000" w:themeColor="text1"/>
          <w14:textFill>
            <w14:solidFill>
              <w14:schemeClr w14:val="tx1"/>
            </w14:solidFill>
          </w14:textFill>
        </w:rPr>
        <w:t>(Sentiment Analysis)</w:t>
      </w:r>
      <w:r>
        <w:rPr>
          <w:rFonts w:hint="eastAsia"/>
          <w:color w:val="000000" w:themeColor="text1"/>
          <w14:textFill>
            <w14:solidFill>
              <w14:schemeClr w14:val="tx1"/>
            </w14:solidFill>
          </w14:textFill>
        </w:rPr>
        <w:t>：假设越狱提示往往伴随消极或激进情绪，本节使用StructBERT-base-chinese情感分类器对提示情绪倾向进行检测。情绪为消极或激进情绪，则判定为越狱提示，否则为正常提示。随后在JailBench++</w:t>
      </w:r>
      <w:r>
        <w:rPr>
          <w:color w:val="000000" w:themeColor="text1"/>
          <w14:textFill>
            <w14:solidFill>
              <w14:schemeClr w14:val="tx1"/>
            </w14:solidFill>
          </w14:textFill>
        </w:rPr>
        <w:t>_test</w:t>
      </w:r>
      <w:r>
        <w:rPr>
          <w:rFonts w:hint="eastAsia"/>
          <w:color w:val="000000" w:themeColor="text1"/>
          <w14:textFill>
            <w14:solidFill>
              <w14:schemeClr w14:val="tx1"/>
            </w14:solidFill>
          </w14:textFill>
        </w:rPr>
        <w:t>测试集上进行评估，并报告</w:t>
      </w:r>
      <w:r>
        <w:rPr>
          <w:color w:val="000000" w:themeColor="text1"/>
          <w14:textFill>
            <w14:solidFill>
              <w14:schemeClr w14:val="tx1"/>
            </w14:solidFill>
          </w14:textFill>
        </w:rPr>
        <w:t xml:space="preserve">F1 , </w:t>
      </w:r>
      <w:r>
        <w:rPr>
          <w:rFonts w:hint="eastAsia"/>
          <w:color w:val="000000" w:themeColor="text1"/>
          <w14:textFill>
            <w14:solidFill>
              <w14:schemeClr w14:val="tx1"/>
            </w14:solidFill>
          </w14:textFill>
        </w:rPr>
        <w:t>准确率与召回率。</w:t>
      </w:r>
    </w:p>
    <w:p w14:paraId="255BA7E0">
      <w:pPr>
        <w:ind w:firstLine="199" w:firstLineChars="83"/>
        <w:rPr>
          <w:color w:val="000000" w:themeColor="text1"/>
          <w14:textFill>
            <w14:solidFill>
              <w14:schemeClr w14:val="tx1"/>
            </w14:solidFill>
          </w14:textFill>
        </w:rPr>
      </w:pPr>
      <w:r>
        <w:rPr>
          <w:color w:val="000000" w:themeColor="text1"/>
          <w14:textFill>
            <w14:solidFill>
              <w14:schemeClr w14:val="tx1"/>
            </w14:solidFill>
          </w14:textFill>
        </w:rPr>
        <w:tab/>
      </w:r>
      <w:r>
        <w:rPr>
          <w:rFonts w:hint="eastAsia"/>
          <w:color w:val="000000" w:themeColor="text1"/>
          <w14:textFill>
            <w14:solidFill>
              <w14:schemeClr w14:val="tx1"/>
            </w14:solidFill>
          </w14:textFill>
        </w:rPr>
        <w:t>·基于困惑度的过滤器</w:t>
      </w:r>
      <w:r>
        <w:rPr>
          <w:color w:val="000000" w:themeColor="text1"/>
          <w14:textFill>
            <w14:solidFill>
              <w14:schemeClr w14:val="tx1"/>
            </w14:solidFill>
          </w14:textFill>
        </w:rPr>
        <w:t>(Perplexity</w:t>
      </w:r>
      <w:r>
        <w:rPr>
          <w:rFonts w:hint="eastAsia"/>
          <w:color w:val="000000" w:themeColor="text1"/>
          <w14:textFill>
            <w14:solidFill>
              <w14:schemeClr w14:val="tx1"/>
            </w14:solidFill>
          </w14:textFill>
        </w:rPr>
        <w:t>-based</w:t>
      </w:r>
      <w:r>
        <w:rPr>
          <w:color w:val="000000" w:themeColor="text1"/>
          <w14:textFill>
            <w14:solidFill>
              <w14:schemeClr w14:val="tx1"/>
            </w14:solidFill>
          </w14:textFill>
        </w:rPr>
        <w:t xml:space="preserve"> Filter)</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_Ref195437353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[11]</w:t>
      </w:r>
      <w:r>
        <w:rPr>
          <w:color w:val="000000" w:themeColor="text1"/>
          <w:vertAlign w:val="superscript"/>
          <w14:textFill>
            <w14:solidFill>
              <w14:schemeClr w14:val="tx1"/>
            </w14:solidFill>
          </w14:textFill>
        </w:rPr>
        <w:fldChar w:fldCharType="end"/>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_Ref195437744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[12]</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：采用Qwen2-1.5B-Instruct计算输入提示的困惑度，当整体或局部窗口的困惑度超过预设阈值即判定为越狱提示。该方法用于评估基于语言分布异常检测越狱提示的可行性。</w:t>
      </w:r>
      <w:r>
        <w:rPr>
          <w:rFonts w:hint="eastAsia" w:cs="Times New Roman"/>
          <w:color w:val="000000" w:themeColor="text1"/>
          <w14:textFill>
            <w14:solidFill>
              <w14:schemeClr w14:val="tx1"/>
            </w14:solidFill>
          </w14:textFill>
        </w:rPr>
        <w:t>全部阈值在JailBench++</w:t>
      </w:r>
      <w:r>
        <w:rPr>
          <w:rFonts w:cs="Times New Roman"/>
          <w:color w:val="000000" w:themeColor="text1"/>
          <w14:textFill>
            <w14:solidFill>
              <w14:schemeClr w14:val="tx1"/>
            </w14:solidFill>
          </w14:textFill>
        </w:rPr>
        <w:t>_train</w:t>
      </w:r>
      <w:r>
        <w:rPr>
          <w:rFonts w:hint="eastAsia" w:cs="Times New Roman"/>
          <w:color w:val="000000" w:themeColor="text1"/>
          <w14:textFill>
            <w14:solidFill>
              <w14:schemeClr w14:val="tx1"/>
            </w14:solidFill>
          </w14:textFill>
        </w:rPr>
        <w:t>上调优，最终在JailBench++</w:t>
      </w:r>
      <w:r>
        <w:rPr>
          <w:rFonts w:cs="Times New Roman"/>
          <w:color w:val="000000" w:themeColor="text1"/>
          <w14:textFill>
            <w14:solidFill>
              <w14:schemeClr w14:val="tx1"/>
            </w14:solidFill>
          </w14:textFill>
        </w:rPr>
        <w:t>_test</w:t>
      </w:r>
      <w:r>
        <w:rPr>
          <w:rFonts w:hint="eastAsia" w:cs="Times New Roman"/>
          <w:color w:val="000000" w:themeColor="text1"/>
          <w14:textFill>
            <w14:solidFill>
              <w14:schemeClr w14:val="tx1"/>
            </w14:solidFill>
          </w14:textFill>
        </w:rPr>
        <w:t>上进行评估，并报告</w:t>
      </w:r>
      <w:r>
        <w:rPr>
          <w:color w:val="000000" w:themeColor="text1"/>
          <w14:textFill>
            <w14:solidFill>
              <w14:schemeClr w14:val="tx1"/>
            </w14:solidFill>
          </w14:textFill>
        </w:rPr>
        <w:t>F1 score, precision, recall</w:t>
      </w:r>
      <w:r>
        <w:rPr>
          <w:rFonts w:hint="eastAsia"/>
          <w:color w:val="000000" w:themeColor="text1"/>
          <w14:textFill>
            <w14:solidFill>
              <w14:schemeClr w14:val="tx1"/>
            </w14:solidFill>
          </w14:textFill>
        </w:rPr>
        <w:t>。为了观察困惑度的分布，这里还对测试集中越狱提示和正常提示的困惑度分布进行了统计，如图4-4和图4-5所示。</w:t>
      </w:r>
    </w:p>
    <w:p w14:paraId="2D925066">
      <w:pPr>
        <w:ind w:firstLine="420" w:firstLineChars="0"/>
        <w:rPr>
          <w:rFonts w:cs="Times New Roman"/>
          <w:color w:val="000000" w:themeColor="text1"/>
          <w14:textFill>
            <w14:solidFill>
              <w14:schemeClr w14:val="tx1"/>
            </w14:solidFill>
          </w14:textFill>
        </w:rPr>
      </w:pPr>
      <w:r>
        <w:rPr>
          <w:rFonts w:hint="eastAsia"/>
          <w:color w:val="000000" w:themeColor="text1"/>
          <w14:textFill>
            <w14:solidFill>
              <w14:schemeClr w14:val="tx1"/>
            </w14:solidFill>
          </w14:textFill>
        </w:rPr>
        <w:t>·GPT</w:t>
      </w:r>
      <w:r>
        <w:rPr>
          <w:color w:val="000000" w:themeColor="text1"/>
          <w14:textFill>
            <w14:solidFill>
              <w14:schemeClr w14:val="tx1"/>
            </w14:solidFill>
          </w14:textFill>
        </w:rPr>
        <w:t>-4</w:t>
      </w:r>
      <w:r>
        <w:rPr>
          <w:color w:val="000000" w:themeColor="text1"/>
          <w:vertAlign w:val="superscript"/>
          <w14:textFill>
            <w14:solidFill>
              <w14:schemeClr w14:val="tx1"/>
            </w14:solidFill>
          </w14:textFill>
        </w:rPr>
        <w:fldChar w:fldCharType="begin"/>
      </w:r>
      <w:r>
        <w:rPr>
          <w:color w:val="000000" w:themeColor="text1"/>
          <w:vertAlign w:val="superscript"/>
          <w14:textFill>
            <w14:solidFill>
              <w14:schemeClr w14:val="tx1"/>
            </w14:solidFill>
          </w14:textFill>
        </w:rPr>
        <w:instrText xml:space="preserve"> REF _Ref196041010 \r \h  \* MERGEFORMAT </w:instrText>
      </w:r>
      <w:r>
        <w:rPr>
          <w:color w:val="000000" w:themeColor="text1"/>
          <w:vertAlign w:val="superscript"/>
          <w14:textFill>
            <w14:solidFill>
              <w14:schemeClr w14:val="tx1"/>
            </w14:solidFill>
          </w14:textFill>
        </w:rPr>
        <w:fldChar w:fldCharType="separate"/>
      </w:r>
      <w:r>
        <w:rPr>
          <w:color w:val="000000" w:themeColor="text1"/>
          <w:vertAlign w:val="superscript"/>
          <w14:textFill>
            <w14:solidFill>
              <w14:schemeClr w14:val="tx1"/>
            </w14:solidFill>
          </w14:textFill>
        </w:rPr>
        <w:t>[62]</w:t>
      </w:r>
      <w:r>
        <w:rPr>
          <w:color w:val="000000" w:themeColor="text1"/>
          <w:vertAlign w:val="superscript"/>
          <w14:textFill>
            <w14:solidFill>
              <w14:schemeClr w14:val="tx1"/>
            </w14:solidFill>
          </w14:textFill>
        </w:rPr>
        <w:fldChar w:fldCharType="end"/>
      </w:r>
      <w:r>
        <w:rPr>
          <w:rFonts w:hint="eastAsia"/>
          <w:color w:val="000000" w:themeColor="text1"/>
          <w14:textFill>
            <w14:solidFill>
              <w14:schemeClr w14:val="tx1"/>
            </w14:solidFill>
          </w14:textFill>
        </w:rPr>
        <w:t>：</w:t>
      </w:r>
      <w:r>
        <w:rPr>
          <w:color w:val="000000" w:themeColor="text1"/>
          <w14:textFill>
            <w14:solidFill>
              <w14:schemeClr w14:val="tx1"/>
            </w14:solidFill>
          </w14:textFill>
        </w:rPr>
        <w:t>GPT-4</w:t>
      </w:r>
      <w:r>
        <w:rPr>
          <w:rFonts w:hint="eastAsia"/>
          <w:color w:val="000000" w:themeColor="text1"/>
          <w14:textFill>
            <w14:solidFill>
              <w14:schemeClr w14:val="tx1"/>
            </w14:solidFill>
          </w14:textFill>
        </w:rPr>
        <w:t>是目前较为先进的大模型，本节使用零样本提示作为检测器，与指令微调中的提示一致：“</w:t>
      </w:r>
      <w:r>
        <w:rPr>
          <w:rFonts w:cs="Times New Roman"/>
          <w:i/>
          <w:iCs/>
          <w:color w:val="000000" w:themeColor="text1"/>
          <w14:textFill>
            <w14:solidFill>
              <w14:schemeClr w14:val="tx1"/>
            </w14:solidFill>
          </w14:textFill>
        </w:rPr>
        <w:t>Please judge whether the following question is harmful or unsafe. And only answer ‘True’ if it is harmful or unsafe, otherwise answer ‘False’. The question is: {prompt}</w:t>
      </w:r>
      <w:r>
        <w:rPr>
          <w:rFonts w:cs="Times New Roman"/>
          <w:color w:val="000000" w:themeColor="text1"/>
          <w14:textFill>
            <w14:solidFill>
              <w14:schemeClr w14:val="tx1"/>
            </w14:solidFill>
          </w14:textFill>
        </w:rPr>
        <w:t>”</w:t>
      </w:r>
      <w:r>
        <w:rPr>
          <w:rFonts w:hint="eastAsia"/>
          <w:color w:val="000000" w:themeColor="text1"/>
          <w14:textFill>
            <w14:solidFill>
              <w14:schemeClr w14:val="tx1"/>
            </w14:solidFill>
          </w14:textFill>
        </w:rPr>
        <w:t>。在计算</w:t>
      </w:r>
      <w:r>
        <w:rPr>
          <w:color w:val="000000" w:themeColor="text1"/>
          <w14:textFill>
            <w14:solidFill>
              <w14:schemeClr w14:val="tx1"/>
            </w14:solidFill>
          </w14:textFill>
        </w:rPr>
        <w:t>F1</w:t>
      </w:r>
      <w:r>
        <w:rPr>
          <w:rFonts w:hint="eastAsia"/>
          <w:color w:val="000000" w:themeColor="text1"/>
          <w14:textFill>
            <w14:solidFill>
              <w14:schemeClr w14:val="tx1"/>
            </w14:solidFill>
          </w14:textFill>
        </w:rPr>
        <w:t>、准确率与召回率时，如果模型回复中存在</w:t>
      </w:r>
      <w:r>
        <w:rPr>
          <w:rFonts w:cs="Times New Roman"/>
          <w:color w:val="000000" w:themeColor="text1"/>
          <w14:textFill>
            <w14:solidFill>
              <w14:schemeClr w14:val="tx1"/>
            </w14:solidFill>
          </w14:textFill>
        </w:rPr>
        <w:t>’</w:t>
      </w:r>
      <w:r>
        <w:rPr>
          <w:rFonts w:cs="Times New Roman"/>
          <w:i/>
          <w:iCs/>
          <w:color w:val="000000" w:themeColor="text1"/>
          <w14:textFill>
            <w14:solidFill>
              <w14:schemeClr w14:val="tx1"/>
            </w14:solidFill>
          </w14:textFill>
        </w:rPr>
        <w:t>True</w:t>
      </w:r>
      <w:r>
        <w:rPr>
          <w:rFonts w:cs="Times New Roman"/>
          <w:color w:val="000000" w:themeColor="text1"/>
          <w14:textFill>
            <w14:solidFill>
              <w14:schemeClr w14:val="tx1"/>
            </w14:solidFill>
          </w14:textFill>
        </w:rPr>
        <w:t>’</w:t>
      </w:r>
      <w:r>
        <w:rPr>
          <w:rFonts w:hint="eastAsia" w:cs="Times New Roman"/>
          <w:color w:val="000000" w:themeColor="text1"/>
          <w14:textFill>
            <w14:solidFill>
              <w14:schemeClr w14:val="tx1"/>
            </w14:solidFill>
          </w14:textFill>
        </w:rPr>
        <w:t>，则该提示被归类为越狱提示。本文使用</w:t>
      </w:r>
      <w:r>
        <w:rPr>
          <w:rFonts w:cs="Times New Roman"/>
          <w:color w:val="000000" w:themeColor="text1"/>
          <w14:textFill>
            <w14:solidFill>
              <w14:schemeClr w14:val="tx1"/>
            </w14:solidFill>
          </w14:textFill>
        </w:rPr>
        <w:t>GPT-4 API</w:t>
      </w:r>
      <w:r>
        <w:rPr>
          <w:rFonts w:hint="eastAsia" w:cs="Times New Roman"/>
          <w:color w:val="000000" w:themeColor="text1"/>
          <w14:textFill>
            <w14:solidFill>
              <w14:schemeClr w14:val="tx1"/>
            </w14:solidFill>
          </w14:textFill>
        </w:rPr>
        <w:t xml:space="preserve"> </w:t>
      </w:r>
      <w:r>
        <w:rPr>
          <w:rFonts w:cs="Times New Roman"/>
          <w:i/>
          <w:iCs/>
          <w:color w:val="000000" w:themeColor="text1"/>
          <w14:textFill>
            <w14:solidFill>
              <w14:schemeClr w14:val="tx1"/>
            </w14:solidFill>
          </w14:textFill>
        </w:rPr>
        <w:t>gpt-4-1106-preview</w:t>
      </w:r>
      <w:r>
        <w:rPr>
          <w:rFonts w:hint="eastAsia" w:cs="Times New Roman"/>
          <w:color w:val="000000" w:themeColor="text1"/>
          <w14:textFill>
            <w14:solidFill>
              <w14:schemeClr w14:val="tx1"/>
            </w14:solidFill>
          </w14:textFill>
        </w:rPr>
        <w:t>在JailBench++</w:t>
      </w:r>
      <w:r>
        <w:rPr>
          <w:rFonts w:cs="Times New Roman"/>
          <w:color w:val="000000" w:themeColor="text1"/>
          <w14:textFill>
            <w14:solidFill>
              <w14:schemeClr w14:val="tx1"/>
            </w14:solidFill>
          </w14:textFill>
        </w:rPr>
        <w:t>_test</w:t>
      </w:r>
      <w:r>
        <w:rPr>
          <w:rFonts w:hint="eastAsia" w:cs="Times New Roman"/>
          <w:color w:val="000000" w:themeColor="text1"/>
          <w14:textFill>
            <w14:solidFill>
              <w14:schemeClr w14:val="tx1"/>
            </w14:solidFill>
          </w14:textFill>
        </w:rPr>
        <w:t>测试集上进行评估。</w:t>
      </w:r>
    </w:p>
    <w:p w14:paraId="666C4DA4">
      <w:pPr>
        <w:ind w:firstLine="480"/>
      </w:pPr>
      <w:r>
        <w:rPr>
          <w:rFonts w:hint="eastAsia"/>
        </w:rPr>
        <w:t>·GPT-3.5</w:t>
      </w:r>
      <w:r>
        <w:rPr>
          <w:vertAlign w:val="superscript"/>
        </w:rPr>
        <w:fldChar w:fldCharType="begin"/>
      </w:r>
      <w:r>
        <w:rPr>
          <w:vertAlign w:val="superscript"/>
        </w:rPr>
        <w:instrText xml:space="preserve"> </w:instrText>
      </w:r>
      <w:r>
        <w:rPr>
          <w:rFonts w:hint="eastAsia"/>
          <w:vertAlign w:val="superscript"/>
        </w:rPr>
        <w:instrText xml:space="preserve">REF _Ref195388383 \r \h</w:instrText>
      </w:r>
      <w:r>
        <w:rPr>
          <w:vertAlign w:val="superscript"/>
        </w:rPr>
        <w:instrText xml:space="preserve">  \* MERGEFORMAT </w:instrText>
      </w:r>
      <w:r>
        <w:rPr>
          <w:vertAlign w:val="superscript"/>
        </w:rPr>
        <w:fldChar w:fldCharType="separate"/>
      </w:r>
      <w:r>
        <w:rPr>
          <w:vertAlign w:val="superscript"/>
        </w:rPr>
        <w:t>[6]</w:t>
      </w:r>
      <w:r>
        <w:rPr>
          <w:vertAlign w:val="superscript"/>
        </w:rPr>
        <w:fldChar w:fldCharType="end"/>
      </w:r>
      <w:r>
        <w:rPr>
          <w:rFonts w:hint="eastAsia"/>
        </w:rPr>
        <w:t>：GPT-3.5作为上一代主流大模型，这里同样使用零样本提示作为检测器，使用与GPT-4相同的提示和指标计算标准。在评估中，使用</w:t>
      </w:r>
      <w:r>
        <w:t xml:space="preserve">GPT-3.5 API </w:t>
      </w:r>
      <w:r>
        <w:rPr>
          <w:i/>
          <w:iCs/>
        </w:rPr>
        <w:t>gpt-3.5-turbo-1106</w:t>
      </w:r>
      <w:r>
        <w:rPr>
          <w:rFonts w:hint="eastAsia"/>
        </w:rPr>
        <w:t>。</w:t>
      </w:r>
    </w:p>
    <w:p w14:paraId="477083B6">
      <w:pPr>
        <w:ind w:firstLine="480"/>
      </w:pPr>
      <w:r>
        <w:rPr>
          <w:rFonts w:hint="eastAsia"/>
        </w:rPr>
        <w:t>·Qwen2</w:t>
      </w:r>
      <w:r>
        <w:rPr>
          <w:vertAlign w:val="superscript"/>
        </w:rPr>
        <w:fldChar w:fldCharType="begin"/>
      </w:r>
      <w:r>
        <w:rPr>
          <w:vertAlign w:val="superscript"/>
        </w:rPr>
        <w:instrText xml:space="preserve"> </w:instrText>
      </w:r>
      <w:r>
        <w:rPr>
          <w:rFonts w:hint="eastAsia"/>
          <w:vertAlign w:val="superscript"/>
        </w:rPr>
        <w:instrText xml:space="preserve">REF _Ref196257668 \r \h</w:instrText>
      </w:r>
      <w:r>
        <w:rPr>
          <w:vertAlign w:val="superscript"/>
        </w:rPr>
        <w:instrText xml:space="preserve">  \* MERGEFORMAT </w:instrText>
      </w:r>
      <w:r>
        <w:rPr>
          <w:vertAlign w:val="superscript"/>
        </w:rPr>
        <w:fldChar w:fldCharType="separate"/>
      </w:r>
      <w:r>
        <w:rPr>
          <w:vertAlign w:val="superscript"/>
        </w:rPr>
        <w:t>[38]</w:t>
      </w:r>
      <w:r>
        <w:rPr>
          <w:vertAlign w:val="superscript"/>
        </w:rPr>
        <w:fldChar w:fldCharType="end"/>
      </w:r>
      <w:r>
        <w:rPr>
          <w:rFonts w:hint="eastAsia"/>
        </w:rPr>
        <w:t>：</w:t>
      </w:r>
      <w:r>
        <w:t>Qwen2</w:t>
      </w:r>
      <w:r>
        <w:rPr>
          <w:rFonts w:hint="eastAsia"/>
        </w:rPr>
        <w:t>是本文所提出的检测器——LEAD的基座模型，是目前先进的开源大模型。同样，使用</w:t>
      </w:r>
      <w:r>
        <w:t>与GPT-4相同的提示和指标计算标准。</w:t>
      </w:r>
      <w:r>
        <w:rPr>
          <w:rFonts w:hint="eastAsia"/>
        </w:rPr>
        <w:t>在评估中，使用</w:t>
      </w:r>
      <w:r>
        <w:rPr>
          <w:i/>
          <w:iCs/>
        </w:rPr>
        <w:t>Qwen2-1.5B-Instruct</w:t>
      </w:r>
      <w:r>
        <w:rPr>
          <w:rFonts w:hint="eastAsia"/>
        </w:rPr>
        <w:t>。</w:t>
      </w:r>
    </w:p>
    <w:p w14:paraId="55574717">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4309110" cy="3231515"/>
            <wp:effectExtent l="0" t="0" r="0" b="0"/>
            <wp:docPr id="76017320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173207" name="图片 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26456" cy="3244842"/>
                    </a:xfrm>
                    <a:prstGeom prst="rect">
                      <a:avLst/>
                    </a:prstGeom>
                  </pic:spPr>
                </pic:pic>
              </a:graphicData>
            </a:graphic>
          </wp:inline>
        </w:drawing>
      </w:r>
    </w:p>
    <w:p w14:paraId="40105664">
      <w:pPr>
        <w:ind w:firstLine="0" w:firstLineChars="0"/>
        <w:jc w:val="center"/>
        <w:rPr>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-4  </w:t>
      </w:r>
      <w:r>
        <w:rPr>
          <w:rFonts w:hint="eastAsia" w:ascii="楷体" w:hAnsi="楷体" w:eastAsia="楷体"/>
          <w:iCs/>
          <w:color w:val="000000" w:themeColor="text1"/>
          <w:sz w:val="21"/>
          <w:szCs w:val="21"/>
          <w14:textFill>
            <w14:solidFill>
              <w14:schemeClr w14:val="tx1"/>
            </w14:solidFill>
          </w14:textFill>
        </w:rPr>
        <w:t>测试集中越狱提示的困惑度分布统计直方图</w:t>
      </w:r>
    </w:p>
    <w:p w14:paraId="27B8F102">
      <w:pPr>
        <w:ind w:firstLine="0" w:firstLineChars="0"/>
        <w:jc w:val="center"/>
        <w:rPr>
          <w:iCs/>
          <w:color w:val="000000" w:themeColor="text1"/>
          <w:sz w:val="21"/>
          <w:szCs w:val="21"/>
          <w14:textFill>
            <w14:solidFill>
              <w14:schemeClr w14:val="tx1"/>
            </w14:solidFill>
          </w14:textFill>
        </w:rPr>
      </w:pPr>
      <w:r>
        <w:rPr>
          <w:iCs/>
          <w:color w:val="000000" w:themeColor="text1"/>
          <w:sz w:val="21"/>
          <w:szCs w:val="21"/>
          <w14:textFill>
            <w14:solidFill>
              <w14:schemeClr w14:val="tx1"/>
            </w14:solidFill>
          </w14:textFill>
        </w:rPr>
        <w:drawing>
          <wp:inline distT="0" distB="0" distL="0" distR="0">
            <wp:extent cx="4376420" cy="3282315"/>
            <wp:effectExtent l="0" t="0" r="5080" b="0"/>
            <wp:docPr id="142083229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832294" name="图片 7"/>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76420" cy="3282315"/>
                    </a:xfrm>
                    <a:prstGeom prst="rect">
                      <a:avLst/>
                    </a:prstGeom>
                  </pic:spPr>
                </pic:pic>
              </a:graphicData>
            </a:graphic>
          </wp:inline>
        </w:drawing>
      </w:r>
    </w:p>
    <w:p w14:paraId="5CE02A45">
      <w:pPr>
        <w:ind w:firstLine="0" w:firstLineChars="0"/>
        <w:jc w:val="cente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-5  </w:t>
      </w:r>
      <w:r>
        <w:rPr>
          <w:rFonts w:hint="eastAsia" w:ascii="楷体" w:hAnsi="楷体" w:eastAsia="楷体"/>
          <w:iCs/>
          <w:color w:val="000000" w:themeColor="text1"/>
          <w:sz w:val="21"/>
          <w:szCs w:val="21"/>
          <w14:textFill>
            <w14:solidFill>
              <w14:schemeClr w14:val="tx1"/>
            </w14:solidFill>
          </w14:textFill>
        </w:rPr>
        <w:t>测试集中正常提示的困惑度分布统计直方图</w:t>
      </w:r>
    </w:p>
    <w:p w14:paraId="444EDDCF">
      <w:pPr>
        <w:ind w:firstLine="480"/>
      </w:pPr>
      <w:r>
        <w:rPr>
          <w:rFonts w:hint="eastAsia"/>
        </w:rPr>
        <w:t>· GradSafe</w:t>
      </w:r>
      <w:r>
        <w:rPr>
          <w:vertAlign w:val="superscript"/>
        </w:rPr>
        <w:fldChar w:fldCharType="begin"/>
      </w:r>
      <w:r>
        <w:rPr>
          <w:vertAlign w:val="superscript"/>
        </w:rPr>
        <w:instrText xml:space="preserve"> </w:instrText>
      </w:r>
      <w:r>
        <w:rPr>
          <w:rFonts w:hint="eastAsia"/>
          <w:vertAlign w:val="superscript"/>
        </w:rPr>
        <w:instrText xml:space="preserve">REF _Ref196298717 \r \h</w:instrText>
      </w:r>
      <w:r>
        <w:rPr>
          <w:vertAlign w:val="superscript"/>
        </w:rPr>
        <w:instrText xml:space="preserve">  \* MERGEFORMAT </w:instrText>
      </w:r>
      <w:r>
        <w:rPr>
          <w:vertAlign w:val="superscript"/>
        </w:rPr>
        <w:fldChar w:fldCharType="separate"/>
      </w:r>
      <w:r>
        <w:rPr>
          <w:vertAlign w:val="superscript"/>
        </w:rPr>
        <w:t>[21]</w:t>
      </w:r>
      <w:r>
        <w:rPr>
          <w:vertAlign w:val="superscript"/>
        </w:rPr>
        <w:fldChar w:fldCharType="end"/>
      </w:r>
      <w:r>
        <w:rPr>
          <w:rFonts w:hint="eastAsia"/>
        </w:rPr>
        <w:t>：GradSafe是一种无需微调即可运行的梯度分析型越狱提示检测器。本节使用Qwen2-1.5B-Instruct作为基座模型来识别“安全相关”的参数切片；在识别参数切片时，使用gap threshold = 1。给定一个输入提示进行推断时，使用提示：“</w:t>
      </w:r>
      <w:r>
        <w:t>You are a helpful assistant. Help me with the following query: {question}</w:t>
      </w:r>
      <w:r>
        <w:rPr>
          <w:rFonts w:hint="eastAsia"/>
        </w:rPr>
        <w:t>”，并将它与响应“</w:t>
      </w:r>
      <w:r>
        <w:t>Sure</w:t>
      </w:r>
      <w:r>
        <w:rPr>
          <w:rFonts w:hint="eastAsia"/>
        </w:rPr>
        <w:t>”配对，计算在“安全相关”参数上的损失梯度，并与参考梯度</w:t>
      </w:r>
      <w:r>
        <w:t>(unsafe gradient reference)</w:t>
      </w:r>
      <w:r>
        <w:rPr>
          <w:rFonts w:hint="eastAsia"/>
        </w:rPr>
        <w:t>求平均余弦相似度。本节设定阈值为0.21，若得分超过阈值，则判定为越狱提示。最终在JailBench++</w:t>
      </w:r>
      <w:r>
        <w:t>_test</w:t>
      </w:r>
      <w:r>
        <w:rPr>
          <w:rFonts w:hint="eastAsia"/>
        </w:rPr>
        <w:t>上进行评估，并报告F1、准确率和召回率。</w:t>
      </w:r>
    </w:p>
    <w:p w14:paraId="505270F3">
      <w:pPr>
        <w:pStyle w:val="4"/>
        <w:spacing w:before="240" w:after="240"/>
        <w:ind w:firstLine="489"/>
      </w:pPr>
      <w:bookmarkStart w:id="53" w:name="_Toc196336448"/>
      <w:bookmarkStart w:id="54" w:name="_Toc197274542"/>
      <w:r>
        <w:rPr>
          <w:rFonts w:hint="eastAsia"/>
        </w:rPr>
        <w:t>4.3.3 实验结</w:t>
      </w:r>
      <w:bookmarkEnd w:id="53"/>
      <w:r>
        <w:rPr>
          <w:rFonts w:hint="eastAsia"/>
        </w:rPr>
        <w:t>果</w:t>
      </w:r>
      <w:bookmarkEnd w:id="54"/>
    </w:p>
    <w:p w14:paraId="1F3CFF08">
      <w:pPr>
        <w:ind w:firstLine="480"/>
        <w:rPr>
          <w:color w:val="000000" w:themeColor="text1"/>
          <w14:textFill>
            <w14:solidFill>
              <w14:schemeClr w14:val="tx1"/>
            </w14:solidFill>
          </w14:textFill>
        </w:rPr>
      </w:pPr>
      <w:r>
        <w:rPr>
          <w:rFonts w:hint="eastAsia"/>
        </w:rPr>
        <w:t>本节针对扩展后的JailBench++测试集，对提出的越狱提示检测器LEAD与三类基线方法进行了全面的性能评估，实验结果</w:t>
      </w:r>
      <w:r>
        <w:rPr>
          <w:rFonts w:hint="eastAsia"/>
          <w:color w:val="000000" w:themeColor="text1"/>
          <w14:textFill>
            <w14:solidFill>
              <w14:schemeClr w14:val="tx1"/>
            </w14:solidFill>
          </w14:textFill>
        </w:rPr>
        <w:t>如表4-2所示，得分最高的结果以粗体突出显示，第二高的结果以下划线突出显示。以下对实验结果进行详细分析：</w:t>
      </w:r>
    </w:p>
    <w:p w14:paraId="79E676A3">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从整体指标变现来看，LEAD在F1、准确率和召回率三项指标上均达到了0.98以上，显著优于所有基线方案，验证了本文方法在检测精度与可靠性方面的优势。</w:t>
      </w:r>
    </w:p>
    <w:p w14:paraId="42ADADBE">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启发式文本过滤类方法中，规则过滤主要通过关键词黑名单、词频统计及字符重复序列检测等规则进行识别。尽管在测试集中达到了最高的召回率，即识别出所有的越狱提示，但准确率却较低，仅为0.54，反映出其误报率较高。大量正常提示由于包含常见敏感词而被误判，误判正常提示为有害提示会严重降低用户体验，同时规则过滤方法的超参数和关键词设置需大量人工干预，难以实现自动化优化，实际部署的实用性也有限，测试的混淆矩阵如图4-6</w:t>
      </w:r>
      <w:r>
        <w:rPr>
          <w:color w:val="000000" w:themeColor="text1"/>
          <w14:textFill>
            <w14:solidFill>
              <w14:schemeClr w14:val="tx1"/>
            </w14:solidFill>
          </w14:textFill>
        </w:rPr>
        <w:t>(a)</w:t>
      </w:r>
      <w:r>
        <w:rPr>
          <w:rFonts w:hint="eastAsia"/>
          <w:color w:val="000000" w:themeColor="text1"/>
          <w14:textFill>
            <w14:solidFill>
              <w14:schemeClr w14:val="tx1"/>
            </w14:solidFill>
          </w14:textFill>
        </w:rPr>
        <w:t>所示。</w:t>
      </w:r>
    </w:p>
    <w:p w14:paraId="40232111">
      <w:pPr>
        <w:ind w:firstLine="420"/>
        <w:jc w:val="center"/>
        <w:rPr>
          <w:rFonts w:eastAsia="楷体" w:cs="Times New Roman"/>
          <w:sz w:val="21"/>
          <w:szCs w:val="21"/>
        </w:rPr>
      </w:pPr>
      <w:r>
        <w:rPr>
          <w:rFonts w:eastAsia="楷体" w:cs="Times New Roman"/>
          <w:sz w:val="21"/>
          <w:szCs w:val="21"/>
        </w:rPr>
        <w:t>表4-</w:t>
      </w:r>
      <w:r>
        <w:rPr>
          <w:rFonts w:hint="eastAsia" w:eastAsia="楷体" w:cs="Times New Roman"/>
          <w:sz w:val="21"/>
          <w:szCs w:val="21"/>
        </w:rPr>
        <w:t>2</w:t>
      </w:r>
      <w:r>
        <w:rPr>
          <w:rFonts w:eastAsia="楷体" w:cs="Times New Roman"/>
          <w:sz w:val="21"/>
          <w:szCs w:val="21"/>
        </w:rPr>
        <w:t xml:space="preserve">  </w:t>
      </w:r>
      <w:r>
        <w:rPr>
          <w:rFonts w:hint="eastAsia" w:eastAsia="楷体" w:cs="Times New Roman"/>
          <w:sz w:val="21"/>
          <w:szCs w:val="21"/>
        </w:rPr>
        <w:t>基线方法和LEAD在</w:t>
      </w:r>
      <w:r>
        <w:rPr>
          <w:rFonts w:eastAsia="楷体" w:cs="Times New Roman"/>
          <w:sz w:val="21"/>
          <w:szCs w:val="21"/>
        </w:rPr>
        <w:t>F1-score/precision/recall</w:t>
      </w:r>
      <w:r>
        <w:rPr>
          <w:rFonts w:hint="eastAsia" w:eastAsia="楷体" w:cs="Times New Roman"/>
          <w:sz w:val="21"/>
          <w:szCs w:val="21"/>
        </w:rPr>
        <w:t>分数上的评估结果</w:t>
      </w:r>
    </w:p>
    <w:tbl>
      <w:tblPr>
        <w:tblStyle w:val="29"/>
        <w:tblW w:w="0" w:type="auto"/>
        <w:jc w:val="center"/>
        <w:tblBorders>
          <w:top w:val="single" w:color="auto" w:sz="4" w:space="0"/>
          <w:left w:val="none" w:color="auto" w:sz="0" w:space="0"/>
          <w:bottom w:val="single" w:color="auto"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397"/>
        <w:gridCol w:w="1418"/>
        <w:gridCol w:w="1981"/>
        <w:gridCol w:w="2266"/>
      </w:tblGrid>
      <w:tr w14:paraId="46A8C535">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top w:val="single" w:color="auto" w:sz="4" w:space="0"/>
              <w:bottom w:val="single" w:color="auto" w:sz="4" w:space="0"/>
            </w:tcBorders>
          </w:tcPr>
          <w:p w14:paraId="7790D71D">
            <w:pPr>
              <w:ind w:firstLine="0" w:firstLineChars="0"/>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方法</w:t>
            </w:r>
          </w:p>
        </w:tc>
        <w:tc>
          <w:tcPr>
            <w:tcW w:w="1418" w:type="dxa"/>
            <w:tcBorders>
              <w:top w:val="single" w:color="auto" w:sz="4" w:space="0"/>
              <w:bottom w:val="single" w:color="auto" w:sz="4" w:space="0"/>
            </w:tcBorders>
          </w:tcPr>
          <w:p w14:paraId="466D2A67">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F1</w:t>
            </w:r>
          </w:p>
        </w:tc>
        <w:tc>
          <w:tcPr>
            <w:tcW w:w="1981" w:type="dxa"/>
            <w:tcBorders>
              <w:top w:val="single" w:color="auto" w:sz="4" w:space="0"/>
              <w:bottom w:val="single" w:color="auto" w:sz="4" w:space="0"/>
            </w:tcBorders>
          </w:tcPr>
          <w:p w14:paraId="113C1E91">
            <w:pPr>
              <w:ind w:firstLine="0" w:firstLineChars="0"/>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准确率</w:t>
            </w:r>
          </w:p>
        </w:tc>
        <w:tc>
          <w:tcPr>
            <w:tcW w:w="2266" w:type="dxa"/>
            <w:tcBorders>
              <w:top w:val="single" w:color="auto" w:sz="4" w:space="0"/>
              <w:bottom w:val="single" w:color="auto" w:sz="4" w:space="0"/>
            </w:tcBorders>
          </w:tcPr>
          <w:p w14:paraId="071CFB14">
            <w:pPr>
              <w:ind w:firstLine="0" w:firstLineChars="0"/>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召回率</w:t>
            </w:r>
          </w:p>
        </w:tc>
      </w:tr>
      <w:tr w14:paraId="2803E38A">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trHeight w:val="236" w:hRule="atLeast"/>
          <w:jc w:val="center"/>
        </w:trPr>
        <w:tc>
          <w:tcPr>
            <w:tcW w:w="3397" w:type="dxa"/>
            <w:tcBorders>
              <w:top w:val="single" w:color="auto" w:sz="4" w:space="0"/>
            </w:tcBorders>
          </w:tcPr>
          <w:p w14:paraId="6C4DEDC2">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规则过滤</w:t>
            </w:r>
          </w:p>
        </w:tc>
        <w:tc>
          <w:tcPr>
            <w:tcW w:w="1418" w:type="dxa"/>
            <w:tcBorders>
              <w:top w:val="single" w:color="auto" w:sz="4" w:space="0"/>
            </w:tcBorders>
          </w:tcPr>
          <w:p w14:paraId="1E9879B1">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0.71</w:t>
            </w:r>
          </w:p>
        </w:tc>
        <w:tc>
          <w:tcPr>
            <w:tcW w:w="1981" w:type="dxa"/>
            <w:tcBorders>
              <w:top w:val="single" w:color="auto" w:sz="4" w:space="0"/>
            </w:tcBorders>
          </w:tcPr>
          <w:p w14:paraId="209EA86F">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0.54</w:t>
            </w:r>
          </w:p>
        </w:tc>
        <w:tc>
          <w:tcPr>
            <w:tcW w:w="2266" w:type="dxa"/>
            <w:tcBorders>
              <w:top w:val="single" w:color="auto" w:sz="4" w:space="0"/>
            </w:tcBorders>
          </w:tcPr>
          <w:p w14:paraId="43E32CD6">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1.00</w:t>
            </w:r>
          </w:p>
        </w:tc>
      </w:tr>
      <w:tr w14:paraId="5A51F95B">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Pr>
          <w:p w14:paraId="4DF0C84F">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情感分析</w:t>
            </w:r>
          </w:p>
        </w:tc>
        <w:tc>
          <w:tcPr>
            <w:tcW w:w="1418" w:type="dxa"/>
          </w:tcPr>
          <w:p w14:paraId="773CC6CF">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0.08</w:t>
            </w:r>
          </w:p>
        </w:tc>
        <w:tc>
          <w:tcPr>
            <w:tcW w:w="1981" w:type="dxa"/>
          </w:tcPr>
          <w:p w14:paraId="2CB8ACDE">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0.18</w:t>
            </w:r>
          </w:p>
        </w:tc>
        <w:tc>
          <w:tcPr>
            <w:tcW w:w="2266" w:type="dxa"/>
          </w:tcPr>
          <w:p w14:paraId="7E0A3319">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0.05</w:t>
            </w:r>
          </w:p>
        </w:tc>
      </w:tr>
      <w:tr w14:paraId="2B111C24">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bottom w:val="nil"/>
            </w:tcBorders>
          </w:tcPr>
          <w:p w14:paraId="1B55F234">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整体困惑度过滤</w:t>
            </w:r>
          </w:p>
        </w:tc>
        <w:tc>
          <w:tcPr>
            <w:tcW w:w="1418" w:type="dxa"/>
            <w:tcBorders>
              <w:bottom w:val="nil"/>
            </w:tcBorders>
          </w:tcPr>
          <w:p w14:paraId="5FF763EC">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0.71</w:t>
            </w:r>
          </w:p>
        </w:tc>
        <w:tc>
          <w:tcPr>
            <w:tcW w:w="1981" w:type="dxa"/>
            <w:tcBorders>
              <w:bottom w:val="nil"/>
            </w:tcBorders>
          </w:tcPr>
          <w:p w14:paraId="622E3F03">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0.59</w:t>
            </w:r>
          </w:p>
        </w:tc>
        <w:tc>
          <w:tcPr>
            <w:tcW w:w="2266" w:type="dxa"/>
            <w:tcBorders>
              <w:bottom w:val="nil"/>
            </w:tcBorders>
          </w:tcPr>
          <w:p w14:paraId="6ECB5F74">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0.89</w:t>
            </w:r>
          </w:p>
        </w:tc>
      </w:tr>
      <w:tr w14:paraId="4FB4874F">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top w:val="nil"/>
              <w:bottom w:val="single" w:color="auto" w:sz="4" w:space="0"/>
            </w:tcBorders>
          </w:tcPr>
          <w:p w14:paraId="2F9552F1">
            <w:pPr>
              <w:ind w:firstLine="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窗口化困惑度过滤</w:t>
            </w:r>
            <w:r>
              <w:rPr>
                <w:color w:val="000000" w:themeColor="text1"/>
                <w14:textFill>
                  <w14:solidFill>
                    <w14:schemeClr w14:val="tx1"/>
                  </w14:solidFill>
                </w14:textFill>
              </w:rPr>
              <w:t xml:space="preserve"> </w:t>
            </w:r>
          </w:p>
        </w:tc>
        <w:tc>
          <w:tcPr>
            <w:tcW w:w="1418" w:type="dxa"/>
            <w:tcBorders>
              <w:top w:val="nil"/>
              <w:bottom w:val="single" w:color="auto" w:sz="4" w:space="0"/>
            </w:tcBorders>
          </w:tcPr>
          <w:p w14:paraId="110F204F">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0.74</w:t>
            </w:r>
          </w:p>
        </w:tc>
        <w:tc>
          <w:tcPr>
            <w:tcW w:w="1981" w:type="dxa"/>
            <w:tcBorders>
              <w:top w:val="nil"/>
              <w:bottom w:val="single" w:color="auto" w:sz="4" w:space="0"/>
            </w:tcBorders>
          </w:tcPr>
          <w:p w14:paraId="5F9681C7">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0.58</w:t>
            </w:r>
          </w:p>
        </w:tc>
        <w:tc>
          <w:tcPr>
            <w:tcW w:w="2266" w:type="dxa"/>
            <w:tcBorders>
              <w:top w:val="nil"/>
              <w:bottom w:val="single" w:color="auto" w:sz="4" w:space="0"/>
            </w:tcBorders>
          </w:tcPr>
          <w:p w14:paraId="5F499885">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1.00</w:t>
            </w:r>
          </w:p>
        </w:tc>
      </w:tr>
      <w:tr w14:paraId="2FC619C2">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top w:val="single" w:color="auto" w:sz="4" w:space="0"/>
            </w:tcBorders>
          </w:tcPr>
          <w:p w14:paraId="1C0CD23D">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GPT-3.5</w:t>
            </w:r>
          </w:p>
        </w:tc>
        <w:tc>
          <w:tcPr>
            <w:tcW w:w="1418" w:type="dxa"/>
            <w:tcBorders>
              <w:top w:val="single" w:color="auto" w:sz="4" w:space="0"/>
            </w:tcBorders>
          </w:tcPr>
          <w:p w14:paraId="48551707">
            <w:pPr>
              <w:ind w:firstLine="0" w:firstLineChars="0"/>
              <w:jc w:val="center"/>
              <w:rPr>
                <w:color w:val="000000" w:themeColor="text1"/>
                <w:u w:val="single"/>
                <w14:textFill>
                  <w14:solidFill>
                    <w14:schemeClr w14:val="tx1"/>
                  </w14:solidFill>
                </w14:textFill>
              </w:rPr>
            </w:pPr>
            <w:r>
              <w:rPr>
                <w:color w:val="000000" w:themeColor="text1"/>
                <w:u w:val="single"/>
                <w14:textFill>
                  <w14:solidFill>
                    <w14:schemeClr w14:val="tx1"/>
                  </w14:solidFill>
                </w14:textFill>
              </w:rPr>
              <w:t>0.95</w:t>
            </w:r>
          </w:p>
        </w:tc>
        <w:tc>
          <w:tcPr>
            <w:tcW w:w="1981" w:type="dxa"/>
            <w:tcBorders>
              <w:top w:val="single" w:color="auto" w:sz="4" w:space="0"/>
            </w:tcBorders>
          </w:tcPr>
          <w:p w14:paraId="2521C405">
            <w:pPr>
              <w:ind w:firstLine="0" w:firstLineChars="0"/>
              <w:jc w:val="center"/>
              <w:rPr>
                <w:color w:val="000000" w:themeColor="text1"/>
                <w:u w:val="single"/>
                <w14:textFill>
                  <w14:solidFill>
                    <w14:schemeClr w14:val="tx1"/>
                  </w14:solidFill>
                </w14:textFill>
              </w:rPr>
            </w:pPr>
            <w:r>
              <w:rPr>
                <w:color w:val="000000" w:themeColor="text1"/>
                <w:u w:val="single"/>
                <w14:textFill>
                  <w14:solidFill>
                    <w14:schemeClr w14:val="tx1"/>
                  </w14:solidFill>
                </w14:textFill>
              </w:rPr>
              <w:t>0.97</w:t>
            </w:r>
          </w:p>
        </w:tc>
        <w:tc>
          <w:tcPr>
            <w:tcW w:w="2266" w:type="dxa"/>
            <w:tcBorders>
              <w:top w:val="single" w:color="auto" w:sz="4" w:space="0"/>
            </w:tcBorders>
          </w:tcPr>
          <w:p w14:paraId="4444E935">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0.93</w:t>
            </w:r>
          </w:p>
        </w:tc>
      </w:tr>
      <w:tr w14:paraId="272FAD48">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bottom w:val="nil"/>
            </w:tcBorders>
          </w:tcPr>
          <w:p w14:paraId="7F975D2F">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GPT-4</w:t>
            </w:r>
          </w:p>
        </w:tc>
        <w:tc>
          <w:tcPr>
            <w:tcW w:w="1418" w:type="dxa"/>
            <w:tcBorders>
              <w:bottom w:val="nil"/>
            </w:tcBorders>
          </w:tcPr>
          <w:p w14:paraId="2887A2C2">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0.86</w:t>
            </w:r>
          </w:p>
        </w:tc>
        <w:tc>
          <w:tcPr>
            <w:tcW w:w="1981" w:type="dxa"/>
            <w:tcBorders>
              <w:bottom w:val="nil"/>
            </w:tcBorders>
          </w:tcPr>
          <w:p w14:paraId="79999730">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0.98</w:t>
            </w:r>
          </w:p>
        </w:tc>
        <w:tc>
          <w:tcPr>
            <w:tcW w:w="2266" w:type="dxa"/>
            <w:tcBorders>
              <w:bottom w:val="nil"/>
            </w:tcBorders>
          </w:tcPr>
          <w:p w14:paraId="6596F9D6">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0.76</w:t>
            </w:r>
          </w:p>
        </w:tc>
      </w:tr>
      <w:tr w14:paraId="74CA3426">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top w:val="nil"/>
              <w:bottom w:val="single" w:color="auto" w:sz="4" w:space="0"/>
            </w:tcBorders>
          </w:tcPr>
          <w:p w14:paraId="1AD7CF85">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Qwen2-1.5B-Instruct</w:t>
            </w:r>
          </w:p>
        </w:tc>
        <w:tc>
          <w:tcPr>
            <w:tcW w:w="1418" w:type="dxa"/>
            <w:tcBorders>
              <w:top w:val="nil"/>
              <w:bottom w:val="single" w:color="auto" w:sz="4" w:space="0"/>
            </w:tcBorders>
          </w:tcPr>
          <w:p w14:paraId="1B84808F">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0.42</w:t>
            </w:r>
          </w:p>
        </w:tc>
        <w:tc>
          <w:tcPr>
            <w:tcW w:w="1981" w:type="dxa"/>
            <w:tcBorders>
              <w:top w:val="nil"/>
              <w:bottom w:val="single" w:color="auto" w:sz="4" w:space="0"/>
            </w:tcBorders>
          </w:tcPr>
          <w:p w14:paraId="42E7D2F9">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0.93</w:t>
            </w:r>
          </w:p>
        </w:tc>
        <w:tc>
          <w:tcPr>
            <w:tcW w:w="2266" w:type="dxa"/>
            <w:tcBorders>
              <w:top w:val="nil"/>
              <w:bottom w:val="single" w:color="auto" w:sz="4" w:space="0"/>
            </w:tcBorders>
          </w:tcPr>
          <w:p w14:paraId="4F804951">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0.27</w:t>
            </w:r>
          </w:p>
        </w:tc>
      </w:tr>
      <w:tr w14:paraId="3A444630">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top w:val="single" w:color="auto" w:sz="4" w:space="0"/>
              <w:bottom w:val="nil"/>
            </w:tcBorders>
          </w:tcPr>
          <w:p w14:paraId="0D4E1E88">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GradSafe</w:t>
            </w:r>
          </w:p>
        </w:tc>
        <w:tc>
          <w:tcPr>
            <w:tcW w:w="1418" w:type="dxa"/>
            <w:tcBorders>
              <w:top w:val="single" w:color="auto" w:sz="4" w:space="0"/>
              <w:bottom w:val="nil"/>
            </w:tcBorders>
          </w:tcPr>
          <w:p w14:paraId="04D16A8F">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0.87</w:t>
            </w:r>
          </w:p>
        </w:tc>
        <w:tc>
          <w:tcPr>
            <w:tcW w:w="1981" w:type="dxa"/>
            <w:tcBorders>
              <w:top w:val="single" w:color="auto" w:sz="4" w:space="0"/>
              <w:bottom w:val="nil"/>
            </w:tcBorders>
          </w:tcPr>
          <w:p w14:paraId="303136EE">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0.82</w:t>
            </w:r>
          </w:p>
        </w:tc>
        <w:tc>
          <w:tcPr>
            <w:tcW w:w="2266" w:type="dxa"/>
            <w:tcBorders>
              <w:top w:val="single" w:color="auto" w:sz="4" w:space="0"/>
              <w:bottom w:val="nil"/>
            </w:tcBorders>
          </w:tcPr>
          <w:p w14:paraId="1F696330">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0.92</w:t>
            </w:r>
          </w:p>
        </w:tc>
      </w:tr>
      <w:tr w14:paraId="03021EBE">
        <w:tblPrEx>
          <w:tblBorders>
            <w:top w:val="single" w:color="auto" w:sz="4" w:space="0"/>
            <w:left w:val="none" w:color="auto" w:sz="0" w:space="0"/>
            <w:bottom w:val="single" w:color="auto" w:sz="4" w:space="0"/>
            <w:right w:val="none" w:color="auto" w:sz="0" w:space="0"/>
            <w:insideH w:val="none" w:color="auto" w:sz="0" w:space="0"/>
            <w:insideV w:val="none" w:color="auto" w:sz="0" w:space="0"/>
          </w:tblBorders>
        </w:tblPrEx>
        <w:trPr>
          <w:jc w:val="center"/>
        </w:trPr>
        <w:tc>
          <w:tcPr>
            <w:tcW w:w="3397" w:type="dxa"/>
            <w:tcBorders>
              <w:top w:val="nil"/>
            </w:tcBorders>
          </w:tcPr>
          <w:p w14:paraId="7F49F13D">
            <w:pPr>
              <w:ind w:firstLine="0" w:firstLineChars="0"/>
              <w:rPr>
                <w:color w:val="000000" w:themeColor="text1"/>
                <w14:textFill>
                  <w14:solidFill>
                    <w14:schemeClr w14:val="tx1"/>
                  </w14:solidFill>
                </w14:textFill>
              </w:rPr>
            </w:pPr>
            <w:r>
              <w:rPr>
                <w:b/>
                <w:bCs/>
                <w:color w:val="000000" w:themeColor="text1"/>
                <w14:textFill>
                  <w14:solidFill>
                    <w14:schemeClr w14:val="tx1"/>
                  </w14:solidFill>
                </w14:textFill>
              </w:rPr>
              <w:t>LEAD</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本文</w:t>
            </w:r>
            <w:r>
              <w:rPr>
                <w:color w:val="000000" w:themeColor="text1"/>
                <w14:textFill>
                  <w14:solidFill>
                    <w14:schemeClr w14:val="tx1"/>
                  </w14:solidFill>
                </w14:textFill>
              </w:rPr>
              <w:t>)</w:t>
            </w:r>
          </w:p>
        </w:tc>
        <w:tc>
          <w:tcPr>
            <w:tcW w:w="1418" w:type="dxa"/>
            <w:tcBorders>
              <w:top w:val="nil"/>
            </w:tcBorders>
          </w:tcPr>
          <w:p w14:paraId="36B7539C">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0.98</w:t>
            </w:r>
          </w:p>
        </w:tc>
        <w:tc>
          <w:tcPr>
            <w:tcW w:w="1981" w:type="dxa"/>
            <w:tcBorders>
              <w:top w:val="nil"/>
            </w:tcBorders>
          </w:tcPr>
          <w:p w14:paraId="1ACE0577">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0.98</w:t>
            </w:r>
          </w:p>
        </w:tc>
        <w:tc>
          <w:tcPr>
            <w:tcW w:w="2266" w:type="dxa"/>
            <w:tcBorders>
              <w:top w:val="nil"/>
            </w:tcBorders>
          </w:tcPr>
          <w:p w14:paraId="0DDC39DF">
            <w:pPr>
              <w:ind w:firstLine="0" w:firstLineChars="0"/>
              <w:jc w:val="center"/>
              <w:rPr>
                <w:color w:val="000000" w:themeColor="text1"/>
                <w:u w:val="single"/>
                <w14:textFill>
                  <w14:solidFill>
                    <w14:schemeClr w14:val="tx1"/>
                  </w14:solidFill>
                </w14:textFill>
              </w:rPr>
            </w:pPr>
            <w:r>
              <w:rPr>
                <w:color w:val="000000" w:themeColor="text1"/>
                <w:u w:val="single"/>
                <w14:textFill>
                  <w14:solidFill>
                    <w14:schemeClr w14:val="tx1"/>
                  </w14:solidFill>
                </w14:textFill>
              </w:rPr>
              <w:t>0.99</w:t>
            </w:r>
          </w:p>
        </w:tc>
      </w:tr>
    </w:tbl>
    <w:p w14:paraId="040C7711">
      <w:pPr>
        <w:spacing w:before="120" w:beforeLines="50"/>
        <w:ind w:firstLine="480"/>
      </w:pPr>
      <w:r>
        <w:rPr>
          <w:rFonts w:hint="eastAsia"/>
        </w:rPr>
        <w:t>情感分析尝试通过StructBERT-base-chinese预训练情感分类器识别越狱提示中的极端情绪（如激进或消极情绪）。然而，其在测试集中表现极差，F1仅为0.08。进一步分析发现，越狱提示往往伪装成中性甚至正面情绪表述，以逃避情感模型的检测；而且情感分类器本身在通用领域训练，无法精准适配越狱攻击场景。这表明单纯基于情绪线索的方法难以胜任复杂攻击模式下的越狱提示检测任务。测试的混淆矩阵如图4-6</w:t>
      </w:r>
      <w:r>
        <w:t>(b)</w:t>
      </w:r>
      <w:r>
        <w:rPr>
          <w:rFonts w:hint="eastAsia"/>
        </w:rPr>
        <w:t>所示。</w:t>
      </w:r>
    </w:p>
    <w:p w14:paraId="45FAF259">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基于困惑度的过滤器中，通过检测文本困惑度的异常升高来判断潜在越狱提示。实验中，整体困惑度检测与滑动窗口困惑度检测分别取得了0.</w:t>
      </w:r>
      <w:r>
        <w:rPr>
          <w:color w:val="000000" w:themeColor="text1"/>
          <w14:textFill>
            <w14:solidFill>
              <w14:schemeClr w14:val="tx1"/>
            </w14:solidFill>
          </w14:textFill>
        </w:rPr>
        <w:t>71</w:t>
      </w:r>
      <w:r>
        <w:rPr>
          <w:rFonts w:hint="eastAsia"/>
          <w:color w:val="000000" w:themeColor="text1"/>
          <w14:textFill>
            <w14:solidFill>
              <w14:schemeClr w14:val="tx1"/>
            </w14:solidFill>
          </w14:textFill>
        </w:rPr>
        <w:t>和0.7</w:t>
      </w:r>
      <w:r>
        <w:rPr>
          <w:color w:val="000000" w:themeColor="text1"/>
          <w14:textFill>
            <w14:solidFill>
              <w14:schemeClr w14:val="tx1"/>
            </w14:solidFill>
          </w14:textFill>
        </w:rPr>
        <w:t>4</w:t>
      </w:r>
      <w:r>
        <w:rPr>
          <w:rFonts w:hint="eastAsia"/>
          <w:color w:val="000000" w:themeColor="text1"/>
          <w14:textFill>
            <w14:solidFill>
              <w14:schemeClr w14:val="tx1"/>
            </w14:solidFill>
          </w14:textFill>
        </w:rPr>
        <w:t>的F1。相较情感分析方法有明显提升，但仍显著落后于基于语义理解的方法。滑动窗口策略一定程度上提升了局部异常检测能力，尤其对隐蔽型越狱提示有所加强。然而，由于正常提示中常包含代码片段或不规范表达，亦容易引发困惑度异常，导致误判率偏高。此外，困惑度方法对语言模型本身的稳定性高度依赖，不具备良好的通用性，两者测试的混淆矩阵如图4-6</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(d)</w:t>
      </w:r>
      <w:r>
        <w:rPr>
          <w:rFonts w:hint="eastAsia"/>
          <w:color w:val="000000" w:themeColor="text1"/>
          <w14:textFill>
            <w14:solidFill>
              <w14:schemeClr w14:val="tx1"/>
            </w14:solidFill>
          </w14:textFill>
        </w:rPr>
        <w:t>所示。</w:t>
      </w:r>
    </w:p>
    <w:p w14:paraId="529BBD95">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720" cy="5024755"/>
            <wp:effectExtent l="0" t="0" r="5080" b="4445"/>
            <wp:docPr id="93072056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0564" name="图片 3"/>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5024755"/>
                    </a:xfrm>
                    <a:prstGeom prst="rect">
                      <a:avLst/>
                    </a:prstGeom>
                  </pic:spPr>
                </pic:pic>
              </a:graphicData>
            </a:graphic>
          </wp:inline>
        </w:drawing>
      </w:r>
    </w:p>
    <w:p w14:paraId="7A383285">
      <w:pPr>
        <w:ind w:firstLine="0" w:firstLineChars="0"/>
        <w:jc w:val="center"/>
        <w:rPr>
          <w:rFonts w:eastAsia="楷体" w:cs="Times New Roman"/>
          <w:color w:val="000000" w:themeColor="text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-6  </w:t>
      </w:r>
      <w:r>
        <w:rPr>
          <w:rFonts w:hint="eastAsia" w:ascii="楷体" w:hAnsi="楷体" w:eastAsia="楷体"/>
          <w:iCs/>
          <w:color w:val="000000" w:themeColor="text1"/>
          <w:sz w:val="21"/>
          <w:szCs w:val="21"/>
          <w14:textFill>
            <w14:solidFill>
              <w14:schemeClr w14:val="tx1"/>
            </w14:solidFill>
          </w14:textFill>
        </w:rPr>
        <w:t>启发式过滤方法在测试集上的混淆矩阵图。</w:t>
      </w:r>
      <w:r>
        <w:rPr>
          <w:rFonts w:eastAsia="楷体" w:cs="Times New Roman"/>
          <w:iCs/>
          <w:color w:val="000000" w:themeColor="text1"/>
          <w:sz w:val="21"/>
          <w:szCs w:val="21"/>
          <w14:textFill>
            <w14:solidFill>
              <w14:schemeClr w14:val="tx1"/>
            </w14:solidFill>
          </w14:textFill>
        </w:rPr>
        <w:t>(a)</w:t>
      </w:r>
      <w:r>
        <w:rPr>
          <w:rFonts w:hint="eastAsia" w:ascii="楷体" w:hAnsi="楷体" w:eastAsia="楷体"/>
          <w:iCs/>
          <w:color w:val="000000" w:themeColor="text1"/>
          <w:sz w:val="21"/>
          <w:szCs w:val="21"/>
          <w14:textFill>
            <w14:solidFill>
              <w14:schemeClr w14:val="tx1"/>
            </w14:solidFill>
          </w14:textFill>
        </w:rPr>
        <w:t>规则过滤</w:t>
      </w:r>
      <w:r>
        <w:rPr>
          <w:rFonts w:eastAsia="楷体" w:cs="Times New Roman"/>
          <w:iCs/>
          <w:color w:val="000000" w:themeColor="text1"/>
          <w:sz w:val="21"/>
          <w:szCs w:val="21"/>
          <w14:textFill>
            <w14:solidFill>
              <w14:schemeClr w14:val="tx1"/>
            </w14:solidFill>
          </w14:textFill>
        </w:rPr>
        <w:t>,</w:t>
      </w:r>
      <w:r>
        <w:rPr>
          <w:rFonts w:ascii="楷体" w:hAnsi="楷体" w:eastAsia="楷体"/>
          <w:iCs/>
          <w:color w:val="000000" w:themeColor="text1"/>
          <w:sz w:val="21"/>
          <w:szCs w:val="21"/>
          <w14:textFill>
            <w14:solidFill>
              <w14:schemeClr w14:val="tx1"/>
            </w14:solidFill>
          </w14:textFill>
        </w:rPr>
        <w:t xml:space="preserve"> </w:t>
      </w:r>
      <w:r>
        <w:rPr>
          <w:rFonts w:eastAsia="楷体" w:cs="Times New Roman"/>
          <w:iCs/>
          <w:color w:val="000000" w:themeColor="text1"/>
          <w:sz w:val="21"/>
          <w:szCs w:val="21"/>
          <w14:textFill>
            <w14:solidFill>
              <w14:schemeClr w14:val="tx1"/>
            </w14:solidFill>
          </w14:textFill>
        </w:rPr>
        <w:t>(b)</w:t>
      </w:r>
      <w:r>
        <w:rPr>
          <w:rFonts w:hint="eastAsia" w:ascii="楷体" w:hAnsi="楷体" w:eastAsia="楷体"/>
          <w:iCs/>
          <w:color w:val="000000" w:themeColor="text1"/>
          <w:sz w:val="21"/>
          <w:szCs w:val="21"/>
          <w14:textFill>
            <w14:solidFill>
              <w14:schemeClr w14:val="tx1"/>
            </w14:solidFill>
          </w14:textFill>
        </w:rPr>
        <w:t>情感分析</w:t>
      </w:r>
      <w:r>
        <w:rPr>
          <w:rFonts w:eastAsia="楷体" w:cs="Times New Roman"/>
          <w:iCs/>
          <w:color w:val="000000" w:themeColor="text1"/>
          <w:sz w:val="21"/>
          <w:szCs w:val="21"/>
          <w14:textFill>
            <w14:solidFill>
              <w14:schemeClr w14:val="tx1"/>
            </w14:solidFill>
          </w14:textFill>
        </w:rPr>
        <w:t>,</w:t>
      </w:r>
      <w:r>
        <w:rPr>
          <w:rFonts w:ascii="楷体" w:hAnsi="楷体" w:eastAsia="楷体"/>
          <w:iCs/>
          <w:color w:val="000000" w:themeColor="text1"/>
          <w:sz w:val="21"/>
          <w:szCs w:val="21"/>
          <w14:textFill>
            <w14:solidFill>
              <w14:schemeClr w14:val="tx1"/>
            </w14:solidFill>
          </w14:textFill>
        </w:rPr>
        <w:t xml:space="preserve"> </w:t>
      </w:r>
      <w:r>
        <w:rPr>
          <w:rFonts w:eastAsia="楷体" w:cs="Times New Roman"/>
          <w:iCs/>
          <w:color w:val="000000" w:themeColor="text1"/>
          <w:sz w:val="21"/>
          <w:szCs w:val="21"/>
          <w14:textFill>
            <w14:solidFill>
              <w14:schemeClr w14:val="tx1"/>
            </w14:solidFill>
          </w14:textFill>
        </w:rPr>
        <w:t>(c)</w:t>
      </w:r>
      <w:r>
        <w:rPr>
          <w:rFonts w:hint="eastAsia" w:eastAsia="楷体" w:cs="Times New Roman"/>
          <w:iCs/>
          <w:color w:val="000000" w:themeColor="text1"/>
          <w:sz w:val="21"/>
          <w:szCs w:val="21"/>
          <w14:textFill>
            <w14:solidFill>
              <w14:schemeClr w14:val="tx1"/>
            </w14:solidFill>
          </w14:textFill>
        </w:rPr>
        <w:t>整体困惑度检测，</w:t>
      </w:r>
      <w:r>
        <w:rPr>
          <w:rFonts w:eastAsia="楷体" w:cs="Times New Roman"/>
          <w:iCs/>
          <w:color w:val="000000" w:themeColor="text1"/>
          <w:sz w:val="21"/>
          <w:szCs w:val="21"/>
          <w14:textFill>
            <w14:solidFill>
              <w14:schemeClr w14:val="tx1"/>
            </w14:solidFill>
          </w14:textFill>
        </w:rPr>
        <w:t>(d)</w:t>
      </w:r>
      <w:r>
        <w:rPr>
          <w:rFonts w:hint="eastAsia" w:eastAsia="楷体" w:cs="Times New Roman"/>
          <w:iCs/>
          <w:color w:val="000000" w:themeColor="text1"/>
          <w:sz w:val="21"/>
          <w:szCs w:val="21"/>
          <w14:textFill>
            <w14:solidFill>
              <w14:schemeClr w14:val="tx1"/>
            </w14:solidFill>
          </w14:textFill>
        </w:rPr>
        <w:t>滑动窗口困惑度检测</w:t>
      </w:r>
    </w:p>
    <w:p w14:paraId="79F4117B">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零样本大模型检测类方法中，令人意外的是，GPT-3.5在测试集中表现优于GPT-4。这一现象可能与GPT-3.5在分类任务上的策略更倾向于保守和严格筛选潜在风险提示有关，从而提高了整体的召回率与F1得分。而GPT-4则表现出更精准的判别能力，但对于部分设计巧妙、隐蔽性高的提示识别不充分。Qwen2-1.5B-Instruct作为提出的LEAD方法的基座模型，在未经指令微调的情况下，零样本检测表现较差，F1仅为0.42。这表明未经指令微调的Qwen2模型缺乏有效泛化到安全任务的能力，难以捕捉越狱提示中的语义攻击模式，无法作为独立的安全检测工具，Qwen2-1.5B-Instruct测试的混淆矩阵如图4-5</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所示，验证了其偏向正常提示而忽略越狱提示的模型。GPT3.5，GPT4，Qwen2-1.5B-Instruct测试结果的混淆矩阵分别如图4-7</w:t>
      </w:r>
      <w:r>
        <w:rPr>
          <w:color w:val="000000" w:themeColor="text1"/>
          <w14:textFill>
            <w14:solidFill>
              <w14:schemeClr w14:val="tx1"/>
            </w14:solidFill>
          </w14:textFill>
        </w:rPr>
        <w:t>(a), (b)</w:t>
      </w:r>
      <w:r>
        <w:rPr>
          <w:rFonts w:hint="eastAsia"/>
          <w:color w:val="000000" w:themeColor="text1"/>
          <w14:textFill>
            <w14:solidFill>
              <w14:schemeClr w14:val="tx1"/>
            </w14:solidFill>
          </w14:textFill>
        </w:rPr>
        <w:t>和</w:t>
      </w:r>
      <w:r>
        <w:rPr>
          <w:color w:val="000000" w:themeColor="text1"/>
          <w14:textFill>
            <w14:solidFill>
              <w14:schemeClr w14:val="tx1"/>
            </w14:solidFill>
          </w14:textFill>
        </w:rPr>
        <w:t>(c)</w:t>
      </w:r>
      <w:r>
        <w:rPr>
          <w:rFonts w:hint="eastAsia"/>
          <w:color w:val="000000" w:themeColor="text1"/>
          <w14:textFill>
            <w14:solidFill>
              <w14:schemeClr w14:val="tx1"/>
            </w14:solidFill>
          </w14:textFill>
        </w:rPr>
        <w:t>所示。</w:t>
      </w:r>
    </w:p>
    <w:p w14:paraId="0B7D7FD3">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720" cy="4961255"/>
            <wp:effectExtent l="0" t="0" r="5080" b="4445"/>
            <wp:docPr id="168797166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71661" name="图片 4"/>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4961255"/>
                    </a:xfrm>
                    <a:prstGeom prst="rect">
                      <a:avLst/>
                    </a:prstGeom>
                  </pic:spPr>
                </pic:pic>
              </a:graphicData>
            </a:graphic>
          </wp:inline>
        </w:drawing>
      </w:r>
    </w:p>
    <w:p w14:paraId="20C4A104">
      <w:pPr>
        <w:ind w:firstLine="0" w:firstLineChars="0"/>
        <w:jc w:val="center"/>
        <w:rPr>
          <w:rFonts w:eastAsia="楷体"/>
          <w:color w:val="000000" w:themeColor="text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 xml:space="preserve">-7  </w:t>
      </w:r>
      <w:r>
        <w:rPr>
          <w:rFonts w:hint="eastAsia" w:ascii="楷体" w:hAnsi="楷体" w:eastAsia="楷体"/>
          <w:iCs/>
          <w:color w:val="000000" w:themeColor="text1"/>
          <w:sz w:val="21"/>
          <w:szCs w:val="21"/>
          <w14:textFill>
            <w14:solidFill>
              <w14:schemeClr w14:val="tx1"/>
            </w14:solidFill>
          </w14:textFill>
        </w:rPr>
        <w:t>零样本和梯度分析方法在测试集上的混淆矩阵图。</w:t>
      </w:r>
      <w:r>
        <w:rPr>
          <w:rFonts w:eastAsia="楷体" w:cs="Times New Roman"/>
          <w:iCs/>
          <w:color w:val="000000" w:themeColor="text1"/>
          <w:sz w:val="21"/>
          <w:szCs w:val="21"/>
          <w14:textFill>
            <w14:solidFill>
              <w14:schemeClr w14:val="tx1"/>
            </w14:solidFill>
          </w14:textFill>
        </w:rPr>
        <w:t>(a)GPT3.5</w:t>
      </w:r>
      <w:r>
        <w:rPr>
          <w:rFonts w:hint="eastAsia" w:eastAsia="楷体" w:cs="Times New Roman"/>
          <w:iCs/>
          <w:color w:val="000000" w:themeColor="text1"/>
          <w:sz w:val="21"/>
          <w:szCs w:val="21"/>
          <w14:textFill>
            <w14:solidFill>
              <w14:schemeClr w14:val="tx1"/>
            </w14:solidFill>
          </w14:textFill>
        </w:rPr>
        <w:t>,</w:t>
      </w:r>
      <w:r>
        <w:rPr>
          <w:rFonts w:ascii="楷体" w:hAnsi="楷体" w:eastAsia="楷体"/>
          <w:iCs/>
          <w:color w:val="000000" w:themeColor="text1"/>
          <w:sz w:val="21"/>
          <w:szCs w:val="21"/>
          <w14:textFill>
            <w14:solidFill>
              <w14:schemeClr w14:val="tx1"/>
            </w14:solidFill>
          </w14:textFill>
        </w:rPr>
        <w:t xml:space="preserve"> </w:t>
      </w:r>
      <w:r>
        <w:rPr>
          <w:rFonts w:eastAsia="楷体" w:cs="Times New Roman"/>
          <w:iCs/>
          <w:color w:val="000000" w:themeColor="text1"/>
          <w:sz w:val="21"/>
          <w:szCs w:val="21"/>
          <w14:textFill>
            <w14:solidFill>
              <w14:schemeClr w14:val="tx1"/>
            </w14:solidFill>
          </w14:textFill>
        </w:rPr>
        <w:t>(b)GPT-4,</w:t>
      </w:r>
      <w:r>
        <w:rPr>
          <w:rFonts w:ascii="楷体" w:hAnsi="楷体" w:eastAsia="楷体"/>
          <w:iCs/>
          <w:color w:val="000000" w:themeColor="text1"/>
          <w:sz w:val="21"/>
          <w:szCs w:val="21"/>
          <w14:textFill>
            <w14:solidFill>
              <w14:schemeClr w14:val="tx1"/>
            </w14:solidFill>
          </w14:textFill>
        </w:rPr>
        <w:t xml:space="preserve"> </w:t>
      </w:r>
      <w:r>
        <w:rPr>
          <w:rFonts w:eastAsia="楷体" w:cs="Times New Roman"/>
          <w:iCs/>
          <w:color w:val="000000" w:themeColor="text1"/>
          <w:sz w:val="21"/>
          <w:szCs w:val="21"/>
          <w14:textFill>
            <w14:solidFill>
              <w14:schemeClr w14:val="tx1"/>
            </w14:solidFill>
          </w14:textFill>
        </w:rPr>
        <w:t>(c)Qwen2-1.5B-Instruct</w:t>
      </w:r>
      <w:r>
        <w:rPr>
          <w:rFonts w:hint="eastAsia" w:eastAsia="楷体" w:cs="Times New Roman"/>
          <w:iCs/>
          <w:color w:val="000000" w:themeColor="text1"/>
          <w:sz w:val="21"/>
          <w:szCs w:val="21"/>
          <w14:textFill>
            <w14:solidFill>
              <w14:schemeClr w14:val="tx1"/>
            </w14:solidFill>
          </w14:textFill>
        </w:rPr>
        <w:t>，</w:t>
      </w:r>
      <w:r>
        <w:rPr>
          <w:rFonts w:eastAsia="楷体" w:cs="Times New Roman"/>
          <w:iCs/>
          <w:color w:val="000000" w:themeColor="text1"/>
          <w:sz w:val="21"/>
          <w:szCs w:val="21"/>
          <w14:textFill>
            <w14:solidFill>
              <w14:schemeClr w14:val="tx1"/>
            </w14:solidFill>
          </w14:textFill>
        </w:rPr>
        <w:t>(d)</w:t>
      </w:r>
      <w:r>
        <w:rPr>
          <w:rFonts w:hint="eastAsia" w:eastAsia="楷体" w:cs="Times New Roman"/>
          <w:iCs/>
          <w:color w:val="000000" w:themeColor="text1"/>
          <w:sz w:val="21"/>
          <w:szCs w:val="21"/>
          <w14:textFill>
            <w14:solidFill>
              <w14:schemeClr w14:val="tx1"/>
            </w14:solidFill>
          </w14:textFill>
        </w:rPr>
        <w:t>GradSafe</w:t>
      </w:r>
    </w:p>
    <w:p w14:paraId="54D1FCD9">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梯度分析类安全检测方法，以GradSafe为代表，在测试集中表现出较好的性能，F1为0.87，表明其在基于梯度敏感性检测方面具有一定效果。该方法利用基座模型的梯度相似度进行检测，对安全相关参数进行分析，能够较有效地识别越狱提示。然而，这种方法存在两个主要问题：一是依赖于基座模型的安全对齐能力，如果基座模型安全性不足，则性能可能会显著下降；二是计算成本较高，要求前向与反向传播计算梯度。GradSafe测试结果的混淆矩阵如图4-7</w:t>
      </w:r>
      <w:r>
        <w:rPr>
          <w:color w:val="000000" w:themeColor="text1"/>
          <w14:textFill>
            <w14:solidFill>
              <w14:schemeClr w14:val="tx1"/>
            </w14:solidFill>
          </w14:textFill>
        </w:rPr>
        <w:t>(d)</w:t>
      </w:r>
      <w:r>
        <w:rPr>
          <w:rFonts w:hint="eastAsia"/>
          <w:color w:val="000000" w:themeColor="text1"/>
          <w14:textFill>
            <w14:solidFill>
              <w14:schemeClr w14:val="tx1"/>
            </w14:solidFill>
          </w14:textFill>
        </w:rPr>
        <w:t>所示。</w:t>
      </w:r>
    </w:p>
    <w:p w14:paraId="23EE4636">
      <w:pPr>
        <w:ind w:firstLine="0" w:firstLineChars="0"/>
        <w:jc w:val="center"/>
        <w:rPr>
          <w:rFonts w:eastAsia="楷体"/>
          <w:color w:val="000000" w:themeColor="text1"/>
          <w14:textFill>
            <w14:solidFill>
              <w14:schemeClr w14:val="tx1"/>
            </w14:solidFill>
          </w14:textFill>
        </w:rPr>
      </w:pPr>
      <w:r>
        <w:rPr>
          <w:rFonts w:eastAsia="楷体" w:cs="Times New Roman"/>
          <w:sz w:val="21"/>
          <w:szCs w:val="21"/>
        </w:rPr>
        <w:t>表4-</w:t>
      </w:r>
      <w:r>
        <w:rPr>
          <w:rFonts w:hint="eastAsia" w:eastAsia="楷体" w:cs="Times New Roman"/>
          <w:sz w:val="21"/>
          <w:szCs w:val="21"/>
        </w:rPr>
        <w:t>3</w:t>
      </w:r>
      <w:r>
        <w:rPr>
          <w:rFonts w:eastAsia="楷体" w:cs="Times New Roman"/>
          <w:sz w:val="21"/>
          <w:szCs w:val="21"/>
        </w:rPr>
        <w:t xml:space="preserve">  </w:t>
      </w:r>
      <w:r>
        <w:rPr>
          <w:rFonts w:hint="eastAsia" w:eastAsia="楷体" w:cs="Times New Roman"/>
          <w:sz w:val="21"/>
          <w:szCs w:val="21"/>
        </w:rPr>
        <w:t>基线方法和LEAD的推理时间比较</w:t>
      </w:r>
    </w:p>
    <w:tbl>
      <w:tblPr>
        <w:tblStyle w:val="29"/>
        <w:tblW w:w="0" w:type="auto"/>
        <w:jc w:val="center"/>
        <w:tblBorders>
          <w:top w:val="single" w:color="auto" w:sz="4" w:space="0"/>
          <w:left w:val="none" w:color="auto" w:sz="0" w:space="0"/>
          <w:bottom w:val="single" w:color="auto" w:sz="4" w:space="0"/>
          <w:right w:val="none" w:color="auto" w:sz="0" w:space="0"/>
          <w:insideH w:val="single" w:color="auto" w:sz="4" w:space="0"/>
          <w:insideV w:val="none" w:color="auto" w:sz="0" w:space="0"/>
        </w:tblBorders>
        <w:tblLayout w:type="autofit"/>
        <w:tblCellMar>
          <w:top w:w="0" w:type="dxa"/>
          <w:left w:w="108" w:type="dxa"/>
          <w:bottom w:w="0" w:type="dxa"/>
          <w:right w:w="108" w:type="dxa"/>
        </w:tblCellMar>
      </w:tblPr>
      <w:tblGrid>
        <w:gridCol w:w="1985"/>
        <w:gridCol w:w="2551"/>
      </w:tblGrid>
      <w:tr w14:paraId="1F6AF7CB">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985" w:type="dxa"/>
            <w:tcBorders>
              <w:bottom w:val="single" w:color="auto" w:sz="4" w:space="0"/>
            </w:tcBorders>
          </w:tcPr>
          <w:p w14:paraId="246C05C8">
            <w:pPr>
              <w:ind w:firstLine="0" w:firstLineChars="0"/>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方法</w:t>
            </w:r>
          </w:p>
        </w:tc>
        <w:tc>
          <w:tcPr>
            <w:tcW w:w="2551" w:type="dxa"/>
            <w:tcBorders>
              <w:bottom w:val="single" w:color="auto" w:sz="4" w:space="0"/>
            </w:tcBorders>
          </w:tcPr>
          <w:p w14:paraId="4C09D77A">
            <w:pPr>
              <w:ind w:firstLine="0" w:firstLineChars="0"/>
              <w:jc w:val="center"/>
              <w:rPr>
                <w:b/>
                <w:bCs/>
                <w:color w:val="000000" w:themeColor="text1"/>
                <w14:textFill>
                  <w14:solidFill>
                    <w14:schemeClr w14:val="tx1"/>
                  </w14:solidFill>
                </w14:textFill>
              </w:rPr>
            </w:pPr>
            <w:r>
              <w:rPr>
                <w:rFonts w:hint="eastAsia"/>
                <w:b/>
                <w:bCs/>
                <w:color w:val="000000" w:themeColor="text1"/>
                <w14:textFill>
                  <w14:solidFill>
                    <w14:schemeClr w14:val="tx1"/>
                  </w14:solidFill>
                </w14:textFill>
              </w:rPr>
              <w:t>推理时间</w:t>
            </w:r>
            <w:r>
              <w:rPr>
                <w:b/>
                <w:bCs/>
                <w:color w:val="000000" w:themeColor="text1"/>
                <w14:textFill>
                  <w14:solidFill>
                    <w14:schemeClr w14:val="tx1"/>
                  </w14:solidFill>
                </w14:textFill>
              </w:rPr>
              <w:t>(</w:t>
            </w:r>
            <w:r>
              <w:rPr>
                <w:rFonts w:hint="eastAsia"/>
                <w:b/>
                <w:bCs/>
                <w:color w:val="000000" w:themeColor="text1"/>
                <w14:textFill>
                  <w14:solidFill>
                    <w14:schemeClr w14:val="tx1"/>
                  </w14:solidFill>
                </w14:textFill>
              </w:rPr>
              <w:t>秒</w:t>
            </w:r>
            <w:r>
              <w:rPr>
                <w:b/>
                <w:bCs/>
                <w:color w:val="000000" w:themeColor="text1"/>
                <w14:textFill>
                  <w14:solidFill>
                    <w14:schemeClr w14:val="tx1"/>
                  </w14:solidFill>
                </w14:textFill>
              </w:rPr>
              <w:t>)</w:t>
            </w:r>
          </w:p>
        </w:tc>
      </w:tr>
      <w:tr w14:paraId="489C6890">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985" w:type="dxa"/>
            <w:tcBorders>
              <w:bottom w:val="nil"/>
            </w:tcBorders>
          </w:tcPr>
          <w:p w14:paraId="16BDBAEC">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GPT-3.5</w:t>
            </w:r>
          </w:p>
        </w:tc>
        <w:tc>
          <w:tcPr>
            <w:tcW w:w="2551" w:type="dxa"/>
            <w:tcBorders>
              <w:bottom w:val="nil"/>
            </w:tcBorders>
          </w:tcPr>
          <w:p w14:paraId="10587E7B">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2.422</w:t>
            </w:r>
          </w:p>
        </w:tc>
      </w:tr>
      <w:tr w14:paraId="34313E37">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985" w:type="dxa"/>
            <w:tcBorders>
              <w:top w:val="nil"/>
              <w:bottom w:val="single" w:color="auto" w:sz="4" w:space="0"/>
            </w:tcBorders>
          </w:tcPr>
          <w:p w14:paraId="14D51785">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GPT-4</w:t>
            </w:r>
          </w:p>
        </w:tc>
        <w:tc>
          <w:tcPr>
            <w:tcW w:w="2551" w:type="dxa"/>
            <w:tcBorders>
              <w:top w:val="nil"/>
              <w:bottom w:val="single" w:color="auto" w:sz="4" w:space="0"/>
            </w:tcBorders>
          </w:tcPr>
          <w:p w14:paraId="4AE7E4B9">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1.115</w:t>
            </w:r>
          </w:p>
        </w:tc>
      </w:tr>
      <w:tr w14:paraId="021AD12C">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985" w:type="dxa"/>
            <w:tcBorders>
              <w:bottom w:val="nil"/>
            </w:tcBorders>
          </w:tcPr>
          <w:p w14:paraId="09F2B9DC">
            <w:pPr>
              <w:ind w:firstLine="0" w:firstLineChars="0"/>
              <w:rPr>
                <w:color w:val="000000" w:themeColor="text1"/>
                <w14:textFill>
                  <w14:solidFill>
                    <w14:schemeClr w14:val="tx1"/>
                  </w14:solidFill>
                </w14:textFill>
              </w:rPr>
            </w:pPr>
            <w:r>
              <w:rPr>
                <w:color w:val="000000" w:themeColor="text1"/>
                <w14:textFill>
                  <w14:solidFill>
                    <w14:schemeClr w14:val="tx1"/>
                  </w14:solidFill>
                </w14:textFill>
              </w:rPr>
              <w:t>GradSafe</w:t>
            </w:r>
          </w:p>
        </w:tc>
        <w:tc>
          <w:tcPr>
            <w:tcW w:w="2551" w:type="dxa"/>
            <w:tcBorders>
              <w:bottom w:val="nil"/>
            </w:tcBorders>
          </w:tcPr>
          <w:p w14:paraId="7837D77E">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t>0.272</w:t>
            </w:r>
          </w:p>
        </w:tc>
      </w:tr>
      <w:tr w14:paraId="4D692CD8">
        <w:tblPrEx>
          <w:tblBorders>
            <w:top w:val="single" w:color="auto" w:sz="4" w:space="0"/>
            <w:left w:val="none" w:color="auto" w:sz="0" w:space="0"/>
            <w:bottom w:val="single" w:color="auto" w:sz="4" w:space="0"/>
            <w:right w:val="none" w:color="auto" w:sz="0" w:space="0"/>
            <w:insideH w:val="single" w:color="auto" w:sz="4" w:space="0"/>
            <w:insideV w:val="none" w:color="auto" w:sz="0" w:space="0"/>
          </w:tblBorders>
        </w:tblPrEx>
        <w:trPr>
          <w:jc w:val="center"/>
        </w:trPr>
        <w:tc>
          <w:tcPr>
            <w:tcW w:w="1985" w:type="dxa"/>
            <w:tcBorders>
              <w:top w:val="nil"/>
            </w:tcBorders>
          </w:tcPr>
          <w:p w14:paraId="784B2343">
            <w:pPr>
              <w:ind w:firstLine="0" w:firstLineChars="0"/>
              <w:rPr>
                <w:color w:val="000000" w:themeColor="text1"/>
                <w14:textFill>
                  <w14:solidFill>
                    <w14:schemeClr w14:val="tx1"/>
                  </w14:solidFill>
                </w14:textFill>
              </w:rPr>
            </w:pPr>
            <w:r>
              <w:rPr>
                <w:b/>
                <w:bCs/>
                <w:color w:val="000000" w:themeColor="text1"/>
                <w14:textFill>
                  <w14:solidFill>
                    <w14:schemeClr w14:val="tx1"/>
                  </w14:solidFill>
                </w14:textFill>
              </w:rPr>
              <w:t>LEAD</w:t>
            </w:r>
            <w:r>
              <w:rPr>
                <w:color w:val="000000" w:themeColor="text1"/>
                <w14:textFill>
                  <w14:solidFill>
                    <w14:schemeClr w14:val="tx1"/>
                  </w14:solidFill>
                </w14:textFill>
              </w:rPr>
              <w:t xml:space="preserve"> (</w:t>
            </w:r>
            <w:r>
              <w:rPr>
                <w:rFonts w:hint="eastAsia"/>
                <w:color w:val="000000" w:themeColor="text1"/>
                <w14:textFill>
                  <w14:solidFill>
                    <w14:schemeClr w14:val="tx1"/>
                  </w14:solidFill>
                </w14:textFill>
              </w:rPr>
              <w:t>本文</w:t>
            </w:r>
            <w:r>
              <w:rPr>
                <w:color w:val="000000" w:themeColor="text1"/>
                <w14:textFill>
                  <w14:solidFill>
                    <w14:schemeClr w14:val="tx1"/>
                  </w14:solidFill>
                </w14:textFill>
              </w:rPr>
              <w:t>)</w:t>
            </w:r>
          </w:p>
        </w:tc>
        <w:tc>
          <w:tcPr>
            <w:tcW w:w="2551" w:type="dxa"/>
            <w:tcBorders>
              <w:top w:val="nil"/>
            </w:tcBorders>
          </w:tcPr>
          <w:p w14:paraId="3A3CD58A">
            <w:pPr>
              <w:ind w:firstLine="0" w:firstLineChars="0"/>
              <w:jc w:val="center"/>
              <w:rPr>
                <w:b/>
                <w:bCs/>
                <w:color w:val="000000" w:themeColor="text1"/>
                <w14:textFill>
                  <w14:solidFill>
                    <w14:schemeClr w14:val="tx1"/>
                  </w14:solidFill>
                </w14:textFill>
              </w:rPr>
            </w:pPr>
            <w:r>
              <w:rPr>
                <w:b/>
                <w:bCs/>
                <w:color w:val="000000" w:themeColor="text1"/>
                <w14:textFill>
                  <w14:solidFill>
                    <w14:schemeClr w14:val="tx1"/>
                  </w14:solidFill>
                </w14:textFill>
              </w:rPr>
              <w:t>0.059</w:t>
            </w:r>
          </w:p>
        </w:tc>
      </w:tr>
    </w:tbl>
    <w:p w14:paraId="50CED3FC">
      <w:pPr>
        <w:spacing w:before="120" w:beforeLines="50"/>
        <w:ind w:firstLine="420" w:firstLineChars="0"/>
        <w:rPr>
          <w:color w:val="000000" w:themeColor="text1"/>
          <w14:textFill>
            <w14:solidFill>
              <w14:schemeClr w14:val="tx1"/>
            </w14:solidFill>
          </w14:textFill>
        </w:rPr>
      </w:pPr>
      <w:r>
        <w:rPr>
          <w:rFonts w:hint="eastAsia"/>
          <w:color w:val="000000" w:themeColor="text1"/>
          <w14:textFill>
            <w14:solidFill>
              <w14:schemeClr w14:val="tx1"/>
            </w14:solidFill>
          </w14:textFill>
        </w:rPr>
        <w:t>相比之下，提出的LEAD检测器显著超越了上述所有方法，在测试集中F1、准确率和召回率三个核心指标均达到0.98以上，全面领先于其他方法。LEAD通过Qwen2-1.5B-Instruct模型上的LoRA指令微调，成功捕获了越狱提示的隐蔽语义特征，在保持极高召回率的同时，有效压制了误判率，展现出对人类精心设计的越狱提示的精准识别能力。这得益于本文设计的LoRA指令微调策略，通过小幅更新关键权重矩阵</w:t>
      </w:r>
      <w:r>
        <w:rPr>
          <w:color w:val="000000" w:themeColor="text1"/>
          <w14:textFill>
            <w14:solidFill>
              <w14:schemeClr w14:val="tx1"/>
            </w14:solidFill>
          </w14:textFill>
        </w:rPr>
        <w:t>(</w:t>
      </w:r>
      <m:oMath>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q</m:t>
            </m:r>
            <m:ctrlPr>
              <w:rPr>
                <w:rFonts w:ascii="Cambria Math" w:hAnsi="Cambria Math"/>
                <w:i/>
                <w:color w:val="000000" w:themeColor="text1"/>
                <w14:textFill>
                  <w14:solidFill>
                    <w14:schemeClr w14:val="tx1"/>
                  </w14:solidFill>
                </w14:textFill>
              </w:rPr>
            </m:ctrlPr>
          </m:sub>
        </m:sSub>
        <m:r>
          <m:rPr/>
          <w:rPr>
            <w:rFonts w:ascii="Cambria Math" w:hAnsi="Cambria Math"/>
            <w:color w:val="000000" w:themeColor="text1"/>
            <w14:textFill>
              <w14:solidFill>
                <w14:schemeClr w14:val="tx1"/>
              </w14:solidFill>
            </w14:textFill>
          </w:rPr>
          <m:t>,</m:t>
        </m:r>
        <m:sSub>
          <m:sSubPr>
            <m:ctrlPr>
              <w:rPr>
                <w:rFonts w:ascii="Cambria Math" w:hAnsi="Cambria Math"/>
                <w:i/>
                <w:color w:val="000000" w:themeColor="text1"/>
                <w14:textFill>
                  <w14:solidFill>
                    <w14:schemeClr w14:val="tx1"/>
                  </w14:solidFill>
                </w14:textFill>
              </w:rPr>
            </m:ctrlPr>
          </m:sSubPr>
          <m:e>
            <m:r>
              <m:rPr/>
              <w:rPr>
                <w:rFonts w:ascii="Cambria Math" w:hAnsi="Cambria Math"/>
                <w:color w:val="000000" w:themeColor="text1"/>
                <w14:textFill>
                  <w14:solidFill>
                    <w14:schemeClr w14:val="tx1"/>
                  </w14:solidFill>
                </w14:textFill>
              </w:rPr>
              <m:t>W</m:t>
            </m:r>
            <m:ctrlPr>
              <w:rPr>
                <w:rFonts w:ascii="Cambria Math" w:hAnsi="Cambria Math"/>
                <w:i/>
                <w:color w:val="000000" w:themeColor="text1"/>
                <w14:textFill>
                  <w14:solidFill>
                    <w14:schemeClr w14:val="tx1"/>
                  </w14:solidFill>
                </w14:textFill>
              </w:rPr>
            </m:ctrlPr>
          </m:e>
          <m:sub>
            <m:r>
              <m:rPr/>
              <w:rPr>
                <w:rFonts w:ascii="Cambria Math" w:hAnsi="Cambria Math"/>
                <w:color w:val="000000" w:themeColor="text1"/>
                <w14:textFill>
                  <w14:solidFill>
                    <w14:schemeClr w14:val="tx1"/>
                  </w14:solidFill>
                </w14:textFill>
              </w:rPr>
              <m:t>v</m:t>
            </m:r>
            <m:ctrlPr>
              <w:rPr>
                <w:rFonts w:ascii="Cambria Math" w:hAnsi="Cambria Math"/>
                <w:i/>
                <w:color w:val="000000" w:themeColor="text1"/>
                <w14:textFill>
                  <w14:solidFill>
                    <w14:schemeClr w14:val="tx1"/>
                  </w14:solidFill>
                </w14:textFill>
              </w:rPr>
            </m:ctrlPr>
          </m:sub>
        </m:sSub>
      </m:oMath>
      <w:r>
        <w:rPr>
          <w:color w:val="000000" w:themeColor="text1"/>
          <w14:textFill>
            <w14:solidFill>
              <w14:schemeClr w14:val="tx1"/>
            </w14:solidFill>
          </w14:textFill>
        </w:rPr>
        <w:t>)</w:t>
      </w:r>
      <w:r>
        <w:rPr>
          <w:rFonts w:hint="eastAsia"/>
          <w:color w:val="000000" w:themeColor="text1"/>
          <w14:textFill>
            <w14:solidFill>
              <w14:schemeClr w14:val="tx1"/>
            </w14:solidFill>
          </w14:textFill>
        </w:rPr>
        <w:t xml:space="preserve"> ，显著增强了模型对越狱提示的敏感性。测试的混淆矩阵如图4-8所示。</w:t>
      </w:r>
    </w:p>
    <w:p w14:paraId="469B1EA4">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3428365" cy="2931160"/>
            <wp:effectExtent l="0" t="0" r="635" b="2540"/>
            <wp:docPr id="182307430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074300" name="图片 5"/>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473851" cy="2970269"/>
                    </a:xfrm>
                    <a:prstGeom prst="rect">
                      <a:avLst/>
                    </a:prstGeom>
                  </pic:spPr>
                </pic:pic>
              </a:graphicData>
            </a:graphic>
          </wp:inline>
        </w:drawing>
      </w:r>
    </w:p>
    <w:p w14:paraId="6DD1CBAE">
      <w:pPr>
        <w:ind w:firstLine="0" w:firstLineChars="0"/>
        <w:jc w:val="center"/>
        <w:rPr>
          <w:rFonts w:cs="Times New Roman"/>
          <w:color w:val="000000" w:themeColor="text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-8  LEAD</w:t>
      </w:r>
      <w:r>
        <w:rPr>
          <w:rFonts w:hint="eastAsia" w:ascii="楷体" w:hAnsi="楷体" w:eastAsia="楷体"/>
          <w:iCs/>
          <w:color w:val="000000" w:themeColor="text1"/>
          <w:sz w:val="21"/>
          <w:szCs w:val="21"/>
          <w14:textFill>
            <w14:solidFill>
              <w14:schemeClr w14:val="tx1"/>
            </w14:solidFill>
          </w14:textFill>
        </w:rPr>
        <w:t>在测试集上的混淆矩阵</w:t>
      </w:r>
    </w:p>
    <w:p w14:paraId="189C9AEE">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为进一步验证各方法的实际部署效率，本节还对GPT-3.5、GPT-4、GradSafe和LEAD四种相对有效的方法进行了推理时间成本的对比实验。实验在一张NVIDIA RTX 4090 GPU上进行，开源模型采用Transformers进行部署，未使用任何推理加速或批处理技术，采用逐条输入后计算平均时间，如表4-3所示。实验结果显示，由于GPT-3.5和GPT-4为闭源模型，只能通过API调用，因此推理时间明显较长。GradSafe因需要前向和反向传播计算梯度以及遍历模型参数，导致计算复杂度相对较高。相比之下，LEAD由于其高效轻量的结构设计和指令微调策略，计算复杂度显著降低，仅为0.059s。这表明LEAD不仅在性能指标上表现突出，在实际应用的效率和可部署性方面也具备显著优势。</w:t>
      </w:r>
    </w:p>
    <w:p w14:paraId="6041BE48">
      <w:pPr>
        <w:ind w:firstLine="480"/>
        <w:rPr>
          <w:color w:val="000000" w:themeColor="text1"/>
          <w14:textFill>
            <w14:solidFill>
              <w14:schemeClr w14:val="tx1"/>
            </w14:solidFill>
          </w14:textFill>
        </w:rPr>
      </w:pPr>
      <w:r>
        <w:rPr>
          <w:rFonts w:hint="eastAsia"/>
          <w:color w:val="000000" w:themeColor="text1"/>
          <w14:textFill>
            <w14:solidFill>
              <w14:schemeClr w14:val="tx1"/>
            </w14:solidFill>
          </w14:textFill>
        </w:rPr>
        <w:t>总而言之，本章通过扩展性的实验验证了：（1）启发式方法存在明显局限，难以适应复杂多变的越狱攻击模式；（2）零样本大模型在缺乏特定对齐训练时，难以独立完成安全检测任务；（3）指令微调结合LoRA高效适配能够在极低开销下实现高准确率、高召回率、以及低延迟的越狱提示检测。图4-</w:t>
      </w:r>
      <w:r>
        <w:rPr>
          <w:color w:val="000000" w:themeColor="text1"/>
          <w14:textFill>
            <w14:solidFill>
              <w14:schemeClr w14:val="tx1"/>
            </w14:solidFill>
          </w14:textFill>
        </w:rPr>
        <w:t>9</w:t>
      </w:r>
      <w:r>
        <w:rPr>
          <w:rFonts w:hint="eastAsia"/>
          <w:color w:val="000000" w:themeColor="text1"/>
          <w14:textFill>
            <w14:solidFill>
              <w14:schemeClr w14:val="tx1"/>
            </w14:solidFill>
          </w14:textFill>
        </w:rPr>
        <w:t>展现了LEAD微调前后的效果对比。</w:t>
      </w:r>
    </w:p>
    <w:p w14:paraId="1C080D62">
      <w:pPr>
        <w:ind w:firstLine="0" w:firstLineChars="0"/>
        <w:jc w:val="center"/>
        <w:rPr>
          <w:color w:val="000000" w:themeColor="text1"/>
          <w14:textFill>
            <w14:solidFill>
              <w14:schemeClr w14:val="tx1"/>
            </w14:solidFill>
          </w14:textFill>
        </w:rPr>
      </w:pPr>
      <w:r>
        <w:rPr>
          <w:color w:val="000000" w:themeColor="text1"/>
          <w14:textFill>
            <w14:solidFill>
              <w14:schemeClr w14:val="tx1"/>
            </w14:solidFill>
          </w14:textFill>
        </w:rPr>
        <w:drawing>
          <wp:inline distT="0" distB="0" distL="0" distR="0">
            <wp:extent cx="5760720" cy="3475990"/>
            <wp:effectExtent l="0" t="0" r="5080" b="0"/>
            <wp:docPr id="182754390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543904" name="图片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475990"/>
                    </a:xfrm>
                    <a:prstGeom prst="rect">
                      <a:avLst/>
                    </a:prstGeom>
                  </pic:spPr>
                </pic:pic>
              </a:graphicData>
            </a:graphic>
          </wp:inline>
        </w:drawing>
      </w:r>
    </w:p>
    <w:p w14:paraId="334846B4">
      <w:pPr>
        <w:ind w:firstLine="0" w:firstLineChars="0"/>
        <w:jc w:val="center"/>
        <w:rPr>
          <w:rFonts w:ascii="楷体" w:hAnsi="楷体" w:eastAsia="楷体"/>
          <w:iCs/>
          <w:color w:val="000000" w:themeColor="text1"/>
          <w:sz w:val="21"/>
          <w:szCs w:val="21"/>
          <w14:textFill>
            <w14:solidFill>
              <w14:schemeClr w14:val="tx1"/>
            </w14:solidFill>
          </w14:textFill>
        </w:rPr>
      </w:pPr>
      <w:r>
        <w:rPr>
          <w:rFonts w:hint="eastAsia" w:ascii="楷体" w:hAnsi="楷体" w:eastAsia="楷体"/>
          <w:iCs/>
          <w:color w:val="000000" w:themeColor="text1"/>
          <w:sz w:val="21"/>
          <w:szCs w:val="21"/>
          <w14:textFill>
            <w14:solidFill>
              <w14:schemeClr w14:val="tx1"/>
            </w14:solidFill>
          </w14:textFill>
        </w:rPr>
        <w:t>图</w:t>
      </w:r>
      <w:r>
        <w:rPr>
          <w:iCs/>
          <w:color w:val="000000" w:themeColor="text1"/>
          <w:sz w:val="21"/>
          <w:szCs w:val="21"/>
          <w14:textFill>
            <w14:solidFill>
              <w14:schemeClr w14:val="tx1"/>
            </w14:solidFill>
          </w14:textFill>
        </w:rPr>
        <w:t>4</w:t>
      </w:r>
      <w:r>
        <w:rPr>
          <w:rFonts w:hint="eastAsia"/>
          <w:iCs/>
          <w:color w:val="000000" w:themeColor="text1"/>
          <w:sz w:val="21"/>
          <w:szCs w:val="21"/>
          <w14:textFill>
            <w14:solidFill>
              <w14:schemeClr w14:val="tx1"/>
            </w14:solidFill>
          </w14:textFill>
        </w:rPr>
        <w:t>-</w:t>
      </w:r>
      <w:r>
        <w:rPr>
          <w:iCs/>
          <w:color w:val="000000" w:themeColor="text1"/>
          <w:sz w:val="21"/>
          <w:szCs w:val="21"/>
          <w14:textFill>
            <w14:solidFill>
              <w14:schemeClr w14:val="tx1"/>
            </w14:solidFill>
          </w14:textFill>
        </w:rPr>
        <w:t>9</w:t>
      </w:r>
      <w:r>
        <w:rPr>
          <w:rFonts w:hint="eastAsia"/>
          <w:iCs/>
          <w:color w:val="000000" w:themeColor="text1"/>
          <w:sz w:val="21"/>
          <w:szCs w:val="21"/>
          <w14:textFill>
            <w14:solidFill>
              <w14:schemeClr w14:val="tx1"/>
            </w14:solidFill>
          </w14:textFill>
        </w:rPr>
        <w:t xml:space="preserve">  </w:t>
      </w:r>
      <w:r>
        <w:rPr>
          <w:rFonts w:hint="eastAsia" w:ascii="楷体" w:hAnsi="楷体" w:eastAsia="楷体"/>
          <w:iCs/>
          <w:color w:val="000000" w:themeColor="text1"/>
          <w:sz w:val="21"/>
          <w:szCs w:val="21"/>
          <w14:textFill>
            <w14:solidFill>
              <w14:schemeClr w14:val="tx1"/>
            </w14:solidFill>
          </w14:textFill>
        </w:rPr>
        <w:t>模型在微调前后的效果对比图</w:t>
      </w:r>
    </w:p>
    <w:p w14:paraId="7BF0F41A">
      <w:pPr>
        <w:pStyle w:val="3"/>
        <w:spacing w:before="240" w:after="240"/>
        <w:ind w:firstLine="0" w:firstLineChars="0"/>
      </w:pPr>
      <w:bookmarkStart w:id="55" w:name="_Toc197274543"/>
      <w:r>
        <w:rPr>
          <w:rFonts w:hint="eastAsia"/>
        </w:rPr>
        <w:t>4.4 本章小结</w:t>
      </w:r>
      <w:bookmarkEnd w:id="55"/>
    </w:p>
    <w:p w14:paraId="0A2209A4">
      <w:pPr>
        <w:ind w:firstLine="480"/>
      </w:pPr>
      <w:r>
        <w:rPr>
          <w:rFonts w:hint="eastAsia"/>
        </w:rPr>
        <w:t>本章系统评估了主流大语言模型在面对越狱攻击时的防御能力，并对本文提出的LEAD检测器与多种基线方法进行了全面对比。实验结果表明，LEAD在F1分数、准确率与召回率上均显著优于其他方法，展现出在检测复杂越狱提示任务中的鲁棒性与实用性，为大模型安全提供了有效解决方案。</w:t>
      </w:r>
    </w:p>
    <w:p w14:paraId="15FF2BAA">
      <w:pPr>
        <w:ind w:firstLine="480"/>
        <w:rPr>
          <w:color w:val="000000" w:themeColor="text1"/>
          <w14:textFill>
            <w14:solidFill>
              <w14:schemeClr w14:val="tx1"/>
            </w14:solidFill>
          </w14:textFill>
        </w:rPr>
      </w:pPr>
      <w:r>
        <w:rPr>
          <w:color w:val="000000" w:themeColor="text1"/>
          <w14:textFill>
            <w14:solidFill>
              <w14:schemeClr w14:val="tx1"/>
            </w14:solidFill>
          </w14:textFill>
        </w:rPr>
        <w:br w:type="page"/>
      </w:r>
    </w:p>
    <w:p w14:paraId="30F2EC1A">
      <w:pPr>
        <w:pStyle w:val="2"/>
        <w:spacing w:before="240" w:after="240" w:line="360" w:lineRule="auto"/>
        <w:ind w:firstLine="0" w:firstLineChars="0"/>
      </w:pPr>
      <w:bookmarkStart w:id="56" w:name="_Toc197274544"/>
      <w:r>
        <w:rPr>
          <w:rFonts w:hint="eastAsia"/>
        </w:rPr>
        <w:t>第五章 总结与展望</w:t>
      </w:r>
      <w:bookmarkEnd w:id="56"/>
    </w:p>
    <w:p w14:paraId="6147748E">
      <w:pPr>
        <w:pStyle w:val="3"/>
        <w:spacing w:before="240" w:after="240"/>
        <w:ind w:firstLine="0" w:firstLineChars="0"/>
      </w:pPr>
      <w:bookmarkStart w:id="57" w:name="_Toc197274545"/>
      <w:r>
        <w:rPr>
          <w:rFonts w:hint="eastAsia"/>
        </w:rPr>
        <w:t>5.1 论文工作总结</w:t>
      </w:r>
      <w:bookmarkEnd w:id="57"/>
    </w:p>
    <w:p w14:paraId="4E25238A">
      <w:pPr>
        <w:ind w:firstLine="480"/>
      </w:pPr>
      <w:r>
        <w:rPr>
          <w:rFonts w:hint="eastAsia"/>
        </w:rPr>
        <w:t>本文围绕当前大型语言模型在安全性方面所面临的越狱提示攻击问题展开，聚焦于如何在保持推理效率的前提下，构建一个具备高准确率与高部署可行性的越狱检测系统。在大模型应用不断下沉至用户端的背景下，提示注入所引发的安全威胁愈发严重，而现有方法往往存在误报率高、泛化能力弱、计算开销大等局限。本文的研究工作正是试图在这一关键问题上寻求理论突破与工程落地的结合点。</w:t>
      </w:r>
    </w:p>
    <w:p w14:paraId="57D3C486">
      <w:pPr>
        <w:ind w:firstLine="480"/>
      </w:pPr>
      <w:r>
        <w:rPr>
          <w:rFonts w:hint="eastAsia"/>
        </w:rPr>
        <w:t>首先，本文系统评估了当前主流大语言模型在应对人为构造的越狱提示攻击方面的实际防御能力。评估基于JailBench数据集进行，通过零样本设置测试大模型是否产生不当响应。结果显示，即便是最先进的模型在面对隐蔽且语义连贯的攻击时，仍表现出明显的安全脆弱性。为了验证各类技术路径的适应能力，本文设计并实现了包括规则过滤、情感分析、困惑度检测、窗口化困惑度在内的多种启发式方法，并对其在越狱提示检测任务中的性能进行横向比较，进一步明确传统检测策略的有效性边界。</w:t>
      </w:r>
    </w:p>
    <w:p w14:paraId="2EF8303A">
      <w:pPr>
        <w:ind w:firstLine="480"/>
      </w:pPr>
      <w:r>
        <w:rPr>
          <w:rFonts w:hint="eastAsia"/>
        </w:rPr>
        <w:t>其次，针对以上问题，本文提出了一种高效且轻量化的越狱提示检测方法 LEAD。该方法以Qwen2-1.5B-Instruct为基座模型，采用LoRA技术进行指令微调，仅对注意力机制中的</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q</m:t>
            </m:r>
            <m:ctrlPr>
              <w:rPr>
                <w:rFonts w:ascii="Cambria Math" w:hAnsi="Cambria Math"/>
                <w:i/>
              </w:rPr>
            </m:ctrlPr>
          </m:sub>
        </m:sSub>
      </m:oMath>
      <w:r>
        <w:rPr>
          <w:rFonts w:hint="eastAsia"/>
        </w:rPr>
        <w:t>与</w:t>
      </w:r>
      <m:oMath>
        <m:sSub>
          <m:sSubPr>
            <m:ctrlPr>
              <w:rPr>
                <w:rFonts w:ascii="Cambria Math" w:hAnsi="Cambria Math"/>
                <w:i/>
              </w:rPr>
            </m:ctrlPr>
          </m:sSubPr>
          <m:e>
            <m:r>
              <m:rPr/>
              <w:rPr>
                <w:rFonts w:ascii="Cambria Math" w:hAnsi="Cambria Math"/>
              </w:rPr>
              <m:t>W</m:t>
            </m:r>
            <m:ctrlPr>
              <w:rPr>
                <w:rFonts w:ascii="Cambria Math" w:hAnsi="Cambria Math"/>
                <w:i/>
              </w:rPr>
            </m:ctrlPr>
          </m:e>
          <m:sub>
            <m:r>
              <m:rPr/>
              <w:rPr>
                <w:rFonts w:ascii="Cambria Math" w:hAnsi="Cambria Math"/>
              </w:rPr>
              <m:t>v</m:t>
            </m:r>
            <m:ctrlPr>
              <w:rPr>
                <w:rFonts w:ascii="Cambria Math" w:hAnsi="Cambria Math"/>
                <w:i/>
              </w:rPr>
            </m:ctrlPr>
          </m:sub>
        </m:sSub>
      </m:oMath>
      <w:r>
        <w:rPr>
          <w:rFonts w:hint="eastAsia"/>
        </w:rPr>
        <w:t>两个关键矩阵进行低秩插入与训练，从而在极小的参数增量下实现有效能力注入。为支撑训练与评估，本文在JailBench数据集基础上扩展构建了更具平衡性与代表性的数据集JailBench++，覆盖多类型攻击样式与语义策略，增强了检测器的泛化适应能力。训练过程采用LLaMA-Factory框架，在4张RTX 4090显卡上完成微调，最终仅引入约0.07%的额外参数，模型推理资源开销极小。</w:t>
      </w:r>
    </w:p>
    <w:p w14:paraId="0DB5C43F">
      <w:pPr>
        <w:ind w:firstLine="480"/>
      </w:pPr>
      <w:r>
        <w:rPr>
          <w:rFonts w:hint="eastAsia"/>
        </w:rPr>
        <w:t>最后，在实验阶段，本文从检测精度与部署效率两个维度对LEAD与多种基线方法进行全面对比。在JailBench++测试集上，LEAD在F1 、准确率和召回率三项指标上均取得领先。此外，本文还评估了各方法的实际推理速度与资源消耗情况。结果表明，相较于基于API的大模型零样本检测器（如 GPT-4）或依赖梯度反向传播的对抗检测方法（如GradSafe），LEAD推理时延更低，显著提升了检测效率。</w:t>
      </w:r>
    </w:p>
    <w:p w14:paraId="3B8AA150">
      <w:pPr>
        <w:ind w:firstLine="480"/>
      </w:pPr>
      <w:r>
        <w:rPr>
          <w:rFonts w:hint="eastAsia"/>
        </w:rPr>
        <w:t>综上所述，本文从理论建模到数据构建、从方法设计到系统评估，系统性地完成了一个面向大模型提示安全的检测器构建流程。研究不仅提出了一个兼顾检测性能与资源效率的解决方案，还为提示对齐、指令建模、安全对抗等方向提供了可落地的设计思路与技术路径。</w:t>
      </w:r>
    </w:p>
    <w:p w14:paraId="4F3A20F2">
      <w:pPr>
        <w:pStyle w:val="3"/>
        <w:spacing w:before="240" w:after="240"/>
        <w:ind w:firstLine="0" w:firstLineChars="0"/>
      </w:pPr>
      <w:bookmarkStart w:id="58" w:name="_Toc197274546"/>
      <w:r>
        <w:rPr>
          <w:rFonts w:hint="eastAsia"/>
        </w:rPr>
        <w:t>5.2 未来工作展望</w:t>
      </w:r>
      <w:bookmarkEnd w:id="58"/>
    </w:p>
    <w:p w14:paraId="2992DAF4">
      <w:pPr>
        <w:ind w:firstLine="480"/>
      </w:pPr>
      <w:r>
        <w:rPr>
          <w:rFonts w:hint="eastAsia"/>
        </w:rPr>
        <w:t>本文提出了一种高效且轻量化的越狱提示检测器LEAD，实验验证其在检测人为精心设计的越狱提示方面表现优异。然而，上述工作仍存在问题有待进一步研究与改进：</w:t>
      </w:r>
    </w:p>
    <w:p w14:paraId="7A476BB7">
      <w:pPr>
        <w:ind w:firstLine="480"/>
      </w:pPr>
      <w:r>
        <w:rPr>
          <w:rFonts w:hint="eastAsia"/>
        </w:rPr>
        <w:t>LEAD方法在很大程度上依赖于基座模型的预训练能力与初始性能。如果基座模型本身在语义理解和泛化能力上存在缺陷，即便通过LoRA指令微调，也难以获得理想的检测效果。未来的研究可以考虑在微调前进行系统性评估，以确保基座模型具备足够的初始能力，从而保障最终检测器的有效性与稳定性。</w:t>
      </w:r>
    </w:p>
    <w:p w14:paraId="1081DF0B">
      <w:pPr>
        <w:ind w:firstLine="480"/>
      </w:pPr>
      <w:r>
        <w:rPr>
          <w:rFonts w:hint="eastAsia"/>
        </w:rPr>
        <w:t>尽管LoRA微调技术在一定程度上缓解了灾难性遗忘问题，但模型的泛化性能仍然面临风险。指令微调使模型在越狱提示检测领域形成了较强的专门化能力，这种“专家效应”可能导致其在其他自然语言处理任务中的适应性下降。特别是在真实场景中，面对与训练分布存在差异的新型越狱提示时，模型的检测能力可能会有所削弱。如何在提升越狱提示检测专长的同时，维持模型的广域泛化能力，是未来需要重点关注的问题。</w:t>
      </w:r>
    </w:p>
    <w:p w14:paraId="37B3329B">
      <w:pPr>
        <w:ind w:firstLine="480"/>
      </w:pPr>
      <w:r>
        <w:rPr>
          <w:rFonts w:hint="eastAsia"/>
        </w:rPr>
        <w:t>随着对抗性攻击技术的不断演进，越狱提示可能以更加隐蔽和复杂的形式出现，针对微调模型弱点的定制化攻击也将随之增加。尽管本文的方法对当前已知的人为设计越狱提示表现出较好的识别能力，但对于未来潜在的新型对抗攻击缺乏系统性防御措施。因此，未来工作应致力于增强模型的长期对抗鲁棒性，建立动态监测与快速响应机制，以提升检测系统的持续安全性。</w:t>
      </w:r>
    </w:p>
    <w:p w14:paraId="44DA3F35">
      <w:pPr>
        <w:ind w:firstLine="480"/>
      </w:pPr>
      <w:r>
        <w:rPr>
          <w:rFonts w:hint="eastAsia"/>
        </w:rPr>
        <w:t>在应用广度方面，本文目前仅基于中文语料进行了训练与评估，不同语言环境下的适应性尚未得到充分验证。跨语言、跨文化背景下的越狱提示检测，可能因语言表达习惯和语义细粒度差异而引发性能波动。同时，研究仍主要集中在通用领域，对于金融、医疗、法律等专业领域中的术语和表述方式，模型的检测效果亦有待进一步检验。因此，拓展模型在多语言、多领域场景下的泛化评估将是未来的重要方向。</w:t>
      </w:r>
    </w:p>
    <w:p w14:paraId="397566DF">
      <w:pPr>
        <w:ind w:firstLine="480"/>
      </w:pPr>
      <w:r>
        <w:rPr>
          <w:rFonts w:hint="eastAsia"/>
        </w:rPr>
        <w:t>最后，尽管JailBench++数据集在原有基础上实现了一定扩展，但整体规模与样本多样性仍有限。数据集的丰富度直接影响检测器的鲁棒性与泛化能力，特别是在稀有类别或高隐蔽性越狱提示方面，现有数据可能无法覆盖全部攻击模式。未来的工作应继续扩展和完善数据集，提升训练样本的领域广度与代表性，以支持更复杂、多样的真实应用需求。</w:t>
      </w:r>
    </w:p>
    <w:p w14:paraId="1B603E5F">
      <w:pPr>
        <w:ind w:firstLine="480"/>
      </w:pPr>
      <w:r>
        <w:rPr>
          <w:rFonts w:hint="eastAsia"/>
        </w:rPr>
        <w:t>综上所述，虽然本文提出的LEAD方法在越狱提示检测方面取得了良好的初步成果，但仍存在基座模型依赖、泛化能力、对抗鲁棒性、跨语言领域适应性以及数据覆盖度等方面的局限。未来将围绕这些问题持续深入研究，力求推动越狱提示检测技术向着更加鲁棒、泛化且高效的方向不断演进。</w:t>
      </w:r>
    </w:p>
    <w:p w14:paraId="273F86AE">
      <w:pPr>
        <w:ind w:firstLine="480"/>
      </w:pPr>
    </w:p>
    <w:p w14:paraId="1912B0E3">
      <w:pPr>
        <w:ind w:firstLine="480"/>
      </w:pPr>
    </w:p>
    <w:p w14:paraId="54D13972">
      <w:pPr>
        <w:ind w:firstLine="480"/>
      </w:pPr>
      <w:r>
        <w:br w:type="page"/>
      </w:r>
    </w:p>
    <w:p w14:paraId="406DA00A">
      <w:pPr>
        <w:pStyle w:val="2"/>
        <w:spacing w:before="0" w:beforeLines="0" w:after="0" w:afterLines="0" w:line="360" w:lineRule="auto"/>
        <w:ind w:firstLine="0" w:firstLineChars="0"/>
        <w:rPr>
          <w:rFonts w:ascii="宋体" w:hAnsi="宋体" w:eastAsia="宋体" w:cs="宋体"/>
          <w:b w:val="0"/>
          <w:bCs/>
          <w:sz w:val="24"/>
          <w:szCs w:val="36"/>
        </w:rPr>
      </w:pPr>
      <w:bookmarkStart w:id="59" w:name="_Toc197274547"/>
      <w:bookmarkStart w:id="60" w:name="_Toc69120798"/>
      <w:bookmarkStart w:id="61" w:name="_Toc89253911"/>
      <w:bookmarkStart w:id="62" w:name="_Toc196336451"/>
      <w:r>
        <w:rPr>
          <w:rFonts w:hint="eastAsia"/>
        </w:rPr>
        <w:t>参考文献</w:t>
      </w:r>
      <w:bookmarkEnd w:id="59"/>
      <w:bookmarkEnd w:id="60"/>
      <w:bookmarkEnd w:id="61"/>
      <w:bookmarkEnd w:id="62"/>
    </w:p>
    <w:p w14:paraId="122EF8A1">
      <w:pPr>
        <w:ind w:firstLine="480"/>
      </w:pPr>
    </w:p>
    <w:p w14:paraId="2B6A64E9">
      <w:pPr>
        <w:pStyle w:val="43"/>
        <w:numPr>
          <w:ilvl w:val="0"/>
          <w:numId w:val="2"/>
        </w:numPr>
        <w:snapToGrid w:val="0"/>
        <w:ind w:firstLineChars="0"/>
        <w:rPr>
          <w:rFonts w:cs="Times New Roman"/>
          <w:sz w:val="21"/>
          <w:szCs w:val="21"/>
        </w:rPr>
      </w:pPr>
      <w:bookmarkStart w:id="63" w:name="_Ref195387648"/>
      <w:r>
        <w:rPr>
          <w:rFonts w:cs="Times New Roman"/>
          <w:sz w:val="21"/>
          <w:szCs w:val="21"/>
        </w:rPr>
        <w:t>Brown T, Mann B, Ryder N, et al. Language models are few-shot learners[J]. Advances in neural information processing systems, 2020, 33: 1877-1901.</w:t>
      </w:r>
      <w:bookmarkEnd w:id="63"/>
    </w:p>
    <w:p w14:paraId="2D7F0449">
      <w:pPr>
        <w:pStyle w:val="43"/>
        <w:numPr>
          <w:ilvl w:val="0"/>
          <w:numId w:val="2"/>
        </w:numPr>
        <w:snapToGrid w:val="0"/>
        <w:ind w:firstLineChars="0"/>
        <w:rPr>
          <w:rFonts w:cs="Times New Roman"/>
          <w:sz w:val="21"/>
          <w:szCs w:val="21"/>
        </w:rPr>
      </w:pPr>
      <w:bookmarkStart w:id="64" w:name="_Ref195387706"/>
      <w:r>
        <w:rPr>
          <w:rFonts w:cs="Times New Roman"/>
          <w:sz w:val="21"/>
          <w:szCs w:val="21"/>
        </w:rPr>
        <w:t>Touvron H, Lavril T, Izacard G, et al. Llama: Open and efficient foundation language models[J]. arXiv preprint arXiv:2302.13971, 2023.</w:t>
      </w:r>
      <w:bookmarkEnd w:id="64"/>
    </w:p>
    <w:p w14:paraId="2FC79F45">
      <w:pPr>
        <w:pStyle w:val="43"/>
        <w:numPr>
          <w:ilvl w:val="0"/>
          <w:numId w:val="2"/>
        </w:numPr>
        <w:snapToGrid w:val="0"/>
        <w:ind w:firstLineChars="0"/>
        <w:rPr>
          <w:rFonts w:cs="Times New Roman"/>
          <w:sz w:val="21"/>
          <w:szCs w:val="21"/>
        </w:rPr>
      </w:pPr>
      <w:bookmarkStart w:id="65" w:name="_Ref195387724"/>
      <w:r>
        <w:rPr>
          <w:rFonts w:cs="Times New Roman"/>
          <w:sz w:val="21"/>
          <w:szCs w:val="21"/>
        </w:rPr>
        <w:t>Bai J, Bai S, Chu Y, et al. Qwen technical report[J]. arXiv preprint arXiv:2309.16609, 2023.</w:t>
      </w:r>
      <w:bookmarkEnd w:id="65"/>
    </w:p>
    <w:p w14:paraId="29CBDF48">
      <w:pPr>
        <w:pStyle w:val="43"/>
        <w:numPr>
          <w:ilvl w:val="0"/>
          <w:numId w:val="2"/>
        </w:numPr>
        <w:snapToGrid w:val="0"/>
        <w:ind w:firstLineChars="0"/>
        <w:rPr>
          <w:rFonts w:cs="Times New Roman"/>
          <w:sz w:val="21"/>
          <w:szCs w:val="21"/>
        </w:rPr>
      </w:pPr>
      <w:bookmarkStart w:id="66" w:name="_Ref195387820"/>
      <w:r>
        <w:rPr>
          <w:rFonts w:cs="Times New Roman"/>
          <w:sz w:val="21"/>
          <w:szCs w:val="21"/>
        </w:rPr>
        <w:t>Zou A, Wang Z, Carlini N, et al. Universal and transferable adversarial attacks on aligned language models[J]. arXiv preprint arXiv:2307.15043, 2023.</w:t>
      </w:r>
      <w:bookmarkEnd w:id="66"/>
    </w:p>
    <w:p w14:paraId="3FBA95AA">
      <w:pPr>
        <w:pStyle w:val="43"/>
        <w:numPr>
          <w:ilvl w:val="0"/>
          <w:numId w:val="2"/>
        </w:numPr>
        <w:snapToGrid w:val="0"/>
        <w:ind w:firstLineChars="0"/>
        <w:rPr>
          <w:rFonts w:cs="Times New Roman"/>
          <w:color w:val="000000" w:themeColor="text1"/>
          <w:sz w:val="21"/>
          <w:szCs w:val="21"/>
          <w14:textFill>
            <w14:solidFill>
              <w14:schemeClr w14:val="tx1"/>
            </w14:solidFill>
          </w14:textFill>
        </w:rPr>
      </w:pPr>
      <w:bookmarkStart w:id="67" w:name="_Ref196577220"/>
      <w:r>
        <w:rPr>
          <w:color w:val="000000" w:themeColor="text1"/>
          <w:sz w:val="21"/>
          <w:szCs w:val="21"/>
          <w14:textFill>
            <w14:solidFill>
              <w14:schemeClr w14:val="tx1"/>
            </w14:solidFill>
          </w14:textFill>
        </w:rPr>
        <w:t xml:space="preserve">Xie Y, Yi J, Shao J, et al. Defending ChatGPT against jailbreak attack via self-reminders[J]. </w:t>
      </w:r>
      <w:r>
        <w:rPr>
          <w:rStyle w:val="33"/>
          <w:i w:val="0"/>
          <w:iCs w:val="0"/>
          <w:color w:val="000000" w:themeColor="text1"/>
          <w:sz w:val="21"/>
          <w:szCs w:val="21"/>
          <w14:textFill>
            <w14:solidFill>
              <w14:schemeClr w14:val="tx1"/>
            </w14:solidFill>
          </w14:textFill>
        </w:rPr>
        <w:t>Nature Machine Intelligence</w:t>
      </w:r>
      <w:r>
        <w:rPr>
          <w:color w:val="000000" w:themeColor="text1"/>
          <w:sz w:val="21"/>
          <w:szCs w:val="21"/>
          <w14:textFill>
            <w14:solidFill>
              <w14:schemeClr w14:val="tx1"/>
            </w14:solidFill>
          </w14:textFill>
        </w:rPr>
        <w:t>, 2023, 5: 1486–1496.</w:t>
      </w:r>
      <w:bookmarkEnd w:id="67"/>
    </w:p>
    <w:p w14:paraId="24617BE4">
      <w:pPr>
        <w:pStyle w:val="43"/>
        <w:numPr>
          <w:ilvl w:val="0"/>
          <w:numId w:val="2"/>
        </w:numPr>
        <w:snapToGrid w:val="0"/>
        <w:ind w:firstLineChars="0"/>
        <w:rPr>
          <w:rFonts w:cs="Times New Roman"/>
          <w:sz w:val="21"/>
          <w:szCs w:val="21"/>
        </w:rPr>
      </w:pPr>
      <w:bookmarkStart w:id="68" w:name="_Ref195388383"/>
      <w:r>
        <w:rPr>
          <w:rFonts w:cs="Times New Roman"/>
          <w:sz w:val="21"/>
          <w:szCs w:val="21"/>
        </w:rPr>
        <w:t>Ouyang L, Wu J, Jiang X, et al. Training language models to follow instructions with human feedback[J]. Advances in neural information processing systems, 2022, 35: 27730-27744.</w:t>
      </w:r>
      <w:bookmarkEnd w:id="68"/>
    </w:p>
    <w:p w14:paraId="26C7A2BE">
      <w:pPr>
        <w:pStyle w:val="43"/>
        <w:numPr>
          <w:ilvl w:val="0"/>
          <w:numId w:val="2"/>
        </w:numPr>
        <w:snapToGrid w:val="0"/>
        <w:ind w:firstLineChars="0"/>
        <w:rPr>
          <w:rFonts w:cs="Times New Roman"/>
          <w:sz w:val="21"/>
          <w:szCs w:val="21"/>
        </w:rPr>
      </w:pPr>
      <w:bookmarkStart w:id="69" w:name="_Ref195388387"/>
      <w:r>
        <w:rPr>
          <w:rFonts w:cs="Times New Roman"/>
          <w:sz w:val="21"/>
          <w:szCs w:val="21"/>
        </w:rPr>
        <w:t>Bai Y, Jones A, Ndousse K, et al. Training a helpful and harmless assistant with reinforcement learning from human feedback[J]. arXiv preprint arXiv:2204.05862, 2022.</w:t>
      </w:r>
      <w:bookmarkEnd w:id="69"/>
    </w:p>
    <w:p w14:paraId="784B0B7E">
      <w:pPr>
        <w:pStyle w:val="43"/>
        <w:numPr>
          <w:ilvl w:val="0"/>
          <w:numId w:val="2"/>
        </w:numPr>
        <w:snapToGrid w:val="0"/>
        <w:ind w:firstLineChars="0"/>
        <w:rPr>
          <w:rFonts w:cs="Times New Roman"/>
          <w:sz w:val="21"/>
          <w:szCs w:val="21"/>
        </w:rPr>
      </w:pPr>
      <w:bookmarkStart w:id="70" w:name="_Ref195388695"/>
      <w:r>
        <w:rPr>
          <w:rFonts w:cs="Times New Roman"/>
          <w:sz w:val="21"/>
          <w:szCs w:val="21"/>
        </w:rPr>
        <w:t>Liu Y, Deng G, Xu Z, et al. Jailbreaking chatgpt via prompt engineering: An empirical study[J]. arXiv preprint arXiv:2305.13860, 2023.</w:t>
      </w:r>
      <w:bookmarkEnd w:id="70"/>
    </w:p>
    <w:p w14:paraId="7B36358A">
      <w:pPr>
        <w:pStyle w:val="43"/>
        <w:numPr>
          <w:ilvl w:val="0"/>
          <w:numId w:val="2"/>
        </w:numPr>
        <w:snapToGrid w:val="0"/>
        <w:ind w:firstLineChars="0"/>
        <w:rPr>
          <w:rFonts w:cs="Times New Roman"/>
          <w:sz w:val="21"/>
          <w:szCs w:val="21"/>
        </w:rPr>
      </w:pPr>
      <w:bookmarkStart w:id="71" w:name="_Ref195388696"/>
      <w:r>
        <w:rPr>
          <w:rFonts w:cs="Times New Roman"/>
          <w:sz w:val="21"/>
          <w:szCs w:val="21"/>
        </w:rPr>
        <w:t>Liu Y, Jia Y, Geng R, et al. Formalizing and benchmarking prompt injection attacks and defenses[C]//33rd USENIX Security Symposium (USENIX Security 24). 2024: 1831-1847.</w:t>
      </w:r>
      <w:bookmarkEnd w:id="71"/>
    </w:p>
    <w:p w14:paraId="21361C1C">
      <w:pPr>
        <w:pStyle w:val="43"/>
        <w:numPr>
          <w:ilvl w:val="0"/>
          <w:numId w:val="2"/>
        </w:numPr>
        <w:snapToGrid w:val="0"/>
        <w:ind w:firstLineChars="0"/>
        <w:rPr>
          <w:rFonts w:cs="Times New Roman"/>
          <w:sz w:val="21"/>
          <w:szCs w:val="21"/>
        </w:rPr>
      </w:pPr>
      <w:bookmarkStart w:id="72" w:name="_Ref195388945"/>
      <w:r>
        <w:rPr>
          <w:rFonts w:cs="Times New Roman"/>
          <w:sz w:val="21"/>
          <w:szCs w:val="21"/>
        </w:rPr>
        <w:t>Qi X, Zeng Y, Xie T, et al. Fine-tuning aligned language models compromises safety, even when users do not intend to![J]. arXiv preprint arXiv:2310.03693, 2023.</w:t>
      </w:r>
      <w:bookmarkEnd w:id="72"/>
    </w:p>
    <w:p w14:paraId="5848A31F">
      <w:pPr>
        <w:pStyle w:val="43"/>
        <w:numPr>
          <w:ilvl w:val="0"/>
          <w:numId w:val="2"/>
        </w:numPr>
        <w:snapToGrid w:val="0"/>
        <w:ind w:firstLineChars="0"/>
        <w:rPr>
          <w:rFonts w:cs="Times New Roman"/>
          <w:sz w:val="21"/>
          <w:szCs w:val="21"/>
        </w:rPr>
      </w:pPr>
      <w:bookmarkStart w:id="73" w:name="_Ref195437353"/>
      <w:r>
        <w:rPr>
          <w:rFonts w:cs="Times New Roman"/>
          <w:sz w:val="21"/>
          <w:szCs w:val="21"/>
        </w:rPr>
        <w:t>Jain N, Schwarzschild A, Wen Y, et al. Baseline defenses for adversarial attacks against aligned language models[J]. arXiv preprint arXiv:2309.00614, 2023.</w:t>
      </w:r>
      <w:bookmarkEnd w:id="73"/>
    </w:p>
    <w:p w14:paraId="6429BEBB">
      <w:pPr>
        <w:pStyle w:val="43"/>
        <w:numPr>
          <w:ilvl w:val="0"/>
          <w:numId w:val="2"/>
        </w:numPr>
        <w:snapToGrid w:val="0"/>
        <w:ind w:firstLineChars="0"/>
        <w:rPr>
          <w:rFonts w:cs="Times New Roman"/>
          <w:sz w:val="21"/>
          <w:szCs w:val="21"/>
        </w:rPr>
      </w:pPr>
      <w:bookmarkStart w:id="74" w:name="_Ref195437744"/>
      <w:r>
        <w:rPr>
          <w:rFonts w:cs="Times New Roman"/>
          <w:sz w:val="21"/>
          <w:szCs w:val="21"/>
        </w:rPr>
        <w:t>Alon G, Kamfonas M. Detecting language model attacks with perplexity[J]. arXiv preprint arXiv:2308.14132, 2023.</w:t>
      </w:r>
      <w:bookmarkEnd w:id="74"/>
    </w:p>
    <w:p w14:paraId="5B807748">
      <w:pPr>
        <w:pStyle w:val="43"/>
        <w:numPr>
          <w:ilvl w:val="0"/>
          <w:numId w:val="2"/>
        </w:numPr>
        <w:snapToGrid w:val="0"/>
        <w:ind w:firstLineChars="0"/>
        <w:rPr>
          <w:rFonts w:cs="Times New Roman"/>
          <w:sz w:val="21"/>
          <w:szCs w:val="21"/>
        </w:rPr>
      </w:pPr>
      <w:bookmarkStart w:id="75" w:name="_Ref195451327"/>
      <w:r>
        <w:rPr>
          <w:rFonts w:cs="Times New Roman"/>
          <w:sz w:val="21"/>
          <w:szCs w:val="21"/>
        </w:rPr>
        <w:t>Liu S, Cui S, Bu H, et al. JailBench: A Comprehensive Chinese Security Assessment Benchmark for Large Language Models[J]. arXiv preprint arXiv:2502.18935, 2025.</w:t>
      </w:r>
      <w:bookmarkEnd w:id="75"/>
    </w:p>
    <w:p w14:paraId="0EF35DF7">
      <w:pPr>
        <w:pStyle w:val="43"/>
        <w:numPr>
          <w:ilvl w:val="0"/>
          <w:numId w:val="2"/>
        </w:numPr>
        <w:ind w:firstLineChars="0"/>
        <w:rPr>
          <w:rFonts w:cs="Times New Roman"/>
          <w:sz w:val="21"/>
          <w:szCs w:val="21"/>
        </w:rPr>
      </w:pPr>
      <w:bookmarkStart w:id="76" w:name="_Ref196258178"/>
      <w:bookmarkStart w:id="77" w:name="_Ref195469376"/>
      <w:r>
        <w:rPr>
          <w:rFonts w:cs="Times New Roman"/>
          <w:color w:val="222222"/>
          <w:sz w:val="21"/>
          <w:szCs w:val="21"/>
          <w:shd w:val="clear" w:color="auto" w:fill="FFFFFF"/>
        </w:rPr>
        <w:t>Liu X, Xu N, Chen M, et al. Autodan: Generating stealthy jailbreak prompts on aligned large language models[J]. arXiv preprint arXiv:2310.04451, 2023.</w:t>
      </w:r>
      <w:bookmarkEnd w:id="76"/>
    </w:p>
    <w:p w14:paraId="07C19181">
      <w:pPr>
        <w:pStyle w:val="43"/>
        <w:numPr>
          <w:ilvl w:val="0"/>
          <w:numId w:val="2"/>
        </w:numPr>
        <w:ind w:firstLineChars="0"/>
        <w:rPr>
          <w:rFonts w:cs="Times New Roman"/>
          <w:sz w:val="21"/>
          <w:szCs w:val="21"/>
        </w:rPr>
      </w:pPr>
      <w:bookmarkStart w:id="78" w:name="_Ref196258242"/>
      <w:r>
        <w:rPr>
          <w:rFonts w:cs="Times New Roman"/>
          <w:sz w:val="21"/>
          <w:szCs w:val="21"/>
        </w:rPr>
        <w:t>Wang H, Li H, Huang M, et al. Asetf: A novel method for jailbreak attack on llms through translate suffix embeddings[J]. arXiv preprint arXiv:2402.16006, 2024.</w:t>
      </w:r>
      <w:bookmarkEnd w:id="78"/>
    </w:p>
    <w:p w14:paraId="3676D149">
      <w:pPr>
        <w:pStyle w:val="43"/>
        <w:numPr>
          <w:ilvl w:val="0"/>
          <w:numId w:val="2"/>
        </w:numPr>
        <w:ind w:firstLineChars="0"/>
        <w:rPr>
          <w:rFonts w:cs="Times New Roman"/>
          <w:sz w:val="21"/>
          <w:szCs w:val="21"/>
        </w:rPr>
      </w:pPr>
      <w:bookmarkStart w:id="79" w:name="_Ref196259004"/>
      <w:r>
        <w:rPr>
          <w:rFonts w:cs="Times New Roman"/>
          <w:sz w:val="21"/>
          <w:szCs w:val="21"/>
        </w:rPr>
        <w:t>Kiela D, Firooz H, Mohan A, et al. The hateful memes challenge: Detecting hate speech in multimodal memes[J]. Advances in neural information processing systems, 2020, 33: 2611-2624.</w:t>
      </w:r>
      <w:bookmarkEnd w:id="79"/>
    </w:p>
    <w:p w14:paraId="19B56EDF">
      <w:pPr>
        <w:pStyle w:val="43"/>
        <w:numPr>
          <w:ilvl w:val="0"/>
          <w:numId w:val="2"/>
        </w:numPr>
        <w:ind w:firstLineChars="0"/>
        <w:rPr>
          <w:rFonts w:cs="Times New Roman"/>
          <w:sz w:val="21"/>
          <w:szCs w:val="21"/>
        </w:rPr>
      </w:pPr>
      <w:bookmarkStart w:id="80" w:name="_Ref196259008"/>
      <w:r>
        <w:rPr>
          <w:rFonts w:cs="Times New Roman"/>
          <w:sz w:val="21"/>
          <w:szCs w:val="21"/>
        </w:rPr>
        <w:t>Hada R, Sudhir S, Mishra P, et al. Ruddit: Norms of offensiveness for English Reddit comments[J]. arXiv preprint arXiv:2106.05664, 2021.</w:t>
      </w:r>
      <w:bookmarkEnd w:id="80"/>
    </w:p>
    <w:p w14:paraId="32F02C2B">
      <w:pPr>
        <w:pStyle w:val="43"/>
        <w:numPr>
          <w:ilvl w:val="0"/>
          <w:numId w:val="2"/>
        </w:numPr>
        <w:ind w:firstLineChars="0"/>
        <w:rPr>
          <w:rFonts w:cs="Times New Roman"/>
          <w:sz w:val="21"/>
          <w:szCs w:val="21"/>
        </w:rPr>
      </w:pPr>
      <w:bookmarkStart w:id="81" w:name="_Ref196259682"/>
      <w:r>
        <w:rPr>
          <w:rFonts w:cs="Times New Roman"/>
          <w:sz w:val="21"/>
          <w:szCs w:val="21"/>
        </w:rPr>
        <w:t>Zampieri M, Malmasi S, Nakov P, et al. Semeval-2019 task 6: Identifying and categorizing offensive language in social media (offenseval)[J]. arXiv preprint arXiv:1903.08983, 2019.</w:t>
      </w:r>
      <w:bookmarkEnd w:id="81"/>
    </w:p>
    <w:p w14:paraId="24F301EB">
      <w:pPr>
        <w:pStyle w:val="43"/>
        <w:numPr>
          <w:ilvl w:val="0"/>
          <w:numId w:val="2"/>
        </w:numPr>
        <w:ind w:firstLineChars="0"/>
        <w:rPr>
          <w:rFonts w:cs="Times New Roman"/>
          <w:sz w:val="21"/>
          <w:szCs w:val="21"/>
        </w:rPr>
      </w:pPr>
      <w:bookmarkStart w:id="82" w:name="_Ref196259691"/>
      <w:r>
        <w:rPr>
          <w:rFonts w:cs="Times New Roman"/>
          <w:sz w:val="21"/>
          <w:szCs w:val="21"/>
        </w:rPr>
        <w:t>Valerio Basile, Cristina Bosco, Elisabetta Fersini, et al. SemEval-2019 Task 5: Multilingual Detection of Hate Speech Against Immigrants and Women in Twitter[C]// Proceedings of the 13th International Workshop on Semantic Evaluation. Minneapolis, Minnesota, USA: Association for Computational Linguistics, 2019: 54–63.</w:t>
      </w:r>
      <w:bookmarkEnd w:id="82"/>
    </w:p>
    <w:p w14:paraId="043F722F">
      <w:pPr>
        <w:pStyle w:val="43"/>
        <w:numPr>
          <w:ilvl w:val="0"/>
          <w:numId w:val="2"/>
        </w:numPr>
        <w:ind w:firstLineChars="0"/>
        <w:rPr>
          <w:rFonts w:cs="Times New Roman"/>
          <w:sz w:val="21"/>
          <w:szCs w:val="21"/>
        </w:rPr>
      </w:pPr>
      <w:bookmarkStart w:id="83" w:name="_Ref196298554"/>
      <w:r>
        <w:rPr>
          <w:rFonts w:cs="Times New Roman"/>
          <w:sz w:val="21"/>
          <w:szCs w:val="21"/>
        </w:rPr>
        <w:t>Markov T, Zhang C, Agarwal S, et al. A holistic approach to undesired content detection in the real world[C]//Proceedings of the AAAI Conference on Artificial Intelligence. 2023, 37(12): 15009-15018.</w:t>
      </w:r>
      <w:bookmarkEnd w:id="83"/>
    </w:p>
    <w:p w14:paraId="100058DC">
      <w:pPr>
        <w:pStyle w:val="43"/>
        <w:numPr>
          <w:ilvl w:val="0"/>
          <w:numId w:val="2"/>
        </w:numPr>
        <w:ind w:firstLineChars="0"/>
        <w:rPr>
          <w:rFonts w:cs="Times New Roman"/>
          <w:sz w:val="21"/>
          <w:szCs w:val="21"/>
        </w:rPr>
      </w:pPr>
      <w:bookmarkStart w:id="84" w:name="_Ref196298717"/>
      <w:r>
        <w:rPr>
          <w:rFonts w:cs="Times New Roman"/>
          <w:sz w:val="21"/>
          <w:szCs w:val="21"/>
        </w:rPr>
        <w:t>Xie Y, Fang M, Pi R, et al. GradSafe: Detecting Jailbreak Prompts for LLMs via Safety-Critical Gradient Analysis[J]. arXiv preprint arXiv:2402.13494, 2024.</w:t>
      </w:r>
      <w:bookmarkEnd w:id="84"/>
    </w:p>
    <w:p w14:paraId="33F897D0">
      <w:pPr>
        <w:pStyle w:val="43"/>
        <w:numPr>
          <w:ilvl w:val="0"/>
          <w:numId w:val="2"/>
        </w:numPr>
        <w:ind w:firstLineChars="0"/>
        <w:rPr>
          <w:rFonts w:cs="Times New Roman"/>
          <w:sz w:val="21"/>
          <w:szCs w:val="21"/>
        </w:rPr>
      </w:pPr>
      <w:bookmarkStart w:id="85" w:name="_Ref196299998"/>
      <w:r>
        <w:rPr>
          <w:rFonts w:cs="Times New Roman"/>
          <w:sz w:val="21"/>
          <w:szCs w:val="21"/>
        </w:rPr>
        <w:t>Houlsby N, Giurgiu A, Jastrzebski S, et al. Parameter-efficient transfer learning for NLP[C]//International conference on machine learning. PMLR, 2019: 2790-2799.</w:t>
      </w:r>
      <w:bookmarkEnd w:id="85"/>
    </w:p>
    <w:p w14:paraId="17654FFE">
      <w:pPr>
        <w:pStyle w:val="43"/>
        <w:numPr>
          <w:ilvl w:val="0"/>
          <w:numId w:val="2"/>
        </w:numPr>
        <w:ind w:firstLineChars="0"/>
        <w:rPr>
          <w:rFonts w:cs="Times New Roman"/>
          <w:sz w:val="21"/>
          <w:szCs w:val="21"/>
        </w:rPr>
      </w:pPr>
      <w:bookmarkStart w:id="86" w:name="_Ref196299064"/>
      <w:r>
        <w:rPr>
          <w:rFonts w:cs="Times New Roman"/>
          <w:sz w:val="21"/>
          <w:szCs w:val="21"/>
        </w:rPr>
        <w:t>Vaswani A, Shazeer N, Parmar N, et al. Attention is all you need[J]. Advances in neural information processing systems, 2017, 30.</w:t>
      </w:r>
      <w:bookmarkEnd w:id="86"/>
    </w:p>
    <w:p w14:paraId="15D6EE24">
      <w:pPr>
        <w:pStyle w:val="43"/>
        <w:numPr>
          <w:ilvl w:val="0"/>
          <w:numId w:val="2"/>
        </w:numPr>
        <w:ind w:firstLineChars="0"/>
        <w:rPr>
          <w:rFonts w:cs="Times New Roman"/>
          <w:sz w:val="21"/>
          <w:szCs w:val="21"/>
        </w:rPr>
      </w:pPr>
      <w:bookmarkStart w:id="87" w:name="_Ref196299111"/>
      <w:r>
        <w:rPr>
          <w:rFonts w:cs="Times New Roman"/>
          <w:sz w:val="21"/>
          <w:szCs w:val="21"/>
        </w:rPr>
        <w:t>Wang A, Singh A, Michael J, et al. GLUE: A multi-task benchmark and analysis platform for natural language understanding[J]. arXiv preprint arXiv:1804.07461, 2018.</w:t>
      </w:r>
      <w:bookmarkEnd w:id="87"/>
    </w:p>
    <w:p w14:paraId="39B134B7">
      <w:pPr>
        <w:pStyle w:val="43"/>
        <w:numPr>
          <w:ilvl w:val="0"/>
          <w:numId w:val="2"/>
        </w:numPr>
        <w:ind w:firstLineChars="0"/>
        <w:rPr>
          <w:rFonts w:cs="Times New Roman"/>
          <w:sz w:val="21"/>
          <w:szCs w:val="21"/>
        </w:rPr>
      </w:pPr>
      <w:bookmarkStart w:id="88" w:name="_Ref196300013"/>
      <w:r>
        <w:rPr>
          <w:rFonts w:cs="Times New Roman"/>
          <w:sz w:val="21"/>
          <w:szCs w:val="21"/>
        </w:rPr>
        <w:t>Pfeiffer J, Kamath A, Rücklé A, et al. Adapterfusion: Non-destructive task composition for transfer learning[J]. arXiv preprint arXiv:2005.00247, 2020.</w:t>
      </w:r>
      <w:bookmarkEnd w:id="88"/>
    </w:p>
    <w:p w14:paraId="29BFDA23">
      <w:pPr>
        <w:pStyle w:val="43"/>
        <w:numPr>
          <w:ilvl w:val="0"/>
          <w:numId w:val="2"/>
        </w:numPr>
        <w:ind w:firstLineChars="0"/>
        <w:rPr>
          <w:rFonts w:cs="Times New Roman"/>
          <w:sz w:val="21"/>
          <w:szCs w:val="21"/>
        </w:rPr>
      </w:pPr>
      <w:bookmarkStart w:id="89" w:name="_Ref196300051"/>
      <w:r>
        <w:rPr>
          <w:rFonts w:cs="Times New Roman"/>
          <w:sz w:val="21"/>
          <w:szCs w:val="21"/>
        </w:rPr>
        <w:t>Karimi Mahabadi R, Henderson J, Ruder S. Compacter: Efficient low-rank hypercomplex adapter layers[J]. Advances in Neural Information Processing Systems, 2021, 34: 1022-1035.</w:t>
      </w:r>
      <w:bookmarkEnd w:id="89"/>
    </w:p>
    <w:p w14:paraId="2E73BC47">
      <w:pPr>
        <w:pStyle w:val="43"/>
        <w:numPr>
          <w:ilvl w:val="0"/>
          <w:numId w:val="2"/>
        </w:numPr>
        <w:ind w:firstLineChars="0"/>
        <w:rPr>
          <w:rFonts w:cs="Times New Roman"/>
          <w:sz w:val="21"/>
          <w:szCs w:val="21"/>
        </w:rPr>
      </w:pPr>
      <w:bookmarkStart w:id="90" w:name="_Ref196299235"/>
      <w:r>
        <w:rPr>
          <w:rFonts w:cs="Times New Roman"/>
          <w:sz w:val="21"/>
          <w:szCs w:val="21"/>
        </w:rPr>
        <w:t>Sarlin P E, DeTone D, Malisiewicz T, et al. Superglue: Learning feature matching with graph neural networks[C]//Proceedings of the IEEE/CVF conference on computer vision and pattern recognition. 2020: 4938-4947.</w:t>
      </w:r>
      <w:bookmarkEnd w:id="90"/>
    </w:p>
    <w:p w14:paraId="0C315FAC">
      <w:pPr>
        <w:pStyle w:val="43"/>
        <w:numPr>
          <w:ilvl w:val="0"/>
          <w:numId w:val="2"/>
        </w:numPr>
        <w:ind w:firstLineChars="0"/>
        <w:rPr>
          <w:rFonts w:cs="Times New Roman"/>
          <w:sz w:val="21"/>
          <w:szCs w:val="21"/>
        </w:rPr>
      </w:pPr>
      <w:bookmarkStart w:id="91" w:name="_Ref196300082"/>
      <w:r>
        <w:rPr>
          <w:rFonts w:cs="Times New Roman"/>
          <w:sz w:val="21"/>
          <w:szCs w:val="21"/>
        </w:rPr>
        <w:t>Li X L, Liang P. Prefix-tuning: Optimizing continuous prompts for generation[J]. arXiv preprint arXiv:2101.00190, 2021.</w:t>
      </w:r>
      <w:bookmarkEnd w:id="91"/>
    </w:p>
    <w:p w14:paraId="0D54563D">
      <w:pPr>
        <w:pStyle w:val="43"/>
        <w:numPr>
          <w:ilvl w:val="0"/>
          <w:numId w:val="2"/>
        </w:numPr>
        <w:ind w:firstLineChars="0"/>
        <w:rPr>
          <w:rFonts w:cs="Times New Roman"/>
          <w:sz w:val="21"/>
          <w:szCs w:val="21"/>
        </w:rPr>
      </w:pPr>
      <w:bookmarkStart w:id="92" w:name="_Ref196300102"/>
      <w:r>
        <w:rPr>
          <w:rFonts w:cs="Times New Roman"/>
          <w:sz w:val="21"/>
          <w:szCs w:val="21"/>
        </w:rPr>
        <w:t>Lester B, Al-Rfou R, Constant N. The power of scale for parameter-efficient prompt tuning[J]. arXiv preprint arXiv:2104.08691, 2021.</w:t>
      </w:r>
      <w:bookmarkEnd w:id="92"/>
    </w:p>
    <w:p w14:paraId="2A250A01">
      <w:pPr>
        <w:pStyle w:val="43"/>
        <w:numPr>
          <w:ilvl w:val="0"/>
          <w:numId w:val="2"/>
        </w:numPr>
        <w:ind w:firstLineChars="0"/>
        <w:rPr>
          <w:rFonts w:cs="Times New Roman"/>
          <w:sz w:val="21"/>
          <w:szCs w:val="21"/>
        </w:rPr>
      </w:pPr>
      <w:bookmarkStart w:id="93" w:name="_Ref196300126"/>
      <w:r>
        <w:rPr>
          <w:rFonts w:cs="Times New Roman"/>
          <w:sz w:val="21"/>
          <w:szCs w:val="21"/>
        </w:rPr>
        <w:t>Liu X, Ji K, Fu Y, et al. P-tuning v2: Prompt tuning can be comparable to fine-tuning universally across scales and tasks[J]. arXiv preprint arXiv:2110.07602, 2021.</w:t>
      </w:r>
      <w:bookmarkEnd w:id="93"/>
    </w:p>
    <w:p w14:paraId="3199CDA6">
      <w:pPr>
        <w:pStyle w:val="43"/>
        <w:numPr>
          <w:ilvl w:val="0"/>
          <w:numId w:val="2"/>
        </w:numPr>
        <w:ind w:firstLineChars="0"/>
        <w:rPr>
          <w:rFonts w:cs="Times New Roman"/>
          <w:sz w:val="21"/>
          <w:szCs w:val="21"/>
        </w:rPr>
      </w:pPr>
      <w:bookmarkStart w:id="94" w:name="_Ref196300136"/>
      <w:r>
        <w:rPr>
          <w:rFonts w:cs="Times New Roman"/>
          <w:sz w:val="21"/>
          <w:szCs w:val="21"/>
        </w:rPr>
        <w:t>Zaken E B, Ravfogel S, Goldberg Y. Bitfit: Simple parameter-efficient fine-tuning for transformer-based masked language-models[J]. arXiv preprint arXiv:2106.10199, 2021.</w:t>
      </w:r>
      <w:bookmarkEnd w:id="94"/>
    </w:p>
    <w:p w14:paraId="5C21CCD3">
      <w:pPr>
        <w:pStyle w:val="43"/>
        <w:numPr>
          <w:ilvl w:val="0"/>
          <w:numId w:val="2"/>
        </w:numPr>
        <w:ind w:firstLineChars="0"/>
        <w:rPr>
          <w:rFonts w:cs="Times New Roman"/>
          <w:sz w:val="21"/>
          <w:szCs w:val="21"/>
        </w:rPr>
      </w:pPr>
      <w:bookmarkStart w:id="95" w:name="_Ref196257757"/>
      <w:r>
        <w:rPr>
          <w:rFonts w:cs="Times New Roman"/>
          <w:sz w:val="21"/>
          <w:szCs w:val="21"/>
        </w:rPr>
        <w:t>Hu E J, Shen Y, Wallis P, et al. Lora: Low-rank adaptation of large language models[J]. ICLR, 2022, 1(2): 3.</w:t>
      </w:r>
      <w:bookmarkEnd w:id="95"/>
    </w:p>
    <w:p w14:paraId="2DCB8185">
      <w:pPr>
        <w:pStyle w:val="43"/>
        <w:numPr>
          <w:ilvl w:val="0"/>
          <w:numId w:val="2"/>
        </w:numPr>
        <w:ind w:firstLineChars="0"/>
        <w:rPr>
          <w:rFonts w:cs="Times New Roman"/>
          <w:sz w:val="21"/>
          <w:szCs w:val="21"/>
        </w:rPr>
      </w:pPr>
      <w:bookmarkStart w:id="96" w:name="_Ref196300194"/>
      <w:r>
        <w:rPr>
          <w:rFonts w:cs="Times New Roman"/>
          <w:sz w:val="21"/>
          <w:szCs w:val="21"/>
        </w:rPr>
        <w:t>Liu Y, Ott M, Goyal N, et al. Roberta: A robustly optimized bert pretraining approach[J]. arXiv preprint arXiv:1907.11692, 2019.</w:t>
      </w:r>
      <w:bookmarkEnd w:id="96"/>
    </w:p>
    <w:p w14:paraId="793A08CA">
      <w:pPr>
        <w:pStyle w:val="43"/>
        <w:numPr>
          <w:ilvl w:val="0"/>
          <w:numId w:val="2"/>
        </w:numPr>
        <w:ind w:firstLineChars="0"/>
        <w:rPr>
          <w:rFonts w:cs="Times New Roman"/>
          <w:sz w:val="21"/>
          <w:szCs w:val="21"/>
        </w:rPr>
      </w:pPr>
      <w:bookmarkStart w:id="97" w:name="_Ref196300260"/>
      <w:r>
        <w:rPr>
          <w:rFonts w:cs="Times New Roman"/>
          <w:sz w:val="21"/>
          <w:szCs w:val="21"/>
        </w:rPr>
        <w:t>Radford A, Wu J, Child R, et al. Language models are unsupervised multitask learners[J]. OpenAI blog, 2019, 1(8): 9.</w:t>
      </w:r>
      <w:bookmarkEnd w:id="97"/>
    </w:p>
    <w:p w14:paraId="743896B9">
      <w:pPr>
        <w:pStyle w:val="43"/>
        <w:numPr>
          <w:ilvl w:val="0"/>
          <w:numId w:val="2"/>
        </w:numPr>
        <w:ind w:firstLineChars="0"/>
        <w:rPr>
          <w:rFonts w:cs="Times New Roman"/>
          <w:sz w:val="21"/>
          <w:szCs w:val="21"/>
        </w:rPr>
      </w:pPr>
      <w:bookmarkStart w:id="98" w:name="_Ref196300375"/>
      <w:r>
        <w:rPr>
          <w:rFonts w:cs="Times New Roman"/>
          <w:sz w:val="21"/>
          <w:szCs w:val="21"/>
        </w:rPr>
        <w:t>Sanh V, Webson A, Raffel C, et al. Multitask prompted training enables zero-shot task generalization[J]. arXiv preprint arXiv:2110.08207, 2021.</w:t>
      </w:r>
      <w:bookmarkEnd w:id="98"/>
    </w:p>
    <w:p w14:paraId="57ABCAAB">
      <w:pPr>
        <w:pStyle w:val="43"/>
        <w:numPr>
          <w:ilvl w:val="0"/>
          <w:numId w:val="2"/>
        </w:numPr>
        <w:ind w:firstLineChars="0"/>
        <w:rPr>
          <w:rFonts w:cs="Times New Roman"/>
          <w:sz w:val="21"/>
          <w:szCs w:val="21"/>
        </w:rPr>
      </w:pPr>
      <w:bookmarkStart w:id="99" w:name="_Ref196300454"/>
      <w:r>
        <w:rPr>
          <w:rFonts w:cs="Times New Roman"/>
          <w:sz w:val="21"/>
          <w:szCs w:val="21"/>
        </w:rPr>
        <w:t>Wei J, Bosma M, Zhao V Y, et al. Finetuned language models are zero-shot learners[J]. arXiv preprint arXiv:2109.01652, 2021.</w:t>
      </w:r>
      <w:bookmarkEnd w:id="99"/>
    </w:p>
    <w:p w14:paraId="1F27DA8F">
      <w:pPr>
        <w:pStyle w:val="43"/>
        <w:numPr>
          <w:ilvl w:val="0"/>
          <w:numId w:val="2"/>
        </w:numPr>
        <w:ind w:firstLineChars="0"/>
        <w:rPr>
          <w:rFonts w:cs="Times New Roman"/>
          <w:sz w:val="21"/>
          <w:szCs w:val="21"/>
        </w:rPr>
      </w:pPr>
      <w:bookmarkStart w:id="100" w:name="_Ref196300509"/>
      <w:r>
        <w:rPr>
          <w:rFonts w:cs="Times New Roman"/>
          <w:sz w:val="21"/>
          <w:szCs w:val="21"/>
        </w:rPr>
        <w:t>Wang Y, Mishra S, Alipoormolabashi P, et al. Super-naturalinstructions: Generalization via declarative instructions on 1600+ nlp tasks[J]. arXiv preprint arXiv:2204.07705, 2022.</w:t>
      </w:r>
      <w:bookmarkEnd w:id="100"/>
    </w:p>
    <w:p w14:paraId="03CE64A8">
      <w:pPr>
        <w:pStyle w:val="43"/>
        <w:numPr>
          <w:ilvl w:val="0"/>
          <w:numId w:val="2"/>
        </w:numPr>
        <w:ind w:firstLineChars="0"/>
        <w:rPr>
          <w:rFonts w:cs="Times New Roman"/>
          <w:sz w:val="21"/>
          <w:szCs w:val="21"/>
        </w:rPr>
      </w:pPr>
      <w:bookmarkStart w:id="101" w:name="_Ref196257668"/>
      <w:r>
        <w:rPr>
          <w:rFonts w:cs="Times New Roman"/>
          <w:sz w:val="21"/>
          <w:szCs w:val="21"/>
        </w:rPr>
        <w:t>Yang A, Yang B, Hui B, et al. Qwen2 technical report[J]. arXiv preprint arXiv:2407.10671, 2024.</w:t>
      </w:r>
      <w:bookmarkEnd w:id="101"/>
    </w:p>
    <w:p w14:paraId="53E392FD">
      <w:pPr>
        <w:pStyle w:val="43"/>
        <w:numPr>
          <w:ilvl w:val="0"/>
          <w:numId w:val="2"/>
        </w:numPr>
        <w:ind w:firstLineChars="0"/>
        <w:rPr>
          <w:rFonts w:cs="Times New Roman"/>
          <w:sz w:val="21"/>
          <w:szCs w:val="21"/>
        </w:rPr>
      </w:pPr>
      <w:bookmarkStart w:id="102" w:name="_Ref196927293"/>
      <w:r>
        <w:rPr>
          <w:rFonts w:cs="Times New Roman"/>
          <w:color w:val="222222"/>
          <w:sz w:val="21"/>
          <w:szCs w:val="21"/>
          <w:shd w:val="clear" w:color="auto" w:fill="FFFFFF"/>
        </w:rPr>
        <w:t>Ba J L, Kiros J R, Hinton G E. Layer normalization[J]. arXiv preprint arXiv:1607.06450, 2016.</w:t>
      </w:r>
      <w:bookmarkEnd w:id="102"/>
    </w:p>
    <w:p w14:paraId="0825DB0B">
      <w:pPr>
        <w:pStyle w:val="43"/>
        <w:numPr>
          <w:ilvl w:val="0"/>
          <w:numId w:val="2"/>
        </w:numPr>
        <w:ind w:firstLineChars="0"/>
        <w:rPr>
          <w:rFonts w:cs="Times New Roman"/>
          <w:sz w:val="21"/>
          <w:szCs w:val="21"/>
        </w:rPr>
      </w:pPr>
      <w:bookmarkStart w:id="103" w:name="_Ref196927302"/>
      <w:r>
        <w:rPr>
          <w:rFonts w:cs="Times New Roman"/>
          <w:color w:val="222222"/>
          <w:sz w:val="21"/>
          <w:szCs w:val="21"/>
          <w:shd w:val="clear" w:color="auto" w:fill="FFFFFF"/>
        </w:rPr>
        <w:t>Su J, Ahmed M, Lu Y, et al. Roformer: Enhanced transformer with rotary position embedding[J]. Neurocomputing, 2024, 568: 127063.</w:t>
      </w:r>
      <w:bookmarkEnd w:id="103"/>
    </w:p>
    <w:p w14:paraId="335185C1">
      <w:pPr>
        <w:pStyle w:val="43"/>
        <w:numPr>
          <w:ilvl w:val="0"/>
          <w:numId w:val="2"/>
        </w:numPr>
        <w:ind w:firstLineChars="0"/>
        <w:rPr>
          <w:rFonts w:cs="Times New Roman"/>
          <w:sz w:val="21"/>
          <w:szCs w:val="21"/>
        </w:rPr>
      </w:pPr>
      <w:bookmarkStart w:id="104" w:name="_Ref196927424"/>
      <w:r>
        <w:rPr>
          <w:rFonts w:cs="Times New Roman"/>
          <w:color w:val="222222"/>
          <w:sz w:val="21"/>
          <w:szCs w:val="21"/>
          <w:shd w:val="clear" w:color="auto" w:fill="FFFFFF"/>
        </w:rPr>
        <w:t>Hendrycks D, Gimpel K. Gaussian error linear units (gelus)[J]. arXiv preprint arXiv:1606.08415, 2016.</w:t>
      </w:r>
      <w:bookmarkEnd w:id="104"/>
    </w:p>
    <w:p w14:paraId="54B783AE">
      <w:pPr>
        <w:pStyle w:val="43"/>
        <w:numPr>
          <w:ilvl w:val="0"/>
          <w:numId w:val="2"/>
        </w:numPr>
        <w:ind w:firstLineChars="0"/>
        <w:rPr>
          <w:rFonts w:cs="Times New Roman"/>
          <w:sz w:val="21"/>
          <w:szCs w:val="21"/>
        </w:rPr>
      </w:pPr>
      <w:bookmarkStart w:id="105" w:name="_Ref196927606"/>
      <w:r>
        <w:rPr>
          <w:rFonts w:cs="Times New Roman"/>
          <w:color w:val="222222"/>
          <w:sz w:val="21"/>
          <w:szCs w:val="21"/>
          <w:shd w:val="clear" w:color="auto" w:fill="FFFFFF"/>
        </w:rPr>
        <w:t>Shazeer N, Mirhoseini A, Maziarz K, et al. Outrageously large neural networks: The sparsely-gated mixture-of-experts layer[J]. arXiv preprint arXiv:1701.06538, 2017.</w:t>
      </w:r>
      <w:bookmarkEnd w:id="105"/>
    </w:p>
    <w:p w14:paraId="191F6F03">
      <w:pPr>
        <w:pStyle w:val="43"/>
        <w:numPr>
          <w:ilvl w:val="0"/>
          <w:numId w:val="2"/>
        </w:numPr>
        <w:ind w:firstLineChars="0"/>
        <w:rPr>
          <w:rFonts w:cs="Times New Roman"/>
          <w:sz w:val="21"/>
          <w:szCs w:val="21"/>
        </w:rPr>
      </w:pPr>
      <w:bookmarkStart w:id="106" w:name="_Ref196927643"/>
      <w:r>
        <w:rPr>
          <w:rFonts w:cs="Times New Roman"/>
          <w:sz w:val="21"/>
          <w:szCs w:val="21"/>
        </w:rPr>
        <w:t>Fedus W, Zoph B, Shazeer N. Switch transformers: Scaling to trillion parameter models with simple and efficient sparsity[J]. Journal of Machine Learning Research, 2022, 23(120): 1-39.</w:t>
      </w:r>
      <w:bookmarkEnd w:id="106"/>
    </w:p>
    <w:p w14:paraId="228AFA41">
      <w:pPr>
        <w:pStyle w:val="43"/>
        <w:numPr>
          <w:ilvl w:val="0"/>
          <w:numId w:val="2"/>
        </w:numPr>
        <w:ind w:firstLineChars="0"/>
        <w:rPr>
          <w:rFonts w:cs="Times New Roman"/>
          <w:sz w:val="21"/>
          <w:szCs w:val="21"/>
        </w:rPr>
      </w:pPr>
      <w:bookmarkStart w:id="107" w:name="_Ref196927766"/>
      <w:r>
        <w:rPr>
          <w:rFonts w:cs="Times New Roman"/>
          <w:sz w:val="21"/>
          <w:szCs w:val="21"/>
        </w:rPr>
        <w:t>Lepikhin D, Lee H J, Xu Y, et al. Gshard: Scaling giant models with conditional computation and automatic sharding[J]. arXiv preprint arXiv:2006.16668, 2020.</w:t>
      </w:r>
      <w:bookmarkEnd w:id="107"/>
    </w:p>
    <w:p w14:paraId="394A1DF1">
      <w:pPr>
        <w:pStyle w:val="43"/>
        <w:numPr>
          <w:ilvl w:val="0"/>
          <w:numId w:val="2"/>
        </w:numPr>
        <w:ind w:firstLineChars="0"/>
        <w:rPr>
          <w:rFonts w:cs="Times New Roman"/>
          <w:sz w:val="21"/>
          <w:szCs w:val="21"/>
        </w:rPr>
      </w:pPr>
      <w:bookmarkStart w:id="108" w:name="_Ref196927773"/>
      <w:r>
        <w:rPr>
          <w:rFonts w:cs="Times New Roman"/>
          <w:sz w:val="21"/>
          <w:szCs w:val="21"/>
        </w:rPr>
        <w:t>Du N, Huang Y, Dai A M, et al. Glam: Efficient scaling of language models with mixture-of-experts[C]//International conference on machine learning. PMLR, 2022: 5547-5569.</w:t>
      </w:r>
      <w:bookmarkEnd w:id="108"/>
    </w:p>
    <w:p w14:paraId="770EA035">
      <w:pPr>
        <w:pStyle w:val="43"/>
        <w:numPr>
          <w:ilvl w:val="0"/>
          <w:numId w:val="2"/>
        </w:numPr>
        <w:ind w:firstLineChars="0"/>
        <w:rPr>
          <w:rFonts w:cs="Times New Roman"/>
          <w:sz w:val="21"/>
          <w:szCs w:val="21"/>
        </w:rPr>
      </w:pPr>
      <w:bookmarkStart w:id="109" w:name="_Ref196927980"/>
      <w:r>
        <w:rPr>
          <w:rFonts w:cs="Times New Roman"/>
          <w:sz w:val="21"/>
          <w:szCs w:val="21"/>
        </w:rPr>
        <w:t>Wang W, Bi B, Yan M, et al. Structbert: Incorporating language structures into pre-training for deep language understanding[J]. arXiv preprint arXiv:1908.04577, 2019.</w:t>
      </w:r>
      <w:bookmarkEnd w:id="109"/>
    </w:p>
    <w:p w14:paraId="7C91AC64">
      <w:pPr>
        <w:pStyle w:val="43"/>
        <w:numPr>
          <w:ilvl w:val="0"/>
          <w:numId w:val="2"/>
        </w:numPr>
        <w:ind w:firstLineChars="0"/>
        <w:rPr>
          <w:rFonts w:cs="Times New Roman"/>
          <w:sz w:val="21"/>
          <w:szCs w:val="21"/>
        </w:rPr>
      </w:pPr>
      <w:bookmarkStart w:id="110" w:name="_Ref196928066"/>
      <w:r>
        <w:rPr>
          <w:rFonts w:cs="Times New Roman"/>
          <w:sz w:val="21"/>
          <w:szCs w:val="21"/>
        </w:rPr>
        <w:t>Hu S, Tu Y, Han X, et al. Minicpm: Unveiling the potential of small language models with scalable training strategies[J]. arXiv preprint arXiv:2404.06395, 2024.</w:t>
      </w:r>
      <w:bookmarkEnd w:id="110"/>
    </w:p>
    <w:p w14:paraId="277612DF">
      <w:pPr>
        <w:pStyle w:val="43"/>
        <w:numPr>
          <w:ilvl w:val="0"/>
          <w:numId w:val="2"/>
        </w:numPr>
        <w:ind w:firstLineChars="0"/>
        <w:rPr>
          <w:rFonts w:cs="Times New Roman"/>
          <w:sz w:val="21"/>
          <w:szCs w:val="21"/>
        </w:rPr>
      </w:pPr>
      <w:bookmarkStart w:id="111" w:name="_Ref196928145"/>
      <w:r>
        <w:rPr>
          <w:rFonts w:cs="Times New Roman"/>
          <w:sz w:val="21"/>
          <w:szCs w:val="21"/>
        </w:rPr>
        <w:t>Huang Y, Bai Y, Zhu Z, et al. C-eval: A multi-level multi-discipline chinese evaluation suite for foundation models[J]. Advances in Neural Information Processing Systems, 2023, 36: 62991-63010.</w:t>
      </w:r>
      <w:bookmarkEnd w:id="111"/>
    </w:p>
    <w:p w14:paraId="40E8A72D">
      <w:pPr>
        <w:pStyle w:val="43"/>
        <w:numPr>
          <w:ilvl w:val="0"/>
          <w:numId w:val="2"/>
        </w:numPr>
        <w:ind w:firstLineChars="0"/>
        <w:rPr>
          <w:rFonts w:cs="Times New Roman"/>
          <w:sz w:val="21"/>
          <w:szCs w:val="21"/>
        </w:rPr>
      </w:pPr>
      <w:bookmarkStart w:id="112" w:name="_Ref196928152"/>
      <w:r>
        <w:rPr>
          <w:rFonts w:cs="Times New Roman"/>
          <w:sz w:val="21"/>
          <w:szCs w:val="21"/>
        </w:rPr>
        <w:t>Li H, Zhang Y, Koto F, et al. Cmmlu: Measuring massive multitask language understanding in chinese[J]. arXiv preprint arXiv:2306.09212, 2023.</w:t>
      </w:r>
      <w:bookmarkEnd w:id="112"/>
    </w:p>
    <w:p w14:paraId="30B36DCA">
      <w:pPr>
        <w:pStyle w:val="43"/>
        <w:numPr>
          <w:ilvl w:val="0"/>
          <w:numId w:val="2"/>
        </w:numPr>
        <w:ind w:firstLineChars="0"/>
        <w:rPr>
          <w:rFonts w:cs="Times New Roman"/>
          <w:sz w:val="21"/>
          <w:szCs w:val="21"/>
        </w:rPr>
      </w:pPr>
      <w:bookmarkStart w:id="113" w:name="_Ref196928353"/>
      <w:r>
        <w:rPr>
          <w:rFonts w:cs="Times New Roman"/>
          <w:sz w:val="21"/>
          <w:szCs w:val="21"/>
        </w:rPr>
        <w:t>Wu X, Yao W, Chen J, et al. From language modeling to instruction following: Understanding the behavior shift in llms after instruction tuning[J]. arXiv preprint arXiv:2310.00492, 2023.</w:t>
      </w:r>
      <w:bookmarkEnd w:id="113"/>
    </w:p>
    <w:p w14:paraId="54CEF207">
      <w:pPr>
        <w:pStyle w:val="43"/>
        <w:numPr>
          <w:ilvl w:val="0"/>
          <w:numId w:val="2"/>
        </w:numPr>
        <w:ind w:firstLineChars="0"/>
        <w:rPr>
          <w:rFonts w:cs="Times New Roman"/>
          <w:sz w:val="21"/>
          <w:szCs w:val="21"/>
        </w:rPr>
      </w:pPr>
      <w:bookmarkStart w:id="114" w:name="_Ref196928356"/>
      <w:r>
        <w:rPr>
          <w:rFonts w:cs="Times New Roman"/>
          <w:sz w:val="21"/>
          <w:szCs w:val="21"/>
        </w:rPr>
        <w:t>Zhang S, Dong L, Li X, et al. Instruction tuning for large language models: A survey[J]. arXiv preprint arXiv:2308.10792, 2023.</w:t>
      </w:r>
      <w:bookmarkEnd w:id="114"/>
    </w:p>
    <w:p w14:paraId="7589801A">
      <w:pPr>
        <w:pStyle w:val="43"/>
        <w:numPr>
          <w:ilvl w:val="0"/>
          <w:numId w:val="2"/>
        </w:numPr>
        <w:ind w:firstLineChars="0"/>
        <w:rPr>
          <w:rFonts w:cs="Times New Roman"/>
          <w:sz w:val="21"/>
          <w:szCs w:val="21"/>
        </w:rPr>
      </w:pPr>
      <w:bookmarkStart w:id="115" w:name="_Ref196928363"/>
      <w:r>
        <w:rPr>
          <w:rFonts w:cs="Times New Roman"/>
          <w:sz w:val="21"/>
          <w:szCs w:val="21"/>
        </w:rPr>
        <w:t>Kojima T, Gu S S, Reid M, et al. Large language models are zero-shot reasoners[J]. Advances in neural information processing systems, 2022, 35: 22199-22213.</w:t>
      </w:r>
      <w:bookmarkEnd w:id="115"/>
    </w:p>
    <w:p w14:paraId="31CFB42D">
      <w:pPr>
        <w:pStyle w:val="43"/>
        <w:numPr>
          <w:ilvl w:val="0"/>
          <w:numId w:val="2"/>
        </w:numPr>
        <w:ind w:firstLineChars="0"/>
        <w:rPr>
          <w:rFonts w:cs="Times New Roman"/>
          <w:sz w:val="21"/>
          <w:szCs w:val="21"/>
        </w:rPr>
      </w:pPr>
      <w:bookmarkStart w:id="116" w:name="_Ref196928442"/>
      <w:r>
        <w:rPr>
          <w:rFonts w:cs="Times New Roman"/>
          <w:sz w:val="21"/>
          <w:szCs w:val="21"/>
        </w:rPr>
        <w:t>Zheng Y, Zhang R, Zhang J, et al. Llamafactory: Unified efficient fine-tuning of 100+ language models[J]. arXiv preprint arXiv:2403.13372, 2024.</w:t>
      </w:r>
      <w:bookmarkEnd w:id="116"/>
    </w:p>
    <w:p w14:paraId="6A7ADF47">
      <w:pPr>
        <w:pStyle w:val="43"/>
        <w:numPr>
          <w:ilvl w:val="0"/>
          <w:numId w:val="2"/>
        </w:numPr>
        <w:ind w:firstLineChars="0"/>
        <w:rPr>
          <w:rFonts w:cs="Times New Roman"/>
          <w:sz w:val="21"/>
          <w:szCs w:val="21"/>
        </w:rPr>
      </w:pPr>
      <w:bookmarkStart w:id="117" w:name="_Ref196928496"/>
      <w:r>
        <w:rPr>
          <w:rFonts w:cs="Times New Roman"/>
          <w:sz w:val="21"/>
          <w:szCs w:val="21"/>
        </w:rPr>
        <w:t>Kwon W, Li Z, Zhuang S, et al. Efficient memory management for large language model serving with pagedattention[C]//Proceedings of the 29th Symposium on Operating Systems Principles. 2023: 611-626.</w:t>
      </w:r>
      <w:bookmarkEnd w:id="117"/>
    </w:p>
    <w:bookmarkEnd w:id="77"/>
    <w:p w14:paraId="2D59BC3D">
      <w:pPr>
        <w:pStyle w:val="43"/>
        <w:numPr>
          <w:ilvl w:val="0"/>
          <w:numId w:val="2"/>
        </w:numPr>
        <w:snapToGrid w:val="0"/>
        <w:ind w:firstLineChars="0"/>
        <w:rPr>
          <w:rFonts w:cs="Times New Roman"/>
          <w:sz w:val="21"/>
          <w:szCs w:val="21"/>
        </w:rPr>
      </w:pPr>
      <w:bookmarkStart w:id="118" w:name="_Ref195728975"/>
      <w:r>
        <w:rPr>
          <w:rFonts w:cs="Times New Roman"/>
          <w:sz w:val="21"/>
          <w:szCs w:val="21"/>
        </w:rPr>
        <w:t>Ran D, Liu J, Gong Y, et al. Jailbreakeval: An integrated toolkit for evaluating jailbreak attempts against large language models[J]. arXiv preprint arXiv:2406.09321, 2024.</w:t>
      </w:r>
      <w:bookmarkEnd w:id="118"/>
    </w:p>
    <w:p w14:paraId="5C414F2F">
      <w:pPr>
        <w:pStyle w:val="43"/>
        <w:numPr>
          <w:ilvl w:val="0"/>
          <w:numId w:val="2"/>
        </w:numPr>
        <w:snapToGrid w:val="0"/>
        <w:ind w:firstLineChars="0"/>
        <w:rPr>
          <w:rFonts w:cs="Times New Roman"/>
          <w:sz w:val="21"/>
          <w:szCs w:val="21"/>
        </w:rPr>
      </w:pPr>
      <w:bookmarkStart w:id="119" w:name="_Ref195736491"/>
      <w:r>
        <w:rPr>
          <w:rFonts w:cs="Times New Roman"/>
          <w:sz w:val="21"/>
          <w:szCs w:val="21"/>
        </w:rPr>
        <w:t>Guo D, Yang D, Zhang H, et al. Deepseek-r1: Incentivizing reasoning capability in llms via reinforcement learning[J]. arXiv preprint arXiv:2501.12948, 2025.</w:t>
      </w:r>
      <w:bookmarkEnd w:id="119"/>
    </w:p>
    <w:p w14:paraId="14D303F9">
      <w:pPr>
        <w:pStyle w:val="43"/>
        <w:numPr>
          <w:ilvl w:val="0"/>
          <w:numId w:val="2"/>
        </w:numPr>
        <w:snapToGrid w:val="0"/>
        <w:ind w:firstLineChars="0"/>
        <w:rPr>
          <w:rFonts w:cs="Times New Roman"/>
          <w:sz w:val="21"/>
          <w:szCs w:val="21"/>
        </w:rPr>
      </w:pPr>
      <w:bookmarkStart w:id="120" w:name="_Ref195736542"/>
      <w:r>
        <w:rPr>
          <w:rFonts w:cs="Times New Roman"/>
          <w:sz w:val="21"/>
          <w:szCs w:val="21"/>
        </w:rPr>
        <w:t>Grattafiori A, Dubey A, Jauhri A, et al. The llama 3 herd of models[J]. arXiv preprint arXiv:2407.21783, 2024.</w:t>
      </w:r>
      <w:bookmarkEnd w:id="120"/>
    </w:p>
    <w:p w14:paraId="7C9155AC">
      <w:pPr>
        <w:pStyle w:val="43"/>
        <w:numPr>
          <w:ilvl w:val="0"/>
          <w:numId w:val="2"/>
        </w:numPr>
        <w:snapToGrid w:val="0"/>
        <w:ind w:firstLineChars="0"/>
        <w:rPr>
          <w:rFonts w:cs="Times New Roman"/>
          <w:sz w:val="21"/>
          <w:szCs w:val="21"/>
        </w:rPr>
      </w:pPr>
      <w:bookmarkStart w:id="121" w:name="_Ref195736554"/>
      <w:r>
        <w:rPr>
          <w:rFonts w:cs="Times New Roman"/>
          <w:sz w:val="21"/>
          <w:szCs w:val="21"/>
        </w:rPr>
        <w:t>Yang A, Xiao B, Wang B, et al. Baichuan 2: Open large-scale language models[J]. arXiv preprint arXiv:2309.10305, 2023.</w:t>
      </w:r>
      <w:bookmarkEnd w:id="121"/>
    </w:p>
    <w:p w14:paraId="127CFB36">
      <w:pPr>
        <w:pStyle w:val="43"/>
        <w:numPr>
          <w:ilvl w:val="0"/>
          <w:numId w:val="2"/>
        </w:numPr>
        <w:snapToGrid w:val="0"/>
        <w:ind w:firstLineChars="0"/>
        <w:rPr>
          <w:rFonts w:cs="Times New Roman"/>
          <w:sz w:val="21"/>
          <w:szCs w:val="21"/>
        </w:rPr>
      </w:pPr>
      <w:bookmarkStart w:id="122" w:name="_Ref196301198"/>
      <w:r>
        <w:rPr>
          <w:rFonts w:cs="Times New Roman"/>
          <w:sz w:val="21"/>
          <w:szCs w:val="21"/>
        </w:rPr>
        <w:t>Yang A, Yang B, Zhang B, et al. Qwen2. 5 technical report[J]. arXiv preprint arXiv:2412.15115, 2024.</w:t>
      </w:r>
      <w:bookmarkEnd w:id="122"/>
    </w:p>
    <w:p w14:paraId="4463A839">
      <w:pPr>
        <w:pStyle w:val="43"/>
        <w:numPr>
          <w:ilvl w:val="0"/>
          <w:numId w:val="2"/>
        </w:numPr>
        <w:snapToGrid w:val="0"/>
        <w:ind w:firstLineChars="0"/>
        <w:rPr>
          <w:rFonts w:cs="Times New Roman"/>
          <w:sz w:val="21"/>
          <w:szCs w:val="21"/>
        </w:rPr>
      </w:pPr>
      <w:bookmarkStart w:id="123" w:name="_Ref196301249"/>
      <w:r>
        <w:rPr>
          <w:rFonts w:cs="Times New Roman"/>
          <w:sz w:val="21"/>
          <w:szCs w:val="21"/>
        </w:rPr>
        <w:t>Bhatt M, Chennabasappa S, Nikolaidis C, et al. Purple llama cyberseceval: A secure coding benchmark for language models[J]. arXiv preprint arXiv:2312.04724, 2023.</w:t>
      </w:r>
      <w:bookmarkEnd w:id="123"/>
    </w:p>
    <w:p w14:paraId="1D2F3A35">
      <w:pPr>
        <w:pStyle w:val="43"/>
        <w:numPr>
          <w:ilvl w:val="0"/>
          <w:numId w:val="2"/>
        </w:numPr>
        <w:snapToGrid w:val="0"/>
        <w:ind w:firstLineChars="0"/>
        <w:rPr>
          <w:rFonts w:cs="Times New Roman"/>
          <w:sz w:val="21"/>
          <w:szCs w:val="21"/>
        </w:rPr>
      </w:pPr>
      <w:bookmarkStart w:id="124" w:name="_Ref196301260"/>
      <w:r>
        <w:rPr>
          <w:rFonts w:cs="Times New Roman"/>
          <w:sz w:val="21"/>
          <w:szCs w:val="21"/>
        </w:rPr>
        <w:t>Perez E, Huang S, Song F, et al. Red teaming language models with language models[J]. arXiv preprint arXiv:2202.03286, 2022.</w:t>
      </w:r>
      <w:bookmarkEnd w:id="124"/>
    </w:p>
    <w:p w14:paraId="52B61291">
      <w:pPr>
        <w:pStyle w:val="43"/>
        <w:numPr>
          <w:ilvl w:val="0"/>
          <w:numId w:val="2"/>
        </w:numPr>
        <w:snapToGrid w:val="0"/>
        <w:ind w:firstLineChars="0"/>
        <w:rPr>
          <w:rFonts w:cs="Times New Roman"/>
          <w:sz w:val="21"/>
          <w:szCs w:val="21"/>
        </w:rPr>
      </w:pPr>
      <w:bookmarkStart w:id="125" w:name="_Ref196041010"/>
      <w:r>
        <w:rPr>
          <w:rFonts w:cs="Times New Roman"/>
          <w:sz w:val="21"/>
          <w:szCs w:val="21"/>
        </w:rPr>
        <w:t>Achiam J, Adler S, Agarwal S, et al. Gpt-4 technical report[J]. arXiv preprint arXiv:2303.08774, 2023.</w:t>
      </w:r>
      <w:bookmarkEnd w:id="125"/>
    </w:p>
    <w:p w14:paraId="20392B1F">
      <w:pPr>
        <w:pStyle w:val="43"/>
        <w:numPr>
          <w:ilvl w:val="0"/>
          <w:numId w:val="2"/>
        </w:numPr>
        <w:snapToGrid w:val="0"/>
        <w:ind w:firstLineChars="0"/>
        <w:rPr>
          <w:rFonts w:cs="Times New Roman"/>
          <w:sz w:val="21"/>
          <w:szCs w:val="21"/>
        </w:rPr>
      </w:pPr>
      <w:r>
        <w:rPr>
          <w:rFonts w:hint="eastAsia" w:ascii="宋体" w:hAnsi="宋体" w:cs="Times New Roman"/>
          <w:sz w:val="21"/>
          <w:szCs w:val="21"/>
        </w:rPr>
        <w:t>李南,丁益东,江浩宇,等</w:t>
      </w:r>
      <w:r>
        <w:rPr>
          <w:rFonts w:cs="Times New Roman"/>
          <w:sz w:val="21"/>
          <w:szCs w:val="21"/>
        </w:rPr>
        <w:t>.</w:t>
      </w:r>
      <w:r>
        <w:rPr>
          <w:rFonts w:hint="eastAsia" w:ascii="宋体" w:hAnsi="宋体" w:cs="Times New Roman"/>
          <w:sz w:val="21"/>
          <w:szCs w:val="21"/>
        </w:rPr>
        <w:t>面向大语言模型的越狱攻击综述</w:t>
      </w:r>
      <w:r>
        <w:rPr>
          <w:rFonts w:hint="eastAsia" w:cs="Times New Roman"/>
          <w:sz w:val="21"/>
          <w:szCs w:val="21"/>
        </w:rPr>
        <w:t>[J].</w:t>
      </w:r>
      <w:r>
        <w:rPr>
          <w:rFonts w:hint="eastAsia" w:ascii="宋体" w:hAnsi="宋体" w:cs="Times New Roman"/>
          <w:sz w:val="21"/>
          <w:szCs w:val="21"/>
        </w:rPr>
        <w:t>计算机研究与发展</w:t>
      </w:r>
      <w:r>
        <w:rPr>
          <w:rFonts w:hint="eastAsia" w:cs="Times New Roman"/>
          <w:sz w:val="21"/>
          <w:szCs w:val="21"/>
        </w:rPr>
        <w:t>,2024,61(05):1156-1181.</w:t>
      </w:r>
    </w:p>
    <w:p w14:paraId="00F69506">
      <w:pPr>
        <w:pStyle w:val="43"/>
        <w:numPr>
          <w:ilvl w:val="0"/>
          <w:numId w:val="2"/>
        </w:numPr>
        <w:snapToGrid w:val="0"/>
        <w:ind w:firstLineChars="0"/>
        <w:rPr>
          <w:rFonts w:cs="Times New Roman"/>
          <w:sz w:val="21"/>
          <w:szCs w:val="21"/>
        </w:rPr>
      </w:pPr>
      <w:r>
        <w:rPr>
          <w:rFonts w:hint="eastAsia" w:ascii="宋体" w:hAnsi="宋体" w:cs="Times New Roman"/>
          <w:sz w:val="21"/>
          <w:szCs w:val="21"/>
        </w:rPr>
        <w:t>台建玮,杨双宁,王佳佳,等</w:t>
      </w:r>
      <w:r>
        <w:rPr>
          <w:rFonts w:cs="Times New Roman"/>
          <w:sz w:val="21"/>
          <w:szCs w:val="21"/>
        </w:rPr>
        <w:t>.</w:t>
      </w:r>
      <w:r>
        <w:rPr>
          <w:rFonts w:hint="eastAsia" w:ascii="宋体" w:hAnsi="宋体" w:cs="Times New Roman"/>
          <w:sz w:val="21"/>
          <w:szCs w:val="21"/>
        </w:rPr>
        <w:t>大语言模型对抗性攻击与防御综述</w:t>
      </w:r>
      <w:r>
        <w:rPr>
          <w:rFonts w:hint="eastAsia" w:cs="Times New Roman"/>
          <w:sz w:val="21"/>
          <w:szCs w:val="21"/>
        </w:rPr>
        <w:t>[J].计算机研究与发展,2025,62(03):563-588.</w:t>
      </w:r>
    </w:p>
    <w:p w14:paraId="0BF6B97E">
      <w:pPr>
        <w:snapToGrid w:val="0"/>
        <w:ind w:firstLine="0" w:firstLineChars="0"/>
        <w:rPr>
          <w:rFonts w:cs="Times New Roman"/>
          <w:sz w:val="21"/>
          <w:szCs w:val="21"/>
        </w:rPr>
      </w:pPr>
      <w:r>
        <w:rPr>
          <w:rFonts w:cs="Times New Roman"/>
          <w:sz w:val="21"/>
          <w:szCs w:val="21"/>
        </w:rPr>
        <w:br w:type="page"/>
      </w:r>
    </w:p>
    <w:p w14:paraId="7BBC4AD8">
      <w:pPr>
        <w:pStyle w:val="2"/>
        <w:spacing w:before="0" w:beforeLines="0" w:after="0" w:afterLines="0" w:line="360" w:lineRule="auto"/>
        <w:ind w:firstLine="0" w:firstLineChars="0"/>
        <w:rPr>
          <w:rFonts w:ascii="宋体" w:hAnsi="宋体" w:eastAsia="宋体" w:cs="宋体"/>
          <w:b w:val="0"/>
          <w:bCs/>
          <w:sz w:val="24"/>
          <w:szCs w:val="22"/>
        </w:rPr>
      </w:pPr>
      <w:bookmarkStart w:id="126" w:name="_Toc196336452"/>
      <w:bookmarkStart w:id="127" w:name="_Toc197274548"/>
      <w:r>
        <w:rPr>
          <w:rFonts w:hint="eastAsia"/>
        </w:rPr>
        <w:t>致谢</w:t>
      </w:r>
      <w:bookmarkEnd w:id="126"/>
      <w:bookmarkEnd w:id="127"/>
    </w:p>
    <w:p w14:paraId="4EB6F2D0">
      <w:pPr>
        <w:ind w:firstLine="480"/>
      </w:pPr>
    </w:p>
    <w:p w14:paraId="141E150D">
      <w:pPr>
        <w:ind w:firstLine="480"/>
      </w:pPr>
      <w:r>
        <w:rPr>
          <w:rFonts w:hint="eastAsia"/>
        </w:rPr>
        <w:t>本论文的顺利完成，离不开许多人的支持与帮助。在此，我怀着诚挚的感激之情，向所有给予我关心、指导与鼓励的人们致以衷心的感谢。</w:t>
      </w:r>
    </w:p>
    <w:p w14:paraId="6E1A2333">
      <w:pPr>
        <w:ind w:firstLine="480"/>
      </w:pPr>
      <w:r>
        <w:rPr>
          <w:rFonts w:hint="eastAsia"/>
        </w:rPr>
        <w:t>首先，我要特别感谢我的导师赵老师，在整个研究过程中给予我耐心指导与悉心教诲。感谢尹师兄在论文撰写，实验设计等方面给予的倾力帮助与耐心解答。</w:t>
      </w:r>
    </w:p>
    <w:p w14:paraId="41FC358C">
      <w:pPr>
        <w:ind w:firstLine="480"/>
      </w:pPr>
      <w:r>
        <w:rPr>
          <w:rFonts w:hint="eastAsia"/>
        </w:rPr>
        <w:t>其次，我要衷心感谢我的家人。过去十六年的求学生涯中，家人始终是我最坚实的后盾。无论我身处何地，面对怎样的挑战，他们都给予我无条件的理解与支持，是我不断前行的动力源泉。</w:t>
      </w:r>
    </w:p>
    <w:p w14:paraId="6CE608AC">
      <w:pPr>
        <w:ind w:firstLine="480"/>
      </w:pPr>
      <w:r>
        <w:rPr>
          <w:rFonts w:hint="eastAsia"/>
        </w:rPr>
        <w:t>我还要感谢我的女朋友，她始终给予我最大的包容与理解，让我更坚定地朝着理想前进。</w:t>
      </w:r>
    </w:p>
    <w:p w14:paraId="2736DB4C">
      <w:pPr>
        <w:ind w:firstLine="480"/>
      </w:pPr>
      <w:r>
        <w:rPr>
          <w:rFonts w:hint="eastAsia"/>
        </w:rPr>
        <w:t>最后，我想感谢自己。从最初对人工智能一知半解，到如今完成这篇论文。犹记得当时意外地来到了北京邮电大学人工智能学院，开启了一段全新的旅程。正是这段经历让我逐渐爱上了这个充满挑战与创造力的专业。我将带着这份热爱与信念，继续在未来三年的学习与科研道路上努力前行，期待在接下来的三年中不断突破自我，取得更大的成长与进步。</w:t>
      </w:r>
    </w:p>
    <w:p w14:paraId="479ECF31">
      <w:pPr>
        <w:ind w:firstLine="480"/>
      </w:pPr>
      <w:r>
        <w:rPr>
          <w:rFonts w:hint="eastAsia"/>
        </w:rPr>
        <w:t>再次感谢所有支持、帮助与陪伴我的人，是你们让这段求学旅程变得厚重而温暖。</w:t>
      </w:r>
    </w:p>
    <w:p w14:paraId="76CA86C4">
      <w:pPr>
        <w:widowControl/>
        <w:ind w:firstLine="480"/>
        <w:jc w:val="left"/>
        <w:rPr>
          <w:szCs w:val="28"/>
        </w:rPr>
      </w:pPr>
    </w:p>
    <w:p w14:paraId="6DD4FF1F">
      <w:pPr>
        <w:widowControl/>
        <w:ind w:firstLine="480"/>
        <w:jc w:val="left"/>
        <w:rPr>
          <w:szCs w:val="28"/>
        </w:rPr>
      </w:pPr>
      <w:r>
        <w:rPr>
          <w:szCs w:val="28"/>
        </w:rPr>
        <w:br w:type="page"/>
      </w:r>
    </w:p>
    <w:p w14:paraId="1B1FF4A9">
      <w:pPr>
        <w:pStyle w:val="2"/>
        <w:spacing w:before="0" w:beforeLines="0" w:after="0" w:afterLines="0" w:line="360" w:lineRule="auto"/>
        <w:ind w:firstLine="0" w:firstLineChars="0"/>
        <w:rPr>
          <w:rFonts w:ascii="宋体" w:hAnsi="宋体" w:eastAsia="宋体" w:cs="宋体"/>
          <w:b w:val="0"/>
          <w:bCs/>
          <w:sz w:val="24"/>
          <w:szCs w:val="22"/>
        </w:rPr>
      </w:pPr>
      <w:bookmarkStart w:id="128" w:name="_Toc197274549"/>
      <w:bookmarkStart w:id="129" w:name="_Toc196336453"/>
      <w:r>
        <w:rPr>
          <w:rFonts w:hint="eastAsia" w:eastAsia="宋体"/>
        </w:rPr>
        <w:t>附录</w:t>
      </w:r>
      <w:bookmarkEnd w:id="128"/>
      <w:bookmarkEnd w:id="129"/>
    </w:p>
    <w:p w14:paraId="43EC76A0">
      <w:pPr>
        <w:pStyle w:val="3"/>
        <w:spacing w:before="240" w:after="240"/>
        <w:ind w:firstLine="0" w:firstLineChars="0"/>
      </w:pPr>
      <w:bookmarkStart w:id="130" w:name="_Toc197274550"/>
      <w:r>
        <w:rPr>
          <w:rFonts w:hint="eastAsia"/>
        </w:rPr>
        <w:t>附录1 缩略词表</w:t>
      </w:r>
      <w:bookmarkEnd w:id="130"/>
    </w:p>
    <w:bookmarkEnd w:id="10"/>
    <w:tbl>
      <w:tblPr>
        <w:tblStyle w:val="29"/>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71"/>
        <w:gridCol w:w="7791"/>
      </w:tblGrid>
      <w:tr w14:paraId="33CE063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3FEDA7AF">
            <w:pPr>
              <w:widowControl/>
              <w:ind w:firstLine="0" w:firstLineChars="0"/>
              <w:jc w:val="left"/>
              <w:rPr>
                <w:szCs w:val="28"/>
              </w:rPr>
            </w:pPr>
            <w:r>
              <w:rPr>
                <w:rFonts w:hint="eastAsia"/>
                <w:szCs w:val="28"/>
              </w:rPr>
              <w:t>AI</w:t>
            </w:r>
          </w:p>
        </w:tc>
        <w:tc>
          <w:tcPr>
            <w:tcW w:w="7791" w:type="dxa"/>
          </w:tcPr>
          <w:p w14:paraId="0BF0C2E7">
            <w:pPr>
              <w:widowControl/>
              <w:ind w:firstLine="0" w:firstLineChars="0"/>
              <w:jc w:val="left"/>
              <w:rPr>
                <w:szCs w:val="28"/>
              </w:rPr>
            </w:pPr>
            <w:r>
              <w:rPr>
                <w:szCs w:val="28"/>
              </w:rPr>
              <w:t>Artificial Intelligence</w:t>
            </w:r>
            <w:r>
              <w:rPr>
                <w:rFonts w:hint="eastAsia"/>
                <w:szCs w:val="28"/>
              </w:rPr>
              <w:t>，人工智能</w:t>
            </w:r>
          </w:p>
        </w:tc>
      </w:tr>
      <w:tr w14:paraId="079EC5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101BAB38">
            <w:pPr>
              <w:widowControl/>
              <w:ind w:firstLine="0" w:firstLineChars="0"/>
              <w:jc w:val="left"/>
              <w:rPr>
                <w:szCs w:val="28"/>
              </w:rPr>
            </w:pPr>
            <w:r>
              <w:rPr>
                <w:rFonts w:hint="eastAsia"/>
                <w:szCs w:val="28"/>
              </w:rPr>
              <w:t>AJPE</w:t>
            </w:r>
          </w:p>
        </w:tc>
        <w:tc>
          <w:tcPr>
            <w:tcW w:w="7791" w:type="dxa"/>
          </w:tcPr>
          <w:p w14:paraId="4633C357">
            <w:pPr>
              <w:widowControl/>
              <w:ind w:firstLine="0" w:firstLineChars="0"/>
              <w:jc w:val="left"/>
              <w:rPr>
                <w:szCs w:val="28"/>
              </w:rPr>
            </w:pPr>
            <w:r>
              <w:rPr>
                <w:rFonts w:hint="eastAsia"/>
                <w:szCs w:val="28"/>
              </w:rPr>
              <w:t xml:space="preserve">Automatic </w:t>
            </w:r>
            <w:r>
              <w:rPr>
                <w:szCs w:val="28"/>
              </w:rPr>
              <w:t>Jailbreak</w:t>
            </w:r>
            <w:r>
              <w:rPr>
                <w:rFonts w:hint="eastAsia"/>
                <w:szCs w:val="28"/>
              </w:rPr>
              <w:t xml:space="preserve"> Prompt Engineer，自动越狱提示工程</w:t>
            </w:r>
          </w:p>
        </w:tc>
      </w:tr>
      <w:tr w14:paraId="4215D8A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6C166C93">
            <w:pPr>
              <w:widowControl/>
              <w:ind w:firstLine="0" w:firstLineChars="0"/>
              <w:jc w:val="left"/>
              <w:rPr>
                <w:szCs w:val="28"/>
              </w:rPr>
            </w:pPr>
            <w:r>
              <w:rPr>
                <w:rFonts w:hint="eastAsia"/>
                <w:szCs w:val="28"/>
              </w:rPr>
              <w:t>API</w:t>
            </w:r>
          </w:p>
        </w:tc>
        <w:tc>
          <w:tcPr>
            <w:tcW w:w="7791" w:type="dxa"/>
          </w:tcPr>
          <w:p w14:paraId="2BF66F6A">
            <w:pPr>
              <w:widowControl/>
              <w:ind w:firstLine="0" w:firstLineChars="0"/>
              <w:jc w:val="left"/>
              <w:rPr>
                <w:szCs w:val="28"/>
              </w:rPr>
            </w:pPr>
            <w:r>
              <w:rPr>
                <w:rFonts w:hint="eastAsia"/>
                <w:szCs w:val="28"/>
              </w:rPr>
              <w:t>Application Programming Interface，应用程序接口</w:t>
            </w:r>
          </w:p>
        </w:tc>
      </w:tr>
      <w:tr w14:paraId="3A146C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3EB1FC8A">
            <w:pPr>
              <w:widowControl/>
              <w:ind w:firstLine="0" w:firstLineChars="0"/>
              <w:jc w:val="left"/>
              <w:rPr>
                <w:szCs w:val="28"/>
              </w:rPr>
            </w:pPr>
            <w:r>
              <w:rPr>
                <w:rFonts w:hint="eastAsia"/>
                <w:szCs w:val="28"/>
              </w:rPr>
              <w:t>ASR</w:t>
            </w:r>
          </w:p>
        </w:tc>
        <w:tc>
          <w:tcPr>
            <w:tcW w:w="7791" w:type="dxa"/>
          </w:tcPr>
          <w:p w14:paraId="73D54439">
            <w:pPr>
              <w:widowControl/>
              <w:ind w:firstLine="0" w:firstLineChars="0"/>
              <w:jc w:val="left"/>
              <w:rPr>
                <w:szCs w:val="28"/>
              </w:rPr>
            </w:pPr>
            <w:r>
              <w:rPr>
                <w:rFonts w:hint="eastAsia"/>
                <w:szCs w:val="28"/>
              </w:rPr>
              <w:t>Attack Success Rate，攻击成功率</w:t>
            </w:r>
          </w:p>
        </w:tc>
      </w:tr>
      <w:tr w14:paraId="28317F5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642C558B">
            <w:pPr>
              <w:widowControl/>
              <w:ind w:firstLine="0" w:firstLineChars="0"/>
              <w:jc w:val="left"/>
              <w:rPr>
                <w:szCs w:val="28"/>
              </w:rPr>
            </w:pPr>
            <w:r>
              <w:rPr>
                <w:rFonts w:hint="eastAsia"/>
                <w:szCs w:val="28"/>
              </w:rPr>
              <w:t>FFN</w:t>
            </w:r>
          </w:p>
        </w:tc>
        <w:tc>
          <w:tcPr>
            <w:tcW w:w="7791" w:type="dxa"/>
          </w:tcPr>
          <w:p w14:paraId="27C340BB">
            <w:pPr>
              <w:widowControl/>
              <w:ind w:firstLine="0" w:firstLineChars="0"/>
              <w:jc w:val="left"/>
              <w:rPr>
                <w:szCs w:val="28"/>
              </w:rPr>
            </w:pPr>
            <w:r>
              <w:rPr>
                <w:rFonts w:hint="eastAsia"/>
                <w:szCs w:val="28"/>
              </w:rPr>
              <w:t>Feed Forward Network，前馈网络</w:t>
            </w:r>
          </w:p>
        </w:tc>
      </w:tr>
      <w:tr w14:paraId="719D456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734FC98B">
            <w:pPr>
              <w:widowControl/>
              <w:ind w:firstLine="0" w:firstLineChars="0"/>
              <w:jc w:val="left"/>
              <w:rPr>
                <w:szCs w:val="28"/>
              </w:rPr>
            </w:pPr>
            <w:r>
              <w:rPr>
                <w:rFonts w:hint="eastAsia"/>
                <w:szCs w:val="28"/>
              </w:rPr>
              <w:t>LEAD</w:t>
            </w:r>
          </w:p>
        </w:tc>
        <w:tc>
          <w:tcPr>
            <w:tcW w:w="7791" w:type="dxa"/>
          </w:tcPr>
          <w:p w14:paraId="08831C56">
            <w:pPr>
              <w:widowControl/>
              <w:ind w:firstLine="0" w:firstLineChars="0"/>
              <w:jc w:val="left"/>
              <w:rPr>
                <w:szCs w:val="28"/>
              </w:rPr>
            </w:pPr>
            <w:r>
              <w:rPr>
                <w:rFonts w:hint="eastAsia"/>
                <w:szCs w:val="28"/>
              </w:rPr>
              <w:t>Lightweight Efficient Anti-jailbreak Detector，轻量级高效越狱提示检测器</w:t>
            </w:r>
          </w:p>
        </w:tc>
      </w:tr>
      <w:tr w14:paraId="4A8211A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3A25B849">
            <w:pPr>
              <w:widowControl/>
              <w:ind w:firstLine="0" w:firstLineChars="0"/>
              <w:jc w:val="left"/>
              <w:rPr>
                <w:szCs w:val="28"/>
              </w:rPr>
            </w:pPr>
            <w:r>
              <w:rPr>
                <w:rFonts w:hint="eastAsia"/>
                <w:szCs w:val="28"/>
              </w:rPr>
              <w:t>LLMs</w:t>
            </w:r>
          </w:p>
        </w:tc>
        <w:tc>
          <w:tcPr>
            <w:tcW w:w="7791" w:type="dxa"/>
          </w:tcPr>
          <w:p w14:paraId="6AA81848">
            <w:pPr>
              <w:widowControl/>
              <w:ind w:firstLine="0" w:firstLineChars="0"/>
              <w:jc w:val="left"/>
              <w:rPr>
                <w:szCs w:val="28"/>
              </w:rPr>
            </w:pPr>
            <w:r>
              <w:rPr>
                <w:rFonts w:hint="eastAsia"/>
                <w:szCs w:val="28"/>
              </w:rPr>
              <w:t>Large Language Models，大型语言模型</w:t>
            </w:r>
          </w:p>
        </w:tc>
      </w:tr>
      <w:tr w14:paraId="11EA8B5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08247E30">
            <w:pPr>
              <w:widowControl/>
              <w:ind w:firstLine="0" w:firstLineChars="0"/>
              <w:jc w:val="left"/>
              <w:rPr>
                <w:szCs w:val="28"/>
              </w:rPr>
            </w:pPr>
            <w:r>
              <w:rPr>
                <w:rFonts w:hint="eastAsia"/>
                <w:szCs w:val="28"/>
              </w:rPr>
              <w:t>LoRA</w:t>
            </w:r>
          </w:p>
        </w:tc>
        <w:tc>
          <w:tcPr>
            <w:tcW w:w="7791" w:type="dxa"/>
          </w:tcPr>
          <w:p w14:paraId="36BE660F">
            <w:pPr>
              <w:widowControl/>
              <w:ind w:firstLine="0" w:firstLineChars="0"/>
              <w:jc w:val="left"/>
              <w:rPr>
                <w:szCs w:val="28"/>
              </w:rPr>
            </w:pPr>
            <w:r>
              <w:rPr>
                <w:rFonts w:hint="eastAsia"/>
                <w:szCs w:val="28"/>
              </w:rPr>
              <w:t>Low-Rank Adaptation，低秩适应，一种参数高效微调方法</w:t>
            </w:r>
          </w:p>
        </w:tc>
      </w:tr>
      <w:tr w14:paraId="32452E7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0D70AAB7">
            <w:pPr>
              <w:widowControl/>
              <w:ind w:firstLine="0" w:firstLineChars="0"/>
              <w:jc w:val="left"/>
              <w:rPr>
                <w:szCs w:val="28"/>
              </w:rPr>
            </w:pPr>
            <w:r>
              <w:rPr>
                <w:rFonts w:hint="eastAsia"/>
                <w:szCs w:val="28"/>
              </w:rPr>
              <w:t>MoE</w:t>
            </w:r>
          </w:p>
        </w:tc>
        <w:tc>
          <w:tcPr>
            <w:tcW w:w="7791" w:type="dxa"/>
          </w:tcPr>
          <w:p w14:paraId="59EED480">
            <w:pPr>
              <w:widowControl/>
              <w:ind w:firstLine="0" w:firstLineChars="0"/>
              <w:jc w:val="left"/>
              <w:rPr>
                <w:szCs w:val="28"/>
              </w:rPr>
            </w:pPr>
            <w:r>
              <w:rPr>
                <w:rFonts w:hint="eastAsia"/>
                <w:szCs w:val="28"/>
              </w:rPr>
              <w:t>Mixture of Experts，混合专家模型</w:t>
            </w:r>
          </w:p>
        </w:tc>
      </w:tr>
      <w:tr w14:paraId="634DD9A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0C24CA05">
            <w:pPr>
              <w:widowControl/>
              <w:ind w:firstLine="0" w:firstLineChars="0"/>
              <w:jc w:val="left"/>
              <w:rPr>
                <w:szCs w:val="28"/>
              </w:rPr>
            </w:pPr>
            <w:r>
              <w:rPr>
                <w:rFonts w:hint="eastAsia"/>
                <w:szCs w:val="28"/>
              </w:rPr>
              <w:t>NLP</w:t>
            </w:r>
          </w:p>
        </w:tc>
        <w:tc>
          <w:tcPr>
            <w:tcW w:w="7791" w:type="dxa"/>
          </w:tcPr>
          <w:p w14:paraId="00E7068A">
            <w:pPr>
              <w:widowControl/>
              <w:ind w:firstLine="0" w:firstLineChars="0"/>
              <w:jc w:val="left"/>
              <w:rPr>
                <w:szCs w:val="28"/>
              </w:rPr>
            </w:pPr>
            <w:r>
              <w:rPr>
                <w:rFonts w:hint="eastAsia"/>
                <w:szCs w:val="28"/>
              </w:rPr>
              <w:t>Nature Language Processing，自然语言处理</w:t>
            </w:r>
          </w:p>
        </w:tc>
      </w:tr>
      <w:tr w14:paraId="17FD13B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6DA60FCD">
            <w:pPr>
              <w:widowControl/>
              <w:ind w:firstLine="0" w:firstLineChars="0"/>
              <w:jc w:val="left"/>
              <w:rPr>
                <w:szCs w:val="28"/>
              </w:rPr>
            </w:pPr>
            <w:r>
              <w:rPr>
                <w:rFonts w:hint="eastAsia"/>
                <w:szCs w:val="28"/>
              </w:rPr>
              <w:t>NLU</w:t>
            </w:r>
          </w:p>
        </w:tc>
        <w:tc>
          <w:tcPr>
            <w:tcW w:w="7791" w:type="dxa"/>
          </w:tcPr>
          <w:p w14:paraId="209C1AB1">
            <w:pPr>
              <w:widowControl/>
              <w:ind w:firstLine="0" w:firstLineChars="0"/>
              <w:jc w:val="left"/>
              <w:rPr>
                <w:szCs w:val="28"/>
              </w:rPr>
            </w:pPr>
            <w:r>
              <w:rPr>
                <w:rFonts w:hint="eastAsia"/>
                <w:szCs w:val="28"/>
              </w:rPr>
              <w:t>Nature Language Understanding，自然语言理解</w:t>
            </w:r>
          </w:p>
        </w:tc>
      </w:tr>
      <w:tr w14:paraId="64E5D75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5106D08E">
            <w:pPr>
              <w:widowControl/>
              <w:ind w:firstLine="0" w:firstLineChars="0"/>
              <w:jc w:val="left"/>
              <w:rPr>
                <w:szCs w:val="28"/>
              </w:rPr>
            </w:pPr>
            <w:r>
              <w:rPr>
                <w:rFonts w:hint="eastAsia"/>
                <w:szCs w:val="28"/>
              </w:rPr>
              <w:t>RLHF</w:t>
            </w:r>
          </w:p>
        </w:tc>
        <w:tc>
          <w:tcPr>
            <w:tcW w:w="7791" w:type="dxa"/>
          </w:tcPr>
          <w:p w14:paraId="271110E5">
            <w:pPr>
              <w:widowControl/>
              <w:ind w:firstLine="0" w:firstLineChars="0"/>
              <w:jc w:val="left"/>
              <w:rPr>
                <w:szCs w:val="28"/>
              </w:rPr>
            </w:pPr>
            <w:r>
              <w:rPr>
                <w:rFonts w:hint="eastAsia"/>
                <w:szCs w:val="28"/>
              </w:rPr>
              <w:t>Reinforcement Learning from Human Feedback，人类反馈的强化学习</w:t>
            </w:r>
          </w:p>
        </w:tc>
      </w:tr>
      <w:tr w14:paraId="4496E0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7F4DF685">
            <w:pPr>
              <w:widowControl/>
              <w:ind w:firstLine="0" w:firstLineChars="0"/>
              <w:jc w:val="left"/>
              <w:rPr>
                <w:szCs w:val="28"/>
              </w:rPr>
            </w:pPr>
            <w:r>
              <w:rPr>
                <w:rFonts w:hint="eastAsia"/>
                <w:szCs w:val="28"/>
              </w:rPr>
              <w:t>RoPE</w:t>
            </w:r>
          </w:p>
        </w:tc>
        <w:tc>
          <w:tcPr>
            <w:tcW w:w="7791" w:type="dxa"/>
          </w:tcPr>
          <w:p w14:paraId="386A2655">
            <w:pPr>
              <w:widowControl/>
              <w:ind w:firstLine="0" w:firstLineChars="0"/>
              <w:jc w:val="left"/>
              <w:rPr>
                <w:szCs w:val="28"/>
              </w:rPr>
            </w:pPr>
            <w:r>
              <w:rPr>
                <w:rFonts w:hint="eastAsia"/>
                <w:szCs w:val="28"/>
              </w:rPr>
              <w:t>Rotary Position Embedding，旋转相对位置嵌入</w:t>
            </w:r>
          </w:p>
        </w:tc>
      </w:tr>
      <w:tr w14:paraId="2F1AAB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1271" w:type="dxa"/>
          </w:tcPr>
          <w:p w14:paraId="5F9C6AB4">
            <w:pPr>
              <w:widowControl/>
              <w:ind w:firstLine="0" w:firstLineChars="0"/>
              <w:jc w:val="left"/>
              <w:rPr>
                <w:szCs w:val="28"/>
              </w:rPr>
            </w:pPr>
            <w:r>
              <w:rPr>
                <w:rFonts w:hint="eastAsia"/>
                <w:szCs w:val="28"/>
              </w:rPr>
              <w:t>SFT</w:t>
            </w:r>
          </w:p>
        </w:tc>
        <w:tc>
          <w:tcPr>
            <w:tcW w:w="7791" w:type="dxa"/>
          </w:tcPr>
          <w:p w14:paraId="77D0EFE6">
            <w:pPr>
              <w:widowControl/>
              <w:ind w:firstLine="0" w:firstLineChars="0"/>
              <w:jc w:val="left"/>
              <w:rPr>
                <w:szCs w:val="28"/>
              </w:rPr>
            </w:pPr>
            <w:r>
              <w:rPr>
                <w:rFonts w:hint="eastAsia"/>
                <w:szCs w:val="28"/>
              </w:rPr>
              <w:t>Supervised Fine-Tuning，监督微调</w:t>
            </w:r>
          </w:p>
        </w:tc>
      </w:tr>
    </w:tbl>
    <w:p w14:paraId="0C59ED58">
      <w:pPr>
        <w:widowControl/>
        <w:ind w:firstLine="0" w:firstLineChars="0"/>
        <w:jc w:val="left"/>
        <w:rPr>
          <w:szCs w:val="28"/>
        </w:rPr>
      </w:pPr>
    </w:p>
    <w:sectPr>
      <w:headerReference r:id="rId14" w:type="default"/>
      <w:footerReference r:id="rId15" w:type="default"/>
      <w:pgSz w:w="11906" w:h="16838"/>
      <w:pgMar w:top="1417" w:right="1417" w:bottom="1417" w:left="1417" w:header="850" w:footer="850" w:gutter="0"/>
      <w:pgNumType w:start="1"/>
      <w:cols w:space="0" w:num="1"/>
      <w:docGrid w:linePitch="333"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p>
  </w:endnote>
  <w:endnote w:type="continuationSeparator" w:id="1">
    <w:p>
      <w:pPr>
        <w:spacing w:line="240" w:lineRule="auto"/>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panose1 w:val="02010600040101010101"/>
    <w:charset w:val="86"/>
    <w:family w:val="auto"/>
    <w:pitch w:val="default"/>
    <w:sig w:usb0="80000287" w:usb1="280F3C52" w:usb2="00000016" w:usb3="00000000" w:csb0="0004001F" w:csb1="00000000"/>
  </w:font>
  <w:font w:name="Courier New">
    <w:panose1 w:val="020706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等线 Light">
    <w:altName w:val="汉仪中等线KW"/>
    <w:panose1 w:val="02010600030101010101"/>
    <w:charset w:val="86"/>
    <w:family w:val="auto"/>
    <w:pitch w:val="default"/>
    <w:sig w:usb0="00000000" w:usb1="00000000" w:usb2="00000016" w:usb3="00000000" w:csb0="0004000F" w:csb1="00000000"/>
  </w:font>
  <w:font w:name="等线">
    <w:altName w:val="汉仪中等线KW"/>
    <w:panose1 w:val="00000000000000000000"/>
    <w:charset w:val="00"/>
    <w:family w:val="auto"/>
    <w:pitch w:val="default"/>
    <w:sig w:usb0="00000000" w:usb1="00000000" w:usb2="00000000" w:usb3="00000000" w:csb0="00000000" w:csb1="00000000"/>
  </w:font>
  <w:font w:name="Cambria">
    <w:altName w:val="苹方-简"/>
    <w:panose1 w:val="02040503050406030204"/>
    <w:charset w:val="00"/>
    <w:family w:val="roman"/>
    <w:pitch w:val="default"/>
    <w:sig w:usb0="00000000" w:usb1="00000000" w:usb2="02000000" w:usb3="00000000" w:csb0="0000019F" w:csb1="00000000"/>
  </w:font>
  <w:font w:name="小宋">
    <w:altName w:val="汉仪书宋二KW"/>
    <w:panose1 w:val="020B0604020202020204"/>
    <w:charset w:val="00"/>
    <w:family w:val="auto"/>
    <w:pitch w:val="default"/>
    <w:sig w:usb0="00000000" w:usb1="00000000" w:usb2="00000000" w:usb3="00000000" w:csb0="00000000" w:csb1="00000000"/>
  </w:font>
  <w:font w:name="楷体">
    <w:altName w:val="汉仪楷体KW"/>
    <w:panose1 w:val="02010609060101010101"/>
    <w:charset w:val="86"/>
    <w:family w:val="modern"/>
    <w:pitch w:val="default"/>
    <w:sig w:usb0="00000000" w:usb1="00000000" w:usb2="00000016" w:usb3="00000000" w:csb0="00040001" w:csb1="00000000"/>
  </w:font>
  <w:font w:name="Cambria Math">
    <w:altName w:val="Kingsoft Math"/>
    <w:panose1 w:val="02040503050406030204"/>
    <w:charset w:val="00"/>
    <w:family w:val="roman"/>
    <w:pitch w:val="default"/>
    <w:sig w:usb0="00000000" w:usb1="00000000" w:usb2="00000000" w:usb3="00000000" w:csb0="0000019F" w:csb1="00000000"/>
  </w:font>
  <w:font w:name="Open Sans">
    <w:altName w:val="苹方-简"/>
    <w:panose1 w:val="020B0606030504020204"/>
    <w:charset w:val="00"/>
    <w:family w:val="swiss"/>
    <w:pitch w:val="default"/>
    <w:sig w:usb0="00000000" w:usb1="00000000" w:usb2="00000028" w:usb3="00000000" w:csb0="0000019F" w:csb1="00000000"/>
  </w:font>
  <w:font w:name="汉仪书宋二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Helvetica Neue">
    <w:panose1 w:val="02000503000000020004"/>
    <w:charset w:val="00"/>
    <w:family w:val="auto"/>
    <w:pitch w:val="default"/>
    <w:sig w:usb0="E50002FF" w:usb1="500079DB" w:usb2="00000010" w:usb3="00000000" w:csb0="00000000" w:csb1="00000000"/>
  </w:font>
  <w:font w:name="宋体-简">
    <w:panose1 w:val="02010800040101010101"/>
    <w:charset w:val="86"/>
    <w:family w:val="auto"/>
    <w:pitch w:val="default"/>
    <w:sig w:usb0="00000001" w:usb1="080F0000" w:usb2="00000000" w:usb3="00000000" w:csb0="00040000" w:csb1="00000000"/>
  </w:font>
  <w:font w:name="汉仪中等线KW">
    <w:panose1 w:val="01010104010101010101"/>
    <w:charset w:val="86"/>
    <w:family w:val="auto"/>
    <w:pitch w:val="default"/>
    <w:sig w:usb0="800002BF" w:usb1="004F7CFA" w:usb2="00000000" w:usb3="00000000" w:csb0="00040001" w:csb1="00000000"/>
  </w:font>
  <w:font w:name="汉仪楷体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10000000" w:usb2="00000000" w:usb3="00000000" w:csb0="00000001" w:csb1="00000000"/>
  </w:font>
  <w:font w:name="苹方-简">
    <w:panose1 w:val="020B0400000000000000"/>
    <w:charset w:val="86"/>
    <w:family w:val="auto"/>
    <w:pitch w:val="default"/>
    <w:sig w:usb0="A00002FF" w:usb1="7ACFFDFB" w:usb2="00000017" w:usb3="00000000" w:csb0="00040001" w:csb1="00000000"/>
  </w:font>
  <w:font w:name="Kingsoft Math">
    <w:panose1 w:val="02040503050406030204"/>
    <w:charset w:val="00"/>
    <w:family w:val="auto"/>
    <w:pitch w:val="default"/>
    <w:sig w:usb0="80000087" w:usb1="00002068" w:usb2="00000000" w:usb3="00000000" w:csb0="2000019F" w:csb1="00000000"/>
  </w:font>
  <w:font w:name="DejaVu Math TeX Gyre">
    <w:panose1 w:val="02000503000000000000"/>
    <w:charset w:val="00"/>
    <w:family w:val="auto"/>
    <w:pitch w:val="default"/>
    <w:sig w:usb0="A10000EF" w:usb1="4201F9EE" w:usb2="02000000" w:usb3="00000000" w:csb0="60000193" w:csb1="0DD4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DE7A707">
    <w:pPr>
      <w:pStyle w:val="16"/>
      <w:ind w:firstLine="36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2"/>
      </w:rPr>
      <w:id w:val="834419060"/>
    </w:sdtPr>
    <w:sdtEndPr>
      <w:rPr>
        <w:rStyle w:val="32"/>
      </w:rPr>
    </w:sdtEndPr>
    <w:sdtContent>
      <w:p w14:paraId="39332728">
        <w:pPr>
          <w:pStyle w:val="16"/>
          <w:framePr w:wrap="auto" w:vAnchor="text" w:hAnchor="margin" w:xAlign="center" w:y="1"/>
          <w:ind w:firstLine="360"/>
          <w:rPr>
            <w:rStyle w:val="32"/>
          </w:rPr>
        </w:pPr>
        <w:r>
          <w:rPr>
            <w:rStyle w:val="32"/>
          </w:rPr>
          <w:fldChar w:fldCharType="begin"/>
        </w:r>
        <w:r>
          <w:rPr>
            <w:rStyle w:val="32"/>
          </w:rPr>
          <w:instrText xml:space="preserve"> PAGE </w:instrText>
        </w:r>
        <w:r>
          <w:rPr>
            <w:rStyle w:val="32"/>
          </w:rPr>
          <w:fldChar w:fldCharType="end"/>
        </w:r>
      </w:p>
    </w:sdtContent>
  </w:sdt>
  <w:sdt>
    <w:sdtPr>
      <w:rPr>
        <w:rStyle w:val="32"/>
      </w:rPr>
      <w:id w:val="427166615"/>
    </w:sdtPr>
    <w:sdtEndPr>
      <w:rPr>
        <w:rStyle w:val="32"/>
      </w:rPr>
    </w:sdtEndPr>
    <w:sdtContent>
      <w:p w14:paraId="002D5450">
        <w:pPr>
          <w:pStyle w:val="16"/>
          <w:framePr w:wrap="auto" w:vAnchor="text" w:hAnchor="margin" w:xAlign="right" w:y="1"/>
          <w:ind w:firstLine="360"/>
          <w:rPr>
            <w:rStyle w:val="32"/>
          </w:rPr>
        </w:pPr>
        <w:r>
          <w:rPr>
            <w:rStyle w:val="32"/>
          </w:rPr>
          <w:fldChar w:fldCharType="begin"/>
        </w:r>
        <w:r>
          <w:rPr>
            <w:rStyle w:val="32"/>
          </w:rPr>
          <w:instrText xml:space="preserve"> PAGE </w:instrText>
        </w:r>
        <w:r>
          <w:rPr>
            <w:rStyle w:val="32"/>
          </w:rPr>
          <w:fldChar w:fldCharType="end"/>
        </w:r>
      </w:p>
    </w:sdtContent>
  </w:sdt>
  <w:p w14:paraId="25E77124">
    <w:pPr>
      <w:pStyle w:val="16"/>
      <w:ind w:right="360"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6067F38">
    <w:pPr>
      <w:pStyle w:val="16"/>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2"/>
      </w:rPr>
      <w:id w:val="1599681167"/>
    </w:sdtPr>
    <w:sdtEndPr>
      <w:rPr>
        <w:rStyle w:val="32"/>
        <w:rFonts w:ascii="宋体" w:hAnsi="宋体"/>
      </w:rPr>
    </w:sdtEndPr>
    <w:sdtContent>
      <w:p w14:paraId="2C2D4C45">
        <w:pPr>
          <w:pStyle w:val="16"/>
          <w:framePr w:wrap="auto" w:vAnchor="text" w:hAnchor="margin" w:xAlign="center" w:y="1"/>
          <w:ind w:firstLine="360"/>
          <w:rPr>
            <w:rStyle w:val="32"/>
            <w:rFonts w:ascii="宋体" w:hAnsi="宋体"/>
          </w:rPr>
        </w:pPr>
        <w:r>
          <w:rPr>
            <w:rStyle w:val="32"/>
            <w:rFonts w:ascii="宋体" w:hAnsi="宋体"/>
          </w:rPr>
          <w:fldChar w:fldCharType="begin"/>
        </w:r>
        <w:r>
          <w:rPr>
            <w:rStyle w:val="32"/>
            <w:rFonts w:ascii="宋体" w:hAnsi="宋体"/>
          </w:rPr>
          <w:instrText xml:space="preserve"> PAGE </w:instrText>
        </w:r>
        <w:r>
          <w:rPr>
            <w:rStyle w:val="32"/>
            <w:rFonts w:ascii="宋体" w:hAnsi="宋体"/>
          </w:rPr>
          <w:fldChar w:fldCharType="separate"/>
        </w:r>
        <w:r>
          <w:rPr>
            <w:rStyle w:val="32"/>
            <w:rFonts w:ascii="宋体" w:hAnsi="宋体"/>
          </w:rPr>
          <w:t>II</w:t>
        </w:r>
        <w:r>
          <w:rPr>
            <w:rStyle w:val="32"/>
            <w:rFonts w:ascii="宋体" w:hAnsi="宋体"/>
          </w:rPr>
          <w:fldChar w:fldCharType="end"/>
        </w:r>
      </w:p>
    </w:sdtContent>
  </w:sdt>
  <w:p w14:paraId="04A332B6">
    <w:pPr>
      <w:pStyle w:val="16"/>
      <w:ind w:firstLine="360"/>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Style w:val="32"/>
      </w:rPr>
      <w:id w:val="-1"/>
    </w:sdtPr>
    <w:sdtEndPr>
      <w:rPr>
        <w:rStyle w:val="32"/>
        <w:rFonts w:ascii="宋体" w:hAnsi="宋体"/>
      </w:rPr>
    </w:sdtEndPr>
    <w:sdtContent>
      <w:p w14:paraId="3EC53AD8">
        <w:pPr>
          <w:pStyle w:val="16"/>
          <w:framePr w:wrap="auto" w:vAnchor="text" w:hAnchor="margin" w:xAlign="center" w:y="1"/>
          <w:ind w:firstLine="360"/>
          <w:rPr>
            <w:rStyle w:val="32"/>
            <w:rFonts w:ascii="宋体" w:hAnsi="宋体"/>
          </w:rPr>
        </w:pPr>
        <w:r>
          <w:rPr>
            <w:rStyle w:val="32"/>
            <w:rFonts w:ascii="宋体" w:hAnsi="宋体"/>
          </w:rPr>
          <w:fldChar w:fldCharType="begin"/>
        </w:r>
        <w:r>
          <w:rPr>
            <w:rStyle w:val="32"/>
            <w:rFonts w:ascii="宋体" w:hAnsi="宋体"/>
          </w:rPr>
          <w:instrText xml:space="preserve"> PAGE </w:instrText>
        </w:r>
        <w:r>
          <w:rPr>
            <w:rStyle w:val="32"/>
            <w:rFonts w:ascii="宋体" w:hAnsi="宋体"/>
          </w:rPr>
          <w:fldChar w:fldCharType="separate"/>
        </w:r>
        <w:r>
          <w:rPr>
            <w:rStyle w:val="32"/>
            <w:rFonts w:ascii="宋体" w:hAnsi="宋体"/>
          </w:rPr>
          <w:t>1</w:t>
        </w:r>
        <w:r>
          <w:rPr>
            <w:rStyle w:val="32"/>
            <w:rFonts w:ascii="宋体" w:hAnsi="宋体"/>
          </w:rPr>
          <w:fldChar w:fldCharType="end"/>
        </w:r>
      </w:p>
    </w:sdtContent>
  </w:sdt>
  <w:p w14:paraId="4D264468">
    <w:pPr>
      <w:pStyle w:val="16"/>
      <w:spacing w:after="240"/>
      <w:ind w:right="360" w:rightChars="150" w:firstLine="420"/>
      <w:rPr>
        <w:sz w:val="21"/>
        <w:szCs w:val="21"/>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22">
    <w:p>
      <w:pPr>
        <w:spacing w:line="360" w:lineRule="auto"/>
        <w:ind w:firstLine="480"/>
      </w:pPr>
    </w:p>
  </w:footnote>
  <w:footnote w:type="continuationSeparator" w:id="23">
    <w:p>
      <w:pPr>
        <w:spacing w:line="360" w:lineRule="auto"/>
        <w:ind w:firstLine="480"/>
      </w:pPr>
    </w:p>
  </w:footnote>
  <w:footnote w:id="0">
    <w:p w14:paraId="06841C96">
      <w:pPr>
        <w:pStyle w:val="21"/>
        <w:ind w:firstLine="360"/>
      </w:pPr>
      <w:r>
        <w:rPr>
          <w:rStyle w:val="37"/>
        </w:rPr>
        <w:footnoteRef/>
      </w:r>
      <w:r>
        <w:t xml:space="preserve"> https://platform.openai.com/docs/guides/moderation</w:t>
      </w:r>
    </w:p>
  </w:footnote>
  <w:footnote w:id="1">
    <w:p w14:paraId="37592587">
      <w:pPr>
        <w:pStyle w:val="21"/>
        <w:ind w:firstLine="360"/>
      </w:pPr>
      <w:r>
        <w:rPr>
          <w:rStyle w:val="37"/>
        </w:rPr>
        <w:footnoteRef/>
      </w:r>
      <w:r>
        <w:t xml:space="preserve"> https://azure.microsoft.com/en-us/products/ai-services/ai-content-safety</w:t>
      </w:r>
    </w:p>
  </w:footnote>
  <w:footnote w:id="2">
    <w:p w14:paraId="7559BED1">
      <w:pPr>
        <w:pStyle w:val="21"/>
        <w:ind w:firstLine="360"/>
      </w:pPr>
      <w:r>
        <w:rPr>
          <w:rStyle w:val="37"/>
        </w:rPr>
        <w:footnoteRef/>
      </w:r>
      <w:r>
        <w:t xml:space="preserve"> https://perspectiveapi.com/</w:t>
      </w:r>
    </w:p>
  </w:footnote>
  <w:footnote w:id="3">
    <w:p w14:paraId="7EE74448">
      <w:pPr>
        <w:pStyle w:val="21"/>
        <w:ind w:firstLine="360"/>
      </w:pPr>
      <w:r>
        <w:rPr>
          <w:rStyle w:val="37"/>
        </w:rPr>
        <w:footnoteRef/>
      </w:r>
      <w:r>
        <w:t xml:space="preserve"> https://github.com/konsheng/Sensitive-lexicon</w:t>
      </w:r>
    </w:p>
  </w:footnote>
  <w:footnote w:id="4">
    <w:p w14:paraId="2E165541">
      <w:pPr>
        <w:pStyle w:val="21"/>
        <w:ind w:firstLine="360"/>
      </w:pPr>
      <w:r>
        <w:rPr>
          <w:rStyle w:val="37"/>
        </w:rPr>
        <w:footnoteRef/>
      </w:r>
      <w:r>
        <w:t xml:space="preserve"> https://www.datafountain.cn/competitions/310/datasets</w:t>
      </w:r>
    </w:p>
  </w:footnote>
  <w:footnote w:id="5">
    <w:p w14:paraId="756C57E7">
      <w:pPr>
        <w:pStyle w:val="21"/>
        <w:ind w:firstLine="360"/>
      </w:pPr>
      <w:r>
        <w:rPr>
          <w:rStyle w:val="37"/>
        </w:rPr>
        <w:footnoteRef/>
      </w:r>
      <w:r>
        <w:t xml:space="preserve"> https://www.modelscope.cn/datasets/DAMO_NLP/yf_dianping</w:t>
      </w:r>
    </w:p>
  </w:footnote>
  <w:footnote w:id="6">
    <w:p w14:paraId="0277242E">
      <w:pPr>
        <w:pStyle w:val="21"/>
        <w:ind w:firstLine="360"/>
      </w:pPr>
      <w:r>
        <w:rPr>
          <w:rStyle w:val="37"/>
        </w:rPr>
        <w:footnoteRef/>
      </w:r>
      <w:r>
        <w:t xml:space="preserve"> https://modelscope.cn/datasets/DAMO_NLP/jd</w:t>
      </w:r>
    </w:p>
  </w:footnote>
  <w:footnote w:id="7">
    <w:p w14:paraId="171BD741">
      <w:pPr>
        <w:pStyle w:val="21"/>
        <w:ind w:firstLine="360"/>
      </w:pPr>
      <w:r>
        <w:rPr>
          <w:rStyle w:val="37"/>
        </w:rPr>
        <w:footnoteRef/>
      </w:r>
      <w:r>
        <w:t xml:space="preserve"> https://github.com/SophonPlus/ChineseNlpCorpus/tree/master/datasets/waimai_10k</w:t>
      </w:r>
    </w:p>
  </w:footnote>
  <w:footnote w:id="8">
    <w:p w14:paraId="2A751450">
      <w:pPr>
        <w:pStyle w:val="21"/>
        <w:ind w:firstLine="360"/>
      </w:pPr>
      <w:r>
        <w:rPr>
          <w:rStyle w:val="37"/>
        </w:rPr>
        <w:footnoteRef/>
      </w:r>
      <w:r>
        <w:t xml:space="preserve"> https://huggingface.co/datasets/Congliu/Chinese-DeepSeek-R1-Distill-data-110k</w:t>
      </w:r>
    </w:p>
  </w:footnote>
  <w:footnote w:id="9">
    <w:p w14:paraId="72E64E25">
      <w:pPr>
        <w:pStyle w:val="21"/>
        <w:ind w:firstLine="360"/>
      </w:pPr>
      <w:r>
        <w:rPr>
          <w:rStyle w:val="37"/>
        </w:rPr>
        <w:footnoteRef/>
      </w:r>
      <w:r>
        <w:t xml:space="preserve"> https://platform.openai.com/docs/models/gpt-4o-mini</w:t>
      </w:r>
    </w:p>
  </w:footnote>
  <w:footnote w:id="10">
    <w:p w14:paraId="780F7AF3">
      <w:pPr>
        <w:pStyle w:val="21"/>
        <w:ind w:firstLine="360"/>
      </w:pPr>
      <w:r>
        <w:rPr>
          <w:rStyle w:val="37"/>
        </w:rPr>
        <w:footnoteRef/>
      </w:r>
      <w:r>
        <w:t xml:space="preserve"> https://huggingface.co/meta-llama/Llama-3.2-3B-Instruct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CD048C0">
    <w:pPr>
      <w:ind w:firstLine="480"/>
      <w:rPr>
        <w:rFonts w:ascii="小宋" w:hAnsi="小宋" w:eastAsia="小宋" w:cs="小宋"/>
      </w:rPr>
    </w:pPr>
    <w:r>
      <w:rPr>
        <w:rFonts w:ascii="小宋" w:hAnsi="小宋" w:eastAsia="小宋" w:cs="小宋"/>
        <w:szCs w:val="21"/>
      </w:rPr>
      <w:tab/>
    </w:r>
    <w:r>
      <w:rPr>
        <w:rFonts w:ascii="小宋" w:hAnsi="小宋" w:eastAsia="小宋" w:cs="小宋"/>
        <w:szCs w:val="21"/>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33D19B">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3A8DC0">
    <w:pPr>
      <w:pStyle w:val="17"/>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CA859FD">
    <w:pPr>
      <w:ind w:firstLine="480"/>
      <w:rPr>
        <w:rFonts w:ascii="小宋" w:hAnsi="小宋" w:eastAsia="小宋" w:cs="小宋"/>
      </w:rPr>
    </w:pPr>
    <w:r>
      <w:rPr>
        <w:rFonts w:ascii="小宋" w:hAnsi="小宋" w:eastAsia="小宋" w:cs="小宋"/>
        <w:szCs w:val="21"/>
      </w:rPr>
      <w:tab/>
    </w:r>
    <w:r>
      <w:rPr>
        <w:rFonts w:ascii="小宋" w:hAnsi="小宋" w:eastAsia="小宋" w:cs="小宋"/>
        <w:szCs w:val="21"/>
      </w:rPr>
      <w:tab/>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742F865">
    <w:pPr>
      <w:pStyle w:val="17"/>
      <w:pBdr>
        <w:bottom w:val="none" w:color="auto" w:sz="0" w:space="1"/>
      </w:pBdr>
      <w:tabs>
        <w:tab w:val="center" w:pos="5140"/>
        <w:tab w:val="left" w:pos="7650"/>
      </w:tabs>
      <w:ind w:firstLine="360"/>
      <w:rPr>
        <w:rFonts w:ascii="小宋" w:hAnsi="小宋" w:eastAsia="小宋" w:cs="小宋"/>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9553B4">
    <w:pPr>
      <w:pStyle w:val="17"/>
      <w:pBdr>
        <w:bottom w:val="single" w:color="auto" w:sz="6" w:space="0"/>
      </w:pBdr>
      <w:ind w:firstLine="360"/>
      <w:rPr>
        <w:rFonts w:ascii="宋体" w:hAnsi="宋体"/>
      </w:rPr>
    </w:pPr>
    <w:r>
      <w:rPr>
        <w:rFonts w:hint="eastAsia" w:ascii="宋体" w:hAnsi="宋体"/>
      </w:rPr>
      <w:t>北京邮电大学本科毕业设计（论文）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A3DF2A4"/>
    <w:multiLevelType w:val="singleLevel"/>
    <w:tmpl w:val="FA3DF2A4"/>
    <w:lvl w:ilvl="0" w:tentative="0">
      <w:start w:val="1"/>
      <w:numFmt w:val="decimal"/>
      <w:suff w:val="space"/>
      <w:lvlText w:val="%1."/>
      <w:lvlJc w:val="left"/>
    </w:lvl>
  </w:abstractNum>
  <w:abstractNum w:abstractNumId="1">
    <w:nsid w:val="044331E9"/>
    <w:multiLevelType w:val="multilevel"/>
    <w:tmpl w:val="044331E9"/>
    <w:lvl w:ilvl="0" w:tentative="0">
      <w:start w:val="1"/>
      <w:numFmt w:val="decimal"/>
      <w:lvlText w:val="[%1]"/>
      <w:lvlJc w:val="left"/>
      <w:pPr>
        <w:ind w:left="440" w:hanging="440"/>
      </w:pPr>
      <w:rPr>
        <w:rFonts w:hint="eastAsia"/>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1"/>
  <w:bordersDoNotSurroundHeader w:val="1"/>
  <w:bordersDoNotSurroundFooter w:val="1"/>
  <w:trackRevisions w:val="1"/>
  <w:documentProtection w:enforcement="0"/>
  <w:defaultTabStop w:val="420"/>
  <w:drawingGridHorizontalSpacing w:val="240"/>
  <w:drawingGridVerticalSpacing w:val="166"/>
  <w:displayVerticalDrawingGridEvery w:val="2"/>
  <w:characterSpacingControl w:val="compressPunctuation"/>
  <w:footnotePr>
    <w:footnote w:id="22"/>
    <w:footnote w:id="23"/>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g0MzBhMzRhZWIyYzU4MGZkMjEzZmFlNWE5NjNmY2EifQ=="/>
  </w:docVars>
  <w:rsids>
    <w:rsidRoot w:val="001D7841"/>
    <w:rsid w:val="00000BB3"/>
    <w:rsid w:val="00000F67"/>
    <w:rsid w:val="0000174F"/>
    <w:rsid w:val="00001EF4"/>
    <w:rsid w:val="0000230B"/>
    <w:rsid w:val="0000235B"/>
    <w:rsid w:val="000032F5"/>
    <w:rsid w:val="00006B4E"/>
    <w:rsid w:val="0001049C"/>
    <w:rsid w:val="00010CB2"/>
    <w:rsid w:val="000114D4"/>
    <w:rsid w:val="0001278E"/>
    <w:rsid w:val="0001340A"/>
    <w:rsid w:val="00015C38"/>
    <w:rsid w:val="0001754E"/>
    <w:rsid w:val="00022976"/>
    <w:rsid w:val="00022C0F"/>
    <w:rsid w:val="000246BC"/>
    <w:rsid w:val="00025B41"/>
    <w:rsid w:val="00027850"/>
    <w:rsid w:val="0003015E"/>
    <w:rsid w:val="00030B4C"/>
    <w:rsid w:val="0003130E"/>
    <w:rsid w:val="00031CCD"/>
    <w:rsid w:val="000323CF"/>
    <w:rsid w:val="00032544"/>
    <w:rsid w:val="00034975"/>
    <w:rsid w:val="00035582"/>
    <w:rsid w:val="00037394"/>
    <w:rsid w:val="00037799"/>
    <w:rsid w:val="00037951"/>
    <w:rsid w:val="00040033"/>
    <w:rsid w:val="000416F9"/>
    <w:rsid w:val="00042675"/>
    <w:rsid w:val="000430B3"/>
    <w:rsid w:val="00043788"/>
    <w:rsid w:val="000439B2"/>
    <w:rsid w:val="000441DC"/>
    <w:rsid w:val="0004428F"/>
    <w:rsid w:val="000457A7"/>
    <w:rsid w:val="00046B7A"/>
    <w:rsid w:val="000470A2"/>
    <w:rsid w:val="00047224"/>
    <w:rsid w:val="00047B71"/>
    <w:rsid w:val="000514AE"/>
    <w:rsid w:val="0005259F"/>
    <w:rsid w:val="000529B0"/>
    <w:rsid w:val="00052D43"/>
    <w:rsid w:val="00052FFB"/>
    <w:rsid w:val="0005507D"/>
    <w:rsid w:val="00055C15"/>
    <w:rsid w:val="00055E0D"/>
    <w:rsid w:val="000568D8"/>
    <w:rsid w:val="000600E1"/>
    <w:rsid w:val="0006325F"/>
    <w:rsid w:val="00064256"/>
    <w:rsid w:val="000652EB"/>
    <w:rsid w:val="000658BF"/>
    <w:rsid w:val="000659A7"/>
    <w:rsid w:val="000704AE"/>
    <w:rsid w:val="00072142"/>
    <w:rsid w:val="000724F9"/>
    <w:rsid w:val="00073BE5"/>
    <w:rsid w:val="00080B35"/>
    <w:rsid w:val="000832ED"/>
    <w:rsid w:val="00083EB2"/>
    <w:rsid w:val="00084B4F"/>
    <w:rsid w:val="000859AB"/>
    <w:rsid w:val="00086328"/>
    <w:rsid w:val="00086E3F"/>
    <w:rsid w:val="00087972"/>
    <w:rsid w:val="00087BF7"/>
    <w:rsid w:val="000903B4"/>
    <w:rsid w:val="00090D35"/>
    <w:rsid w:val="000915D6"/>
    <w:rsid w:val="00091D30"/>
    <w:rsid w:val="00092510"/>
    <w:rsid w:val="000927ED"/>
    <w:rsid w:val="00093A43"/>
    <w:rsid w:val="00094519"/>
    <w:rsid w:val="0009504F"/>
    <w:rsid w:val="0009645D"/>
    <w:rsid w:val="00096AEF"/>
    <w:rsid w:val="00096B94"/>
    <w:rsid w:val="00096D75"/>
    <w:rsid w:val="000A1494"/>
    <w:rsid w:val="000A18A4"/>
    <w:rsid w:val="000A22A9"/>
    <w:rsid w:val="000A3326"/>
    <w:rsid w:val="000A4829"/>
    <w:rsid w:val="000A519E"/>
    <w:rsid w:val="000A6432"/>
    <w:rsid w:val="000A7A1D"/>
    <w:rsid w:val="000A7DA4"/>
    <w:rsid w:val="000B0409"/>
    <w:rsid w:val="000B0C70"/>
    <w:rsid w:val="000B0EE9"/>
    <w:rsid w:val="000B44D9"/>
    <w:rsid w:val="000B7634"/>
    <w:rsid w:val="000C0558"/>
    <w:rsid w:val="000C1208"/>
    <w:rsid w:val="000C1337"/>
    <w:rsid w:val="000C24B5"/>
    <w:rsid w:val="000C48E4"/>
    <w:rsid w:val="000C61D2"/>
    <w:rsid w:val="000C61E9"/>
    <w:rsid w:val="000C7BC7"/>
    <w:rsid w:val="000D0DCF"/>
    <w:rsid w:val="000D2A17"/>
    <w:rsid w:val="000D2ACA"/>
    <w:rsid w:val="000D3E12"/>
    <w:rsid w:val="000D448B"/>
    <w:rsid w:val="000D5264"/>
    <w:rsid w:val="000D65EA"/>
    <w:rsid w:val="000D6C00"/>
    <w:rsid w:val="000D7174"/>
    <w:rsid w:val="000D7389"/>
    <w:rsid w:val="000D7DAA"/>
    <w:rsid w:val="000E196E"/>
    <w:rsid w:val="000E1FD5"/>
    <w:rsid w:val="000E24BA"/>
    <w:rsid w:val="000E3258"/>
    <w:rsid w:val="000E3FEF"/>
    <w:rsid w:val="000E43A7"/>
    <w:rsid w:val="000E4939"/>
    <w:rsid w:val="000E69F9"/>
    <w:rsid w:val="000F0D1B"/>
    <w:rsid w:val="000F2228"/>
    <w:rsid w:val="000F482F"/>
    <w:rsid w:val="000F6AC6"/>
    <w:rsid w:val="000F6B15"/>
    <w:rsid w:val="000F7CAD"/>
    <w:rsid w:val="001014E0"/>
    <w:rsid w:val="00101928"/>
    <w:rsid w:val="00102C2E"/>
    <w:rsid w:val="001038A9"/>
    <w:rsid w:val="001051C5"/>
    <w:rsid w:val="00106346"/>
    <w:rsid w:val="00107C56"/>
    <w:rsid w:val="00107DD6"/>
    <w:rsid w:val="0011056B"/>
    <w:rsid w:val="001116B8"/>
    <w:rsid w:val="00112065"/>
    <w:rsid w:val="00112442"/>
    <w:rsid w:val="0011280A"/>
    <w:rsid w:val="00113B9B"/>
    <w:rsid w:val="00113C0E"/>
    <w:rsid w:val="00114D99"/>
    <w:rsid w:val="00115E5B"/>
    <w:rsid w:val="00116FE0"/>
    <w:rsid w:val="001214C3"/>
    <w:rsid w:val="00121E01"/>
    <w:rsid w:val="001220E9"/>
    <w:rsid w:val="0012281F"/>
    <w:rsid w:val="00122F27"/>
    <w:rsid w:val="001232A1"/>
    <w:rsid w:val="00125216"/>
    <w:rsid w:val="001260D3"/>
    <w:rsid w:val="00131112"/>
    <w:rsid w:val="00133C25"/>
    <w:rsid w:val="0013485F"/>
    <w:rsid w:val="00137297"/>
    <w:rsid w:val="00140F3F"/>
    <w:rsid w:val="00142182"/>
    <w:rsid w:val="00142404"/>
    <w:rsid w:val="00142C77"/>
    <w:rsid w:val="0014627F"/>
    <w:rsid w:val="0014674F"/>
    <w:rsid w:val="00150FFB"/>
    <w:rsid w:val="00151ADE"/>
    <w:rsid w:val="00151E74"/>
    <w:rsid w:val="00152484"/>
    <w:rsid w:val="00153A72"/>
    <w:rsid w:val="00155041"/>
    <w:rsid w:val="00155703"/>
    <w:rsid w:val="00156704"/>
    <w:rsid w:val="0016363C"/>
    <w:rsid w:val="00170BC9"/>
    <w:rsid w:val="0017278C"/>
    <w:rsid w:val="00173342"/>
    <w:rsid w:val="0017544A"/>
    <w:rsid w:val="00175A94"/>
    <w:rsid w:val="00175D72"/>
    <w:rsid w:val="001809F0"/>
    <w:rsid w:val="00181CCB"/>
    <w:rsid w:val="00181EB3"/>
    <w:rsid w:val="001832B9"/>
    <w:rsid w:val="00184473"/>
    <w:rsid w:val="00185167"/>
    <w:rsid w:val="00186816"/>
    <w:rsid w:val="00186B7D"/>
    <w:rsid w:val="00190577"/>
    <w:rsid w:val="00190967"/>
    <w:rsid w:val="00190A0F"/>
    <w:rsid w:val="001924DE"/>
    <w:rsid w:val="001925A8"/>
    <w:rsid w:val="001963D7"/>
    <w:rsid w:val="00196A3F"/>
    <w:rsid w:val="00196C26"/>
    <w:rsid w:val="00197C9D"/>
    <w:rsid w:val="001A01E0"/>
    <w:rsid w:val="001A12D6"/>
    <w:rsid w:val="001A1B45"/>
    <w:rsid w:val="001A492B"/>
    <w:rsid w:val="001B240E"/>
    <w:rsid w:val="001B2B7A"/>
    <w:rsid w:val="001B3689"/>
    <w:rsid w:val="001B3B45"/>
    <w:rsid w:val="001B4ABB"/>
    <w:rsid w:val="001B5091"/>
    <w:rsid w:val="001B5D39"/>
    <w:rsid w:val="001B602B"/>
    <w:rsid w:val="001C0EBA"/>
    <w:rsid w:val="001C223F"/>
    <w:rsid w:val="001C312A"/>
    <w:rsid w:val="001C34FD"/>
    <w:rsid w:val="001C4A27"/>
    <w:rsid w:val="001C55D1"/>
    <w:rsid w:val="001C63CB"/>
    <w:rsid w:val="001C7BFE"/>
    <w:rsid w:val="001D393B"/>
    <w:rsid w:val="001D4EF0"/>
    <w:rsid w:val="001D5425"/>
    <w:rsid w:val="001D5C40"/>
    <w:rsid w:val="001D5EDA"/>
    <w:rsid w:val="001D773F"/>
    <w:rsid w:val="001D7841"/>
    <w:rsid w:val="001E2F9E"/>
    <w:rsid w:val="001E51F2"/>
    <w:rsid w:val="001E5CA6"/>
    <w:rsid w:val="001E5D82"/>
    <w:rsid w:val="001E6140"/>
    <w:rsid w:val="001F1116"/>
    <w:rsid w:val="001F256C"/>
    <w:rsid w:val="001F2CA0"/>
    <w:rsid w:val="001F2F92"/>
    <w:rsid w:val="001F3489"/>
    <w:rsid w:val="001F3C3E"/>
    <w:rsid w:val="001F4CFC"/>
    <w:rsid w:val="001F5A9F"/>
    <w:rsid w:val="001F6B50"/>
    <w:rsid w:val="001F6E5F"/>
    <w:rsid w:val="001F6EA9"/>
    <w:rsid w:val="001F7537"/>
    <w:rsid w:val="00201A4F"/>
    <w:rsid w:val="002024BF"/>
    <w:rsid w:val="00202887"/>
    <w:rsid w:val="00202F32"/>
    <w:rsid w:val="002030E8"/>
    <w:rsid w:val="00203A19"/>
    <w:rsid w:val="002056EA"/>
    <w:rsid w:val="00206C4D"/>
    <w:rsid w:val="00210216"/>
    <w:rsid w:val="00214B92"/>
    <w:rsid w:val="00215574"/>
    <w:rsid w:val="00215693"/>
    <w:rsid w:val="00215743"/>
    <w:rsid w:val="00222F36"/>
    <w:rsid w:val="0022465C"/>
    <w:rsid w:val="00225BD1"/>
    <w:rsid w:val="00225D22"/>
    <w:rsid w:val="0022696F"/>
    <w:rsid w:val="00227914"/>
    <w:rsid w:val="0023166C"/>
    <w:rsid w:val="0023198C"/>
    <w:rsid w:val="00232634"/>
    <w:rsid w:val="002335D6"/>
    <w:rsid w:val="00233714"/>
    <w:rsid w:val="00237536"/>
    <w:rsid w:val="00237A29"/>
    <w:rsid w:val="00240ACF"/>
    <w:rsid w:val="0024110D"/>
    <w:rsid w:val="00243EE6"/>
    <w:rsid w:val="00246113"/>
    <w:rsid w:val="0024618E"/>
    <w:rsid w:val="00246BEE"/>
    <w:rsid w:val="00247067"/>
    <w:rsid w:val="002471FB"/>
    <w:rsid w:val="00247695"/>
    <w:rsid w:val="00250AE7"/>
    <w:rsid w:val="0025156E"/>
    <w:rsid w:val="0025272D"/>
    <w:rsid w:val="00252CC4"/>
    <w:rsid w:val="00256794"/>
    <w:rsid w:val="00256A63"/>
    <w:rsid w:val="00256AE4"/>
    <w:rsid w:val="00257634"/>
    <w:rsid w:val="00260C1B"/>
    <w:rsid w:val="00264E6F"/>
    <w:rsid w:val="0026701A"/>
    <w:rsid w:val="00270ACC"/>
    <w:rsid w:val="00271EAE"/>
    <w:rsid w:val="002721C2"/>
    <w:rsid w:val="002742DE"/>
    <w:rsid w:val="00274859"/>
    <w:rsid w:val="00274EAF"/>
    <w:rsid w:val="00274FF1"/>
    <w:rsid w:val="00275C65"/>
    <w:rsid w:val="00276936"/>
    <w:rsid w:val="002772C5"/>
    <w:rsid w:val="00277C59"/>
    <w:rsid w:val="002817C5"/>
    <w:rsid w:val="00284B1C"/>
    <w:rsid w:val="00285AF9"/>
    <w:rsid w:val="0028688D"/>
    <w:rsid w:val="00287B96"/>
    <w:rsid w:val="00291750"/>
    <w:rsid w:val="00292B73"/>
    <w:rsid w:val="002944A9"/>
    <w:rsid w:val="0029507A"/>
    <w:rsid w:val="00295F65"/>
    <w:rsid w:val="00297C5E"/>
    <w:rsid w:val="002A1654"/>
    <w:rsid w:val="002A31C9"/>
    <w:rsid w:val="002A4D6E"/>
    <w:rsid w:val="002A7FCE"/>
    <w:rsid w:val="002B08C0"/>
    <w:rsid w:val="002B325B"/>
    <w:rsid w:val="002B33F8"/>
    <w:rsid w:val="002B3F5F"/>
    <w:rsid w:val="002B4BA9"/>
    <w:rsid w:val="002C519F"/>
    <w:rsid w:val="002C6B23"/>
    <w:rsid w:val="002D0733"/>
    <w:rsid w:val="002D1EAF"/>
    <w:rsid w:val="002D3BD8"/>
    <w:rsid w:val="002D5A54"/>
    <w:rsid w:val="002D6F03"/>
    <w:rsid w:val="002E3EB3"/>
    <w:rsid w:val="002E4F07"/>
    <w:rsid w:val="002E6202"/>
    <w:rsid w:val="002E6955"/>
    <w:rsid w:val="002E69CC"/>
    <w:rsid w:val="002E7587"/>
    <w:rsid w:val="002F06E8"/>
    <w:rsid w:val="002F13EF"/>
    <w:rsid w:val="002F2765"/>
    <w:rsid w:val="002F288A"/>
    <w:rsid w:val="002F3305"/>
    <w:rsid w:val="002F535B"/>
    <w:rsid w:val="00300B9B"/>
    <w:rsid w:val="00301249"/>
    <w:rsid w:val="00301AD2"/>
    <w:rsid w:val="003035BF"/>
    <w:rsid w:val="00303DE0"/>
    <w:rsid w:val="003042F8"/>
    <w:rsid w:val="0030433E"/>
    <w:rsid w:val="00304C24"/>
    <w:rsid w:val="00304CC5"/>
    <w:rsid w:val="00306544"/>
    <w:rsid w:val="00306A40"/>
    <w:rsid w:val="003077F7"/>
    <w:rsid w:val="00307C4C"/>
    <w:rsid w:val="00310C9F"/>
    <w:rsid w:val="003114A9"/>
    <w:rsid w:val="00314B49"/>
    <w:rsid w:val="00314DF5"/>
    <w:rsid w:val="00315761"/>
    <w:rsid w:val="00316E3E"/>
    <w:rsid w:val="00317459"/>
    <w:rsid w:val="00317693"/>
    <w:rsid w:val="00317CEC"/>
    <w:rsid w:val="003214B4"/>
    <w:rsid w:val="00323573"/>
    <w:rsid w:val="003258A2"/>
    <w:rsid w:val="0032607B"/>
    <w:rsid w:val="00326F9D"/>
    <w:rsid w:val="00327362"/>
    <w:rsid w:val="00327566"/>
    <w:rsid w:val="00327E0E"/>
    <w:rsid w:val="003301C5"/>
    <w:rsid w:val="00332961"/>
    <w:rsid w:val="0033345E"/>
    <w:rsid w:val="0033448D"/>
    <w:rsid w:val="00337FE3"/>
    <w:rsid w:val="00342B68"/>
    <w:rsid w:val="00344E9A"/>
    <w:rsid w:val="00345BD4"/>
    <w:rsid w:val="00345C9B"/>
    <w:rsid w:val="003467FF"/>
    <w:rsid w:val="00346B02"/>
    <w:rsid w:val="00346DA0"/>
    <w:rsid w:val="00350DB1"/>
    <w:rsid w:val="00352540"/>
    <w:rsid w:val="003530E7"/>
    <w:rsid w:val="00354545"/>
    <w:rsid w:val="0035620E"/>
    <w:rsid w:val="00362682"/>
    <w:rsid w:val="00362FD9"/>
    <w:rsid w:val="003632A2"/>
    <w:rsid w:val="00365FAD"/>
    <w:rsid w:val="003679F7"/>
    <w:rsid w:val="00367E1C"/>
    <w:rsid w:val="00370597"/>
    <w:rsid w:val="00371A8A"/>
    <w:rsid w:val="00372E38"/>
    <w:rsid w:val="00372E8E"/>
    <w:rsid w:val="00373259"/>
    <w:rsid w:val="00377F26"/>
    <w:rsid w:val="00377FA7"/>
    <w:rsid w:val="0038015A"/>
    <w:rsid w:val="0038017A"/>
    <w:rsid w:val="0038091D"/>
    <w:rsid w:val="00380EF8"/>
    <w:rsid w:val="003826BA"/>
    <w:rsid w:val="00382B44"/>
    <w:rsid w:val="00383494"/>
    <w:rsid w:val="00383D12"/>
    <w:rsid w:val="003859F0"/>
    <w:rsid w:val="00386606"/>
    <w:rsid w:val="00387703"/>
    <w:rsid w:val="00390088"/>
    <w:rsid w:val="00391C0D"/>
    <w:rsid w:val="00393E26"/>
    <w:rsid w:val="00394599"/>
    <w:rsid w:val="00396623"/>
    <w:rsid w:val="0039750A"/>
    <w:rsid w:val="003979C1"/>
    <w:rsid w:val="003A05AE"/>
    <w:rsid w:val="003A0AFC"/>
    <w:rsid w:val="003A50BD"/>
    <w:rsid w:val="003A52E2"/>
    <w:rsid w:val="003A60DE"/>
    <w:rsid w:val="003A79D0"/>
    <w:rsid w:val="003A7BF1"/>
    <w:rsid w:val="003B04D7"/>
    <w:rsid w:val="003B0F2F"/>
    <w:rsid w:val="003B10DB"/>
    <w:rsid w:val="003B26D2"/>
    <w:rsid w:val="003B3CA9"/>
    <w:rsid w:val="003B5799"/>
    <w:rsid w:val="003B5F57"/>
    <w:rsid w:val="003B684D"/>
    <w:rsid w:val="003B779B"/>
    <w:rsid w:val="003B7FB6"/>
    <w:rsid w:val="003C0E8C"/>
    <w:rsid w:val="003C11AC"/>
    <w:rsid w:val="003C15F7"/>
    <w:rsid w:val="003C64ED"/>
    <w:rsid w:val="003C68EC"/>
    <w:rsid w:val="003C7AB1"/>
    <w:rsid w:val="003C7AD3"/>
    <w:rsid w:val="003D1090"/>
    <w:rsid w:val="003D1342"/>
    <w:rsid w:val="003D1FD4"/>
    <w:rsid w:val="003D259B"/>
    <w:rsid w:val="003D3028"/>
    <w:rsid w:val="003D6660"/>
    <w:rsid w:val="003D7906"/>
    <w:rsid w:val="003E1BE8"/>
    <w:rsid w:val="003E282C"/>
    <w:rsid w:val="003E6E99"/>
    <w:rsid w:val="003E7F03"/>
    <w:rsid w:val="003F2CEF"/>
    <w:rsid w:val="003F2F16"/>
    <w:rsid w:val="003F2FA6"/>
    <w:rsid w:val="003F4E55"/>
    <w:rsid w:val="00400FE3"/>
    <w:rsid w:val="0040203C"/>
    <w:rsid w:val="0040209C"/>
    <w:rsid w:val="0040244A"/>
    <w:rsid w:val="004034B8"/>
    <w:rsid w:val="004039A9"/>
    <w:rsid w:val="00406EC5"/>
    <w:rsid w:val="004106AE"/>
    <w:rsid w:val="004118E3"/>
    <w:rsid w:val="004133D8"/>
    <w:rsid w:val="00413524"/>
    <w:rsid w:val="004138EE"/>
    <w:rsid w:val="00413C49"/>
    <w:rsid w:val="00414502"/>
    <w:rsid w:val="00414F24"/>
    <w:rsid w:val="00420B9B"/>
    <w:rsid w:val="00421B7A"/>
    <w:rsid w:val="004232DC"/>
    <w:rsid w:val="00424CC1"/>
    <w:rsid w:val="00425224"/>
    <w:rsid w:val="00425999"/>
    <w:rsid w:val="0042686E"/>
    <w:rsid w:val="00427ABA"/>
    <w:rsid w:val="004304F1"/>
    <w:rsid w:val="0043135B"/>
    <w:rsid w:val="004315CE"/>
    <w:rsid w:val="00431650"/>
    <w:rsid w:val="00432429"/>
    <w:rsid w:val="00432750"/>
    <w:rsid w:val="00433452"/>
    <w:rsid w:val="004339A1"/>
    <w:rsid w:val="00443409"/>
    <w:rsid w:val="004437D2"/>
    <w:rsid w:val="004440CB"/>
    <w:rsid w:val="00444865"/>
    <w:rsid w:val="00444E1B"/>
    <w:rsid w:val="00445C5B"/>
    <w:rsid w:val="00450288"/>
    <w:rsid w:val="00451481"/>
    <w:rsid w:val="00452033"/>
    <w:rsid w:val="0045438E"/>
    <w:rsid w:val="0045576A"/>
    <w:rsid w:val="00455E46"/>
    <w:rsid w:val="0045617D"/>
    <w:rsid w:val="004601AA"/>
    <w:rsid w:val="004609D1"/>
    <w:rsid w:val="00462CF8"/>
    <w:rsid w:val="004639E6"/>
    <w:rsid w:val="004649FC"/>
    <w:rsid w:val="00464CC7"/>
    <w:rsid w:val="00466CAE"/>
    <w:rsid w:val="00471706"/>
    <w:rsid w:val="00472ACA"/>
    <w:rsid w:val="0047410F"/>
    <w:rsid w:val="00474176"/>
    <w:rsid w:val="00476E77"/>
    <w:rsid w:val="004806BD"/>
    <w:rsid w:val="00481865"/>
    <w:rsid w:val="00481BE9"/>
    <w:rsid w:val="00482FF3"/>
    <w:rsid w:val="00484681"/>
    <w:rsid w:val="004851EE"/>
    <w:rsid w:val="00486053"/>
    <w:rsid w:val="004876C9"/>
    <w:rsid w:val="004900A0"/>
    <w:rsid w:val="00491746"/>
    <w:rsid w:val="00492044"/>
    <w:rsid w:val="0049238D"/>
    <w:rsid w:val="00493A70"/>
    <w:rsid w:val="00494D61"/>
    <w:rsid w:val="00495B2A"/>
    <w:rsid w:val="00496AD7"/>
    <w:rsid w:val="00496BB5"/>
    <w:rsid w:val="004978F6"/>
    <w:rsid w:val="00497E18"/>
    <w:rsid w:val="004A1147"/>
    <w:rsid w:val="004A3548"/>
    <w:rsid w:val="004A6CA7"/>
    <w:rsid w:val="004B0D3E"/>
    <w:rsid w:val="004B2E0F"/>
    <w:rsid w:val="004B4586"/>
    <w:rsid w:val="004B503C"/>
    <w:rsid w:val="004B5AE0"/>
    <w:rsid w:val="004B7A42"/>
    <w:rsid w:val="004B7F30"/>
    <w:rsid w:val="004C0A51"/>
    <w:rsid w:val="004C0C57"/>
    <w:rsid w:val="004C2018"/>
    <w:rsid w:val="004C30AB"/>
    <w:rsid w:val="004C31BC"/>
    <w:rsid w:val="004C4309"/>
    <w:rsid w:val="004C5C60"/>
    <w:rsid w:val="004C65A7"/>
    <w:rsid w:val="004D050D"/>
    <w:rsid w:val="004D0CDA"/>
    <w:rsid w:val="004D1696"/>
    <w:rsid w:val="004D3D19"/>
    <w:rsid w:val="004D6D3B"/>
    <w:rsid w:val="004D6D50"/>
    <w:rsid w:val="004D7A23"/>
    <w:rsid w:val="004E4D5F"/>
    <w:rsid w:val="004E52C9"/>
    <w:rsid w:val="004E732F"/>
    <w:rsid w:val="004E75A2"/>
    <w:rsid w:val="004E797B"/>
    <w:rsid w:val="004E7F24"/>
    <w:rsid w:val="004F3965"/>
    <w:rsid w:val="004F4223"/>
    <w:rsid w:val="004F5856"/>
    <w:rsid w:val="004F5BE5"/>
    <w:rsid w:val="004F7C08"/>
    <w:rsid w:val="005001EE"/>
    <w:rsid w:val="00501505"/>
    <w:rsid w:val="00501674"/>
    <w:rsid w:val="0050339B"/>
    <w:rsid w:val="005044B1"/>
    <w:rsid w:val="005065D9"/>
    <w:rsid w:val="0050770C"/>
    <w:rsid w:val="00507842"/>
    <w:rsid w:val="0051249B"/>
    <w:rsid w:val="0051334A"/>
    <w:rsid w:val="005138ED"/>
    <w:rsid w:val="00514139"/>
    <w:rsid w:val="005141EE"/>
    <w:rsid w:val="0052175C"/>
    <w:rsid w:val="0052332D"/>
    <w:rsid w:val="00523A46"/>
    <w:rsid w:val="00524D31"/>
    <w:rsid w:val="00524E4C"/>
    <w:rsid w:val="00531432"/>
    <w:rsid w:val="00532132"/>
    <w:rsid w:val="0053370E"/>
    <w:rsid w:val="005348F7"/>
    <w:rsid w:val="005408FD"/>
    <w:rsid w:val="00540B97"/>
    <w:rsid w:val="005422C4"/>
    <w:rsid w:val="005435BB"/>
    <w:rsid w:val="00544AA5"/>
    <w:rsid w:val="005452E3"/>
    <w:rsid w:val="005477C2"/>
    <w:rsid w:val="005513D4"/>
    <w:rsid w:val="005515EA"/>
    <w:rsid w:val="0055172A"/>
    <w:rsid w:val="00554D90"/>
    <w:rsid w:val="005579B9"/>
    <w:rsid w:val="0056034C"/>
    <w:rsid w:val="005605E9"/>
    <w:rsid w:val="0056158E"/>
    <w:rsid w:val="00562D11"/>
    <w:rsid w:val="005649F3"/>
    <w:rsid w:val="00564DED"/>
    <w:rsid w:val="00565774"/>
    <w:rsid w:val="00570205"/>
    <w:rsid w:val="00570B25"/>
    <w:rsid w:val="00572864"/>
    <w:rsid w:val="00573030"/>
    <w:rsid w:val="00573F4B"/>
    <w:rsid w:val="005751EE"/>
    <w:rsid w:val="00575AEE"/>
    <w:rsid w:val="00576E56"/>
    <w:rsid w:val="00577152"/>
    <w:rsid w:val="005823DB"/>
    <w:rsid w:val="00583500"/>
    <w:rsid w:val="00584AFA"/>
    <w:rsid w:val="0058607B"/>
    <w:rsid w:val="005865F0"/>
    <w:rsid w:val="00586993"/>
    <w:rsid w:val="005874C5"/>
    <w:rsid w:val="00587581"/>
    <w:rsid w:val="005932DE"/>
    <w:rsid w:val="0059369B"/>
    <w:rsid w:val="00593F76"/>
    <w:rsid w:val="00595BC0"/>
    <w:rsid w:val="00595C44"/>
    <w:rsid w:val="00596898"/>
    <w:rsid w:val="005A5F6D"/>
    <w:rsid w:val="005A68D9"/>
    <w:rsid w:val="005A6C25"/>
    <w:rsid w:val="005A73A7"/>
    <w:rsid w:val="005B0C15"/>
    <w:rsid w:val="005B1E6F"/>
    <w:rsid w:val="005B2C51"/>
    <w:rsid w:val="005B45FD"/>
    <w:rsid w:val="005B5230"/>
    <w:rsid w:val="005B613E"/>
    <w:rsid w:val="005B67BB"/>
    <w:rsid w:val="005C29E4"/>
    <w:rsid w:val="005C3495"/>
    <w:rsid w:val="005C47E4"/>
    <w:rsid w:val="005C670E"/>
    <w:rsid w:val="005D0C2B"/>
    <w:rsid w:val="005D1AF5"/>
    <w:rsid w:val="005D2F6E"/>
    <w:rsid w:val="005D3364"/>
    <w:rsid w:val="005D3CAB"/>
    <w:rsid w:val="005D437C"/>
    <w:rsid w:val="005D64F3"/>
    <w:rsid w:val="005E2A94"/>
    <w:rsid w:val="005E3CFC"/>
    <w:rsid w:val="005E43D0"/>
    <w:rsid w:val="005E47A6"/>
    <w:rsid w:val="005E519D"/>
    <w:rsid w:val="005E62A4"/>
    <w:rsid w:val="005F1BDC"/>
    <w:rsid w:val="005F2A38"/>
    <w:rsid w:val="005F2E92"/>
    <w:rsid w:val="005F4A8E"/>
    <w:rsid w:val="005F5E2A"/>
    <w:rsid w:val="005F66A5"/>
    <w:rsid w:val="005F6B90"/>
    <w:rsid w:val="005F6DC0"/>
    <w:rsid w:val="00600ABF"/>
    <w:rsid w:val="00600BAB"/>
    <w:rsid w:val="00601553"/>
    <w:rsid w:val="006028E1"/>
    <w:rsid w:val="00602977"/>
    <w:rsid w:val="00602BE5"/>
    <w:rsid w:val="00603407"/>
    <w:rsid w:val="006038E5"/>
    <w:rsid w:val="0060495B"/>
    <w:rsid w:val="00606918"/>
    <w:rsid w:val="00607062"/>
    <w:rsid w:val="006104E6"/>
    <w:rsid w:val="00610D60"/>
    <w:rsid w:val="006114F8"/>
    <w:rsid w:val="0061422A"/>
    <w:rsid w:val="006159E5"/>
    <w:rsid w:val="00616CE0"/>
    <w:rsid w:val="00622A8B"/>
    <w:rsid w:val="00622C48"/>
    <w:rsid w:val="00622FD7"/>
    <w:rsid w:val="00623A5C"/>
    <w:rsid w:val="00624A17"/>
    <w:rsid w:val="006254EE"/>
    <w:rsid w:val="00626226"/>
    <w:rsid w:val="00627044"/>
    <w:rsid w:val="006309EF"/>
    <w:rsid w:val="00631754"/>
    <w:rsid w:val="00631757"/>
    <w:rsid w:val="00634B9C"/>
    <w:rsid w:val="00635890"/>
    <w:rsid w:val="00635FA7"/>
    <w:rsid w:val="0063746F"/>
    <w:rsid w:val="0063791C"/>
    <w:rsid w:val="00640B3F"/>
    <w:rsid w:val="006425A7"/>
    <w:rsid w:val="00642993"/>
    <w:rsid w:val="00642A04"/>
    <w:rsid w:val="00642BF2"/>
    <w:rsid w:val="00642FA5"/>
    <w:rsid w:val="006436EE"/>
    <w:rsid w:val="00644E3C"/>
    <w:rsid w:val="00646E40"/>
    <w:rsid w:val="00647805"/>
    <w:rsid w:val="00647C0B"/>
    <w:rsid w:val="00647F42"/>
    <w:rsid w:val="006507F0"/>
    <w:rsid w:val="00651DCD"/>
    <w:rsid w:val="006527AA"/>
    <w:rsid w:val="00653AFD"/>
    <w:rsid w:val="00656A49"/>
    <w:rsid w:val="0065764C"/>
    <w:rsid w:val="006602AD"/>
    <w:rsid w:val="00661EF3"/>
    <w:rsid w:val="00663E24"/>
    <w:rsid w:val="0066498F"/>
    <w:rsid w:val="0066584E"/>
    <w:rsid w:val="006664F9"/>
    <w:rsid w:val="006666DA"/>
    <w:rsid w:val="006679FE"/>
    <w:rsid w:val="00670F1C"/>
    <w:rsid w:val="006721A7"/>
    <w:rsid w:val="00672669"/>
    <w:rsid w:val="00674796"/>
    <w:rsid w:val="00677CB7"/>
    <w:rsid w:val="00677FD9"/>
    <w:rsid w:val="00680AF1"/>
    <w:rsid w:val="006812FD"/>
    <w:rsid w:val="00683F4F"/>
    <w:rsid w:val="00685861"/>
    <w:rsid w:val="006865E4"/>
    <w:rsid w:val="00686BCB"/>
    <w:rsid w:val="00687B61"/>
    <w:rsid w:val="00691C28"/>
    <w:rsid w:val="0069228A"/>
    <w:rsid w:val="00692402"/>
    <w:rsid w:val="00692AF9"/>
    <w:rsid w:val="00692C57"/>
    <w:rsid w:val="00693309"/>
    <w:rsid w:val="006946FE"/>
    <w:rsid w:val="0069722E"/>
    <w:rsid w:val="00697E4C"/>
    <w:rsid w:val="00697F65"/>
    <w:rsid w:val="006A34EF"/>
    <w:rsid w:val="006A4433"/>
    <w:rsid w:val="006A47E4"/>
    <w:rsid w:val="006A6F12"/>
    <w:rsid w:val="006A73FB"/>
    <w:rsid w:val="006B14DD"/>
    <w:rsid w:val="006B4439"/>
    <w:rsid w:val="006B4DEC"/>
    <w:rsid w:val="006B5818"/>
    <w:rsid w:val="006B6855"/>
    <w:rsid w:val="006B6C01"/>
    <w:rsid w:val="006C02AB"/>
    <w:rsid w:val="006C28E3"/>
    <w:rsid w:val="006C2A1A"/>
    <w:rsid w:val="006C46A2"/>
    <w:rsid w:val="006C54C6"/>
    <w:rsid w:val="006C5510"/>
    <w:rsid w:val="006C73E0"/>
    <w:rsid w:val="006C7A9F"/>
    <w:rsid w:val="006C7C49"/>
    <w:rsid w:val="006D2930"/>
    <w:rsid w:val="006D2CAB"/>
    <w:rsid w:val="006D67A7"/>
    <w:rsid w:val="006D6D31"/>
    <w:rsid w:val="006E15AF"/>
    <w:rsid w:val="006E2CA0"/>
    <w:rsid w:val="006E373B"/>
    <w:rsid w:val="006E6959"/>
    <w:rsid w:val="006F2B30"/>
    <w:rsid w:val="006F53D6"/>
    <w:rsid w:val="006F628F"/>
    <w:rsid w:val="006F7AF9"/>
    <w:rsid w:val="00700719"/>
    <w:rsid w:val="00701A89"/>
    <w:rsid w:val="007034C2"/>
    <w:rsid w:val="007043B8"/>
    <w:rsid w:val="007059EA"/>
    <w:rsid w:val="00705D7E"/>
    <w:rsid w:val="00706CF2"/>
    <w:rsid w:val="00706E4B"/>
    <w:rsid w:val="0070779A"/>
    <w:rsid w:val="007079DC"/>
    <w:rsid w:val="007104D8"/>
    <w:rsid w:val="00713A94"/>
    <w:rsid w:val="00713D70"/>
    <w:rsid w:val="00717527"/>
    <w:rsid w:val="007176D6"/>
    <w:rsid w:val="00717A1A"/>
    <w:rsid w:val="00717EE0"/>
    <w:rsid w:val="00721560"/>
    <w:rsid w:val="00721FD8"/>
    <w:rsid w:val="00724F90"/>
    <w:rsid w:val="00726F93"/>
    <w:rsid w:val="00730197"/>
    <w:rsid w:val="00732E1C"/>
    <w:rsid w:val="00734BE7"/>
    <w:rsid w:val="00734D44"/>
    <w:rsid w:val="00737B19"/>
    <w:rsid w:val="00743603"/>
    <w:rsid w:val="00745D3B"/>
    <w:rsid w:val="00747947"/>
    <w:rsid w:val="00751294"/>
    <w:rsid w:val="00752267"/>
    <w:rsid w:val="0075367B"/>
    <w:rsid w:val="00754926"/>
    <w:rsid w:val="007555B7"/>
    <w:rsid w:val="00755E2A"/>
    <w:rsid w:val="00757FB8"/>
    <w:rsid w:val="007615D0"/>
    <w:rsid w:val="00761B7F"/>
    <w:rsid w:val="00762F7E"/>
    <w:rsid w:val="007642DC"/>
    <w:rsid w:val="00764D6D"/>
    <w:rsid w:val="0076591C"/>
    <w:rsid w:val="00767FED"/>
    <w:rsid w:val="007709FA"/>
    <w:rsid w:val="0077151E"/>
    <w:rsid w:val="007725D8"/>
    <w:rsid w:val="00773F5D"/>
    <w:rsid w:val="00776796"/>
    <w:rsid w:val="00776CF9"/>
    <w:rsid w:val="00776ED7"/>
    <w:rsid w:val="00777AD2"/>
    <w:rsid w:val="00780E34"/>
    <w:rsid w:val="00781A43"/>
    <w:rsid w:val="00781A6D"/>
    <w:rsid w:val="00783E7F"/>
    <w:rsid w:val="00784E08"/>
    <w:rsid w:val="007866A5"/>
    <w:rsid w:val="00786B6B"/>
    <w:rsid w:val="00791346"/>
    <w:rsid w:val="00791641"/>
    <w:rsid w:val="00791C75"/>
    <w:rsid w:val="007938E5"/>
    <w:rsid w:val="00796868"/>
    <w:rsid w:val="007A05E0"/>
    <w:rsid w:val="007A1514"/>
    <w:rsid w:val="007A16D2"/>
    <w:rsid w:val="007A4433"/>
    <w:rsid w:val="007A6204"/>
    <w:rsid w:val="007A759D"/>
    <w:rsid w:val="007A7B4D"/>
    <w:rsid w:val="007B0462"/>
    <w:rsid w:val="007B0855"/>
    <w:rsid w:val="007B3220"/>
    <w:rsid w:val="007B3353"/>
    <w:rsid w:val="007B3F9C"/>
    <w:rsid w:val="007B5A07"/>
    <w:rsid w:val="007B793D"/>
    <w:rsid w:val="007C0461"/>
    <w:rsid w:val="007C0E1E"/>
    <w:rsid w:val="007C1CFF"/>
    <w:rsid w:val="007C1F56"/>
    <w:rsid w:val="007C3815"/>
    <w:rsid w:val="007C5466"/>
    <w:rsid w:val="007C637B"/>
    <w:rsid w:val="007C671A"/>
    <w:rsid w:val="007C76FF"/>
    <w:rsid w:val="007C7F61"/>
    <w:rsid w:val="007D7F01"/>
    <w:rsid w:val="007E1659"/>
    <w:rsid w:val="007E17C7"/>
    <w:rsid w:val="007E1B0E"/>
    <w:rsid w:val="007E29A0"/>
    <w:rsid w:val="007E322E"/>
    <w:rsid w:val="007E5ABD"/>
    <w:rsid w:val="007E6F52"/>
    <w:rsid w:val="007F0792"/>
    <w:rsid w:val="007F2B1A"/>
    <w:rsid w:val="007F31D5"/>
    <w:rsid w:val="007F45FE"/>
    <w:rsid w:val="007F53CA"/>
    <w:rsid w:val="007F7104"/>
    <w:rsid w:val="007F7181"/>
    <w:rsid w:val="008018AA"/>
    <w:rsid w:val="00802E63"/>
    <w:rsid w:val="00805255"/>
    <w:rsid w:val="00806F4D"/>
    <w:rsid w:val="00810A13"/>
    <w:rsid w:val="0081170D"/>
    <w:rsid w:val="008131FE"/>
    <w:rsid w:val="00813332"/>
    <w:rsid w:val="008135C4"/>
    <w:rsid w:val="00815723"/>
    <w:rsid w:val="0081697D"/>
    <w:rsid w:val="008250DF"/>
    <w:rsid w:val="00830C16"/>
    <w:rsid w:val="00831E47"/>
    <w:rsid w:val="008342DA"/>
    <w:rsid w:val="00835E65"/>
    <w:rsid w:val="0084038A"/>
    <w:rsid w:val="00840842"/>
    <w:rsid w:val="00842D46"/>
    <w:rsid w:val="008447DE"/>
    <w:rsid w:val="00845C43"/>
    <w:rsid w:val="008471DA"/>
    <w:rsid w:val="00850A82"/>
    <w:rsid w:val="008514F3"/>
    <w:rsid w:val="008544CD"/>
    <w:rsid w:val="0085681E"/>
    <w:rsid w:val="008606BF"/>
    <w:rsid w:val="008609C4"/>
    <w:rsid w:val="00862952"/>
    <w:rsid w:val="00864C91"/>
    <w:rsid w:val="00866297"/>
    <w:rsid w:val="00866803"/>
    <w:rsid w:val="0086792D"/>
    <w:rsid w:val="00870B62"/>
    <w:rsid w:val="008725CA"/>
    <w:rsid w:val="00874C44"/>
    <w:rsid w:val="00876232"/>
    <w:rsid w:val="00877645"/>
    <w:rsid w:val="00880D59"/>
    <w:rsid w:val="0088130F"/>
    <w:rsid w:val="00882C7A"/>
    <w:rsid w:val="0088384E"/>
    <w:rsid w:val="008853AA"/>
    <w:rsid w:val="00885427"/>
    <w:rsid w:val="008921BB"/>
    <w:rsid w:val="0089347D"/>
    <w:rsid w:val="00893585"/>
    <w:rsid w:val="00893E1C"/>
    <w:rsid w:val="00895827"/>
    <w:rsid w:val="00896B79"/>
    <w:rsid w:val="00897752"/>
    <w:rsid w:val="008A0CA7"/>
    <w:rsid w:val="008A235F"/>
    <w:rsid w:val="008A606D"/>
    <w:rsid w:val="008A7499"/>
    <w:rsid w:val="008B48BE"/>
    <w:rsid w:val="008B5D0A"/>
    <w:rsid w:val="008B68E7"/>
    <w:rsid w:val="008B7D33"/>
    <w:rsid w:val="008C07FF"/>
    <w:rsid w:val="008C2043"/>
    <w:rsid w:val="008C2708"/>
    <w:rsid w:val="008C35E5"/>
    <w:rsid w:val="008C4C2B"/>
    <w:rsid w:val="008C51FE"/>
    <w:rsid w:val="008C5A51"/>
    <w:rsid w:val="008C5B0F"/>
    <w:rsid w:val="008C5DC6"/>
    <w:rsid w:val="008D1526"/>
    <w:rsid w:val="008D1BA0"/>
    <w:rsid w:val="008D3E32"/>
    <w:rsid w:val="008D44FD"/>
    <w:rsid w:val="008E02BF"/>
    <w:rsid w:val="008E1041"/>
    <w:rsid w:val="008E1811"/>
    <w:rsid w:val="008E2BEA"/>
    <w:rsid w:val="008E53DE"/>
    <w:rsid w:val="008E58DC"/>
    <w:rsid w:val="008E66A7"/>
    <w:rsid w:val="008E6C82"/>
    <w:rsid w:val="008E7576"/>
    <w:rsid w:val="008E7A85"/>
    <w:rsid w:val="008F126C"/>
    <w:rsid w:val="008F2CC2"/>
    <w:rsid w:val="008F2FC3"/>
    <w:rsid w:val="0090040A"/>
    <w:rsid w:val="00900BFD"/>
    <w:rsid w:val="00901064"/>
    <w:rsid w:val="00901410"/>
    <w:rsid w:val="00901DDC"/>
    <w:rsid w:val="00903AD0"/>
    <w:rsid w:val="00903BD8"/>
    <w:rsid w:val="00905808"/>
    <w:rsid w:val="009074E4"/>
    <w:rsid w:val="00907A79"/>
    <w:rsid w:val="00907F9B"/>
    <w:rsid w:val="009100D5"/>
    <w:rsid w:val="00910861"/>
    <w:rsid w:val="00911F02"/>
    <w:rsid w:val="00912DDC"/>
    <w:rsid w:val="00916FD6"/>
    <w:rsid w:val="0092077B"/>
    <w:rsid w:val="0092078D"/>
    <w:rsid w:val="009229AE"/>
    <w:rsid w:val="00923B10"/>
    <w:rsid w:val="00924F46"/>
    <w:rsid w:val="009262B8"/>
    <w:rsid w:val="00927B21"/>
    <w:rsid w:val="009317A3"/>
    <w:rsid w:val="00933F4C"/>
    <w:rsid w:val="009345A6"/>
    <w:rsid w:val="00934847"/>
    <w:rsid w:val="00936314"/>
    <w:rsid w:val="00936C5D"/>
    <w:rsid w:val="00942CCF"/>
    <w:rsid w:val="00942EA1"/>
    <w:rsid w:val="0094384D"/>
    <w:rsid w:val="009461A6"/>
    <w:rsid w:val="00946E46"/>
    <w:rsid w:val="009509C3"/>
    <w:rsid w:val="00951730"/>
    <w:rsid w:val="00952659"/>
    <w:rsid w:val="00956DB4"/>
    <w:rsid w:val="009570AD"/>
    <w:rsid w:val="009579EA"/>
    <w:rsid w:val="009601CA"/>
    <w:rsid w:val="009624BF"/>
    <w:rsid w:val="00963174"/>
    <w:rsid w:val="009634D1"/>
    <w:rsid w:val="009667FA"/>
    <w:rsid w:val="00966BD0"/>
    <w:rsid w:val="00967DCF"/>
    <w:rsid w:val="00971800"/>
    <w:rsid w:val="0097229B"/>
    <w:rsid w:val="00973673"/>
    <w:rsid w:val="00974D51"/>
    <w:rsid w:val="009771B0"/>
    <w:rsid w:val="00977EF4"/>
    <w:rsid w:val="00981B94"/>
    <w:rsid w:val="0098596D"/>
    <w:rsid w:val="009859C4"/>
    <w:rsid w:val="00986D78"/>
    <w:rsid w:val="009876EB"/>
    <w:rsid w:val="009879C4"/>
    <w:rsid w:val="00987EF4"/>
    <w:rsid w:val="009914CB"/>
    <w:rsid w:val="009938B6"/>
    <w:rsid w:val="00993DC2"/>
    <w:rsid w:val="00994464"/>
    <w:rsid w:val="009953CB"/>
    <w:rsid w:val="00995E1C"/>
    <w:rsid w:val="00996736"/>
    <w:rsid w:val="009A0C36"/>
    <w:rsid w:val="009A0C6B"/>
    <w:rsid w:val="009A331A"/>
    <w:rsid w:val="009A6357"/>
    <w:rsid w:val="009A76B9"/>
    <w:rsid w:val="009A7A8E"/>
    <w:rsid w:val="009B2283"/>
    <w:rsid w:val="009B38C0"/>
    <w:rsid w:val="009B3A95"/>
    <w:rsid w:val="009B58E3"/>
    <w:rsid w:val="009B5C93"/>
    <w:rsid w:val="009B620A"/>
    <w:rsid w:val="009B68C4"/>
    <w:rsid w:val="009B69E0"/>
    <w:rsid w:val="009B713F"/>
    <w:rsid w:val="009C0523"/>
    <w:rsid w:val="009C133B"/>
    <w:rsid w:val="009C2A68"/>
    <w:rsid w:val="009C2F6F"/>
    <w:rsid w:val="009C4BAE"/>
    <w:rsid w:val="009C5FB2"/>
    <w:rsid w:val="009D02BC"/>
    <w:rsid w:val="009D1164"/>
    <w:rsid w:val="009D2742"/>
    <w:rsid w:val="009D3367"/>
    <w:rsid w:val="009D5D01"/>
    <w:rsid w:val="009D5F30"/>
    <w:rsid w:val="009D7619"/>
    <w:rsid w:val="009E194F"/>
    <w:rsid w:val="009E1F38"/>
    <w:rsid w:val="009E2C70"/>
    <w:rsid w:val="009E3034"/>
    <w:rsid w:val="009E3BB4"/>
    <w:rsid w:val="009E3C66"/>
    <w:rsid w:val="009E4591"/>
    <w:rsid w:val="009E528C"/>
    <w:rsid w:val="009E557B"/>
    <w:rsid w:val="009F14BE"/>
    <w:rsid w:val="009F3BDE"/>
    <w:rsid w:val="009F43FF"/>
    <w:rsid w:val="009F4B86"/>
    <w:rsid w:val="009F528A"/>
    <w:rsid w:val="009F5CDF"/>
    <w:rsid w:val="009F5E0E"/>
    <w:rsid w:val="00A008EC"/>
    <w:rsid w:val="00A00D8D"/>
    <w:rsid w:val="00A039C3"/>
    <w:rsid w:val="00A05062"/>
    <w:rsid w:val="00A057DE"/>
    <w:rsid w:val="00A106E9"/>
    <w:rsid w:val="00A10E6C"/>
    <w:rsid w:val="00A122AA"/>
    <w:rsid w:val="00A13D3A"/>
    <w:rsid w:val="00A16199"/>
    <w:rsid w:val="00A17B93"/>
    <w:rsid w:val="00A200A2"/>
    <w:rsid w:val="00A2071B"/>
    <w:rsid w:val="00A2079D"/>
    <w:rsid w:val="00A20821"/>
    <w:rsid w:val="00A20BBB"/>
    <w:rsid w:val="00A25ED3"/>
    <w:rsid w:val="00A268E0"/>
    <w:rsid w:val="00A26A90"/>
    <w:rsid w:val="00A275C8"/>
    <w:rsid w:val="00A329F6"/>
    <w:rsid w:val="00A33302"/>
    <w:rsid w:val="00A338D2"/>
    <w:rsid w:val="00A3413D"/>
    <w:rsid w:val="00A350C1"/>
    <w:rsid w:val="00A36FD0"/>
    <w:rsid w:val="00A3701D"/>
    <w:rsid w:val="00A37E56"/>
    <w:rsid w:val="00A41563"/>
    <w:rsid w:val="00A423BC"/>
    <w:rsid w:val="00A4385E"/>
    <w:rsid w:val="00A43DCA"/>
    <w:rsid w:val="00A46C71"/>
    <w:rsid w:val="00A50B7C"/>
    <w:rsid w:val="00A521B7"/>
    <w:rsid w:val="00A52F5D"/>
    <w:rsid w:val="00A5454F"/>
    <w:rsid w:val="00A55629"/>
    <w:rsid w:val="00A55A63"/>
    <w:rsid w:val="00A56539"/>
    <w:rsid w:val="00A6034A"/>
    <w:rsid w:val="00A60C2E"/>
    <w:rsid w:val="00A61C29"/>
    <w:rsid w:val="00A65DA1"/>
    <w:rsid w:val="00A67E4E"/>
    <w:rsid w:val="00A7010C"/>
    <w:rsid w:val="00A70F64"/>
    <w:rsid w:val="00A71A58"/>
    <w:rsid w:val="00A721CE"/>
    <w:rsid w:val="00A76901"/>
    <w:rsid w:val="00A77D8A"/>
    <w:rsid w:val="00A80DED"/>
    <w:rsid w:val="00A8101F"/>
    <w:rsid w:val="00A8259B"/>
    <w:rsid w:val="00A8306D"/>
    <w:rsid w:val="00A84B7D"/>
    <w:rsid w:val="00A85337"/>
    <w:rsid w:val="00A87BF9"/>
    <w:rsid w:val="00A900CB"/>
    <w:rsid w:val="00A907A3"/>
    <w:rsid w:val="00A92AA4"/>
    <w:rsid w:val="00A94FD4"/>
    <w:rsid w:val="00A95B54"/>
    <w:rsid w:val="00A964CB"/>
    <w:rsid w:val="00A97049"/>
    <w:rsid w:val="00A977B6"/>
    <w:rsid w:val="00AA2423"/>
    <w:rsid w:val="00AA2CBB"/>
    <w:rsid w:val="00AA3025"/>
    <w:rsid w:val="00AA3D89"/>
    <w:rsid w:val="00AA42C9"/>
    <w:rsid w:val="00AA5C00"/>
    <w:rsid w:val="00AA7C5A"/>
    <w:rsid w:val="00AB2BF7"/>
    <w:rsid w:val="00AB7131"/>
    <w:rsid w:val="00AB72DE"/>
    <w:rsid w:val="00AC0531"/>
    <w:rsid w:val="00AC0F31"/>
    <w:rsid w:val="00AC1B3F"/>
    <w:rsid w:val="00AC29B8"/>
    <w:rsid w:val="00AC3C9E"/>
    <w:rsid w:val="00AC3DB0"/>
    <w:rsid w:val="00AC6672"/>
    <w:rsid w:val="00AD0C12"/>
    <w:rsid w:val="00AD0C4F"/>
    <w:rsid w:val="00AD14DA"/>
    <w:rsid w:val="00AD1A9E"/>
    <w:rsid w:val="00AD2DEF"/>
    <w:rsid w:val="00AD31C4"/>
    <w:rsid w:val="00AD359F"/>
    <w:rsid w:val="00AD3EE7"/>
    <w:rsid w:val="00AD4389"/>
    <w:rsid w:val="00AD5607"/>
    <w:rsid w:val="00AD6DA9"/>
    <w:rsid w:val="00AD7A16"/>
    <w:rsid w:val="00AE061A"/>
    <w:rsid w:val="00AE0971"/>
    <w:rsid w:val="00AE1461"/>
    <w:rsid w:val="00AE341C"/>
    <w:rsid w:val="00AE3EC3"/>
    <w:rsid w:val="00AE4AFA"/>
    <w:rsid w:val="00AE530F"/>
    <w:rsid w:val="00AE60F0"/>
    <w:rsid w:val="00AE62F9"/>
    <w:rsid w:val="00AE6460"/>
    <w:rsid w:val="00AE64D0"/>
    <w:rsid w:val="00AE6B0A"/>
    <w:rsid w:val="00AF21D6"/>
    <w:rsid w:val="00AF39A0"/>
    <w:rsid w:val="00AF444C"/>
    <w:rsid w:val="00AF60C2"/>
    <w:rsid w:val="00AF7888"/>
    <w:rsid w:val="00B01FF1"/>
    <w:rsid w:val="00B03522"/>
    <w:rsid w:val="00B0474D"/>
    <w:rsid w:val="00B05022"/>
    <w:rsid w:val="00B058DC"/>
    <w:rsid w:val="00B0689A"/>
    <w:rsid w:val="00B07FE9"/>
    <w:rsid w:val="00B10AB1"/>
    <w:rsid w:val="00B112A1"/>
    <w:rsid w:val="00B11AAB"/>
    <w:rsid w:val="00B11C55"/>
    <w:rsid w:val="00B125BE"/>
    <w:rsid w:val="00B17478"/>
    <w:rsid w:val="00B22D85"/>
    <w:rsid w:val="00B24175"/>
    <w:rsid w:val="00B26595"/>
    <w:rsid w:val="00B266B2"/>
    <w:rsid w:val="00B26FC9"/>
    <w:rsid w:val="00B27635"/>
    <w:rsid w:val="00B27751"/>
    <w:rsid w:val="00B323BA"/>
    <w:rsid w:val="00B333D0"/>
    <w:rsid w:val="00B33583"/>
    <w:rsid w:val="00B33F84"/>
    <w:rsid w:val="00B3580A"/>
    <w:rsid w:val="00B36D43"/>
    <w:rsid w:val="00B401DD"/>
    <w:rsid w:val="00B404A7"/>
    <w:rsid w:val="00B4091C"/>
    <w:rsid w:val="00B4113A"/>
    <w:rsid w:val="00B431BE"/>
    <w:rsid w:val="00B43BD2"/>
    <w:rsid w:val="00B442A6"/>
    <w:rsid w:val="00B50087"/>
    <w:rsid w:val="00B50DA6"/>
    <w:rsid w:val="00B52985"/>
    <w:rsid w:val="00B533AC"/>
    <w:rsid w:val="00B562C6"/>
    <w:rsid w:val="00B5734B"/>
    <w:rsid w:val="00B57F1A"/>
    <w:rsid w:val="00B612D9"/>
    <w:rsid w:val="00B618D8"/>
    <w:rsid w:val="00B62247"/>
    <w:rsid w:val="00B623C5"/>
    <w:rsid w:val="00B649DD"/>
    <w:rsid w:val="00B65DA7"/>
    <w:rsid w:val="00B70B44"/>
    <w:rsid w:val="00B7283D"/>
    <w:rsid w:val="00B72EC0"/>
    <w:rsid w:val="00B742AC"/>
    <w:rsid w:val="00B74A49"/>
    <w:rsid w:val="00B77538"/>
    <w:rsid w:val="00B80EB8"/>
    <w:rsid w:val="00B83378"/>
    <w:rsid w:val="00B83905"/>
    <w:rsid w:val="00B86451"/>
    <w:rsid w:val="00B86B87"/>
    <w:rsid w:val="00B86BAC"/>
    <w:rsid w:val="00B872BF"/>
    <w:rsid w:val="00B9120F"/>
    <w:rsid w:val="00B9258F"/>
    <w:rsid w:val="00B92747"/>
    <w:rsid w:val="00B9415D"/>
    <w:rsid w:val="00B96668"/>
    <w:rsid w:val="00B9699E"/>
    <w:rsid w:val="00BA15B3"/>
    <w:rsid w:val="00BA22B3"/>
    <w:rsid w:val="00BA2441"/>
    <w:rsid w:val="00BA3A79"/>
    <w:rsid w:val="00BA4814"/>
    <w:rsid w:val="00BB10BA"/>
    <w:rsid w:val="00BB187F"/>
    <w:rsid w:val="00BB3053"/>
    <w:rsid w:val="00BB38A7"/>
    <w:rsid w:val="00BB4092"/>
    <w:rsid w:val="00BB6269"/>
    <w:rsid w:val="00BB6335"/>
    <w:rsid w:val="00BB6A36"/>
    <w:rsid w:val="00BB6B6B"/>
    <w:rsid w:val="00BB7E76"/>
    <w:rsid w:val="00BC0198"/>
    <w:rsid w:val="00BC2BC6"/>
    <w:rsid w:val="00BC4ACA"/>
    <w:rsid w:val="00BC614B"/>
    <w:rsid w:val="00BC7193"/>
    <w:rsid w:val="00BC7554"/>
    <w:rsid w:val="00BD0BE5"/>
    <w:rsid w:val="00BD2DC0"/>
    <w:rsid w:val="00BD2FD6"/>
    <w:rsid w:val="00BD4351"/>
    <w:rsid w:val="00BD7033"/>
    <w:rsid w:val="00BD743A"/>
    <w:rsid w:val="00BD76B1"/>
    <w:rsid w:val="00BE1485"/>
    <w:rsid w:val="00BE3150"/>
    <w:rsid w:val="00BE32BF"/>
    <w:rsid w:val="00BE532C"/>
    <w:rsid w:val="00BE654C"/>
    <w:rsid w:val="00BE7B5D"/>
    <w:rsid w:val="00BF0B29"/>
    <w:rsid w:val="00BF0F43"/>
    <w:rsid w:val="00BF4912"/>
    <w:rsid w:val="00BF5095"/>
    <w:rsid w:val="00BF52CF"/>
    <w:rsid w:val="00BF580A"/>
    <w:rsid w:val="00BF6ACC"/>
    <w:rsid w:val="00BF7AAB"/>
    <w:rsid w:val="00BF7FF5"/>
    <w:rsid w:val="00C01440"/>
    <w:rsid w:val="00C02350"/>
    <w:rsid w:val="00C042F4"/>
    <w:rsid w:val="00C05136"/>
    <w:rsid w:val="00C052D7"/>
    <w:rsid w:val="00C05459"/>
    <w:rsid w:val="00C05B4D"/>
    <w:rsid w:val="00C0609C"/>
    <w:rsid w:val="00C06751"/>
    <w:rsid w:val="00C10006"/>
    <w:rsid w:val="00C10CD1"/>
    <w:rsid w:val="00C11032"/>
    <w:rsid w:val="00C12B50"/>
    <w:rsid w:val="00C17FF0"/>
    <w:rsid w:val="00C20223"/>
    <w:rsid w:val="00C20ACC"/>
    <w:rsid w:val="00C21D58"/>
    <w:rsid w:val="00C2226A"/>
    <w:rsid w:val="00C226EA"/>
    <w:rsid w:val="00C22CC0"/>
    <w:rsid w:val="00C237A8"/>
    <w:rsid w:val="00C244A0"/>
    <w:rsid w:val="00C27E4E"/>
    <w:rsid w:val="00C32516"/>
    <w:rsid w:val="00C33B24"/>
    <w:rsid w:val="00C34420"/>
    <w:rsid w:val="00C346B8"/>
    <w:rsid w:val="00C37CAB"/>
    <w:rsid w:val="00C421CA"/>
    <w:rsid w:val="00C43A5C"/>
    <w:rsid w:val="00C4408A"/>
    <w:rsid w:val="00C44AF6"/>
    <w:rsid w:val="00C45674"/>
    <w:rsid w:val="00C457B4"/>
    <w:rsid w:val="00C47E3F"/>
    <w:rsid w:val="00C53AAC"/>
    <w:rsid w:val="00C53AB9"/>
    <w:rsid w:val="00C53B46"/>
    <w:rsid w:val="00C54E17"/>
    <w:rsid w:val="00C571F3"/>
    <w:rsid w:val="00C577DA"/>
    <w:rsid w:val="00C602D3"/>
    <w:rsid w:val="00C615D5"/>
    <w:rsid w:val="00C62722"/>
    <w:rsid w:val="00C62F76"/>
    <w:rsid w:val="00C6546C"/>
    <w:rsid w:val="00C70225"/>
    <w:rsid w:val="00C70EB9"/>
    <w:rsid w:val="00C72B54"/>
    <w:rsid w:val="00C811DE"/>
    <w:rsid w:val="00C81C5E"/>
    <w:rsid w:val="00C826B6"/>
    <w:rsid w:val="00C8300D"/>
    <w:rsid w:val="00C85388"/>
    <w:rsid w:val="00C8596C"/>
    <w:rsid w:val="00C8724B"/>
    <w:rsid w:val="00C874BC"/>
    <w:rsid w:val="00C87635"/>
    <w:rsid w:val="00C87F63"/>
    <w:rsid w:val="00C913B1"/>
    <w:rsid w:val="00C92FA6"/>
    <w:rsid w:val="00C93383"/>
    <w:rsid w:val="00C94FDE"/>
    <w:rsid w:val="00C95805"/>
    <w:rsid w:val="00C96B5A"/>
    <w:rsid w:val="00CA2644"/>
    <w:rsid w:val="00CA49F2"/>
    <w:rsid w:val="00CA553E"/>
    <w:rsid w:val="00CA6366"/>
    <w:rsid w:val="00CA7464"/>
    <w:rsid w:val="00CA799E"/>
    <w:rsid w:val="00CB096B"/>
    <w:rsid w:val="00CB36FC"/>
    <w:rsid w:val="00CB376B"/>
    <w:rsid w:val="00CB6A6A"/>
    <w:rsid w:val="00CB6A85"/>
    <w:rsid w:val="00CC0E5F"/>
    <w:rsid w:val="00CC17ED"/>
    <w:rsid w:val="00CC1D52"/>
    <w:rsid w:val="00CC1ED2"/>
    <w:rsid w:val="00CC381B"/>
    <w:rsid w:val="00CC3C85"/>
    <w:rsid w:val="00CC403E"/>
    <w:rsid w:val="00CC502B"/>
    <w:rsid w:val="00CC5241"/>
    <w:rsid w:val="00CC6BCD"/>
    <w:rsid w:val="00CD0111"/>
    <w:rsid w:val="00CD166C"/>
    <w:rsid w:val="00CD1898"/>
    <w:rsid w:val="00CD2146"/>
    <w:rsid w:val="00CD2B46"/>
    <w:rsid w:val="00CD362F"/>
    <w:rsid w:val="00CD4AB4"/>
    <w:rsid w:val="00CD575A"/>
    <w:rsid w:val="00CD5A1F"/>
    <w:rsid w:val="00CD6129"/>
    <w:rsid w:val="00CD6728"/>
    <w:rsid w:val="00CD6CCD"/>
    <w:rsid w:val="00CD73F0"/>
    <w:rsid w:val="00CD7E72"/>
    <w:rsid w:val="00CE0542"/>
    <w:rsid w:val="00CE2284"/>
    <w:rsid w:val="00CE2300"/>
    <w:rsid w:val="00CE347A"/>
    <w:rsid w:val="00CE646B"/>
    <w:rsid w:val="00CF0E01"/>
    <w:rsid w:val="00CF200D"/>
    <w:rsid w:val="00CF3EF0"/>
    <w:rsid w:val="00CF4276"/>
    <w:rsid w:val="00CF454A"/>
    <w:rsid w:val="00CF54D3"/>
    <w:rsid w:val="00CF6481"/>
    <w:rsid w:val="00CF67A0"/>
    <w:rsid w:val="00CF7197"/>
    <w:rsid w:val="00CF71B3"/>
    <w:rsid w:val="00D00DC8"/>
    <w:rsid w:val="00D02487"/>
    <w:rsid w:val="00D02999"/>
    <w:rsid w:val="00D04B78"/>
    <w:rsid w:val="00D04F12"/>
    <w:rsid w:val="00D05C73"/>
    <w:rsid w:val="00D06A90"/>
    <w:rsid w:val="00D06FC2"/>
    <w:rsid w:val="00D07185"/>
    <w:rsid w:val="00D10CD7"/>
    <w:rsid w:val="00D11573"/>
    <w:rsid w:val="00D117B2"/>
    <w:rsid w:val="00D1191A"/>
    <w:rsid w:val="00D12041"/>
    <w:rsid w:val="00D126E4"/>
    <w:rsid w:val="00D13B78"/>
    <w:rsid w:val="00D216C4"/>
    <w:rsid w:val="00D23468"/>
    <w:rsid w:val="00D237B0"/>
    <w:rsid w:val="00D24F2A"/>
    <w:rsid w:val="00D2746C"/>
    <w:rsid w:val="00D27876"/>
    <w:rsid w:val="00D27964"/>
    <w:rsid w:val="00D27BDE"/>
    <w:rsid w:val="00D36092"/>
    <w:rsid w:val="00D3735C"/>
    <w:rsid w:val="00D40A3E"/>
    <w:rsid w:val="00D41095"/>
    <w:rsid w:val="00D4199E"/>
    <w:rsid w:val="00D4222B"/>
    <w:rsid w:val="00D42267"/>
    <w:rsid w:val="00D43080"/>
    <w:rsid w:val="00D44A42"/>
    <w:rsid w:val="00D46180"/>
    <w:rsid w:val="00D4649F"/>
    <w:rsid w:val="00D46C33"/>
    <w:rsid w:val="00D501E8"/>
    <w:rsid w:val="00D52230"/>
    <w:rsid w:val="00D53832"/>
    <w:rsid w:val="00D540F4"/>
    <w:rsid w:val="00D541F9"/>
    <w:rsid w:val="00D561FE"/>
    <w:rsid w:val="00D579A0"/>
    <w:rsid w:val="00D600D6"/>
    <w:rsid w:val="00D61EDE"/>
    <w:rsid w:val="00D61FD5"/>
    <w:rsid w:val="00D62DA9"/>
    <w:rsid w:val="00D63C54"/>
    <w:rsid w:val="00D6518B"/>
    <w:rsid w:val="00D65784"/>
    <w:rsid w:val="00D65B8A"/>
    <w:rsid w:val="00D664A6"/>
    <w:rsid w:val="00D66C99"/>
    <w:rsid w:val="00D677C1"/>
    <w:rsid w:val="00D67FB7"/>
    <w:rsid w:val="00D700C3"/>
    <w:rsid w:val="00D70125"/>
    <w:rsid w:val="00D703A0"/>
    <w:rsid w:val="00D71904"/>
    <w:rsid w:val="00D732EC"/>
    <w:rsid w:val="00D739B8"/>
    <w:rsid w:val="00D73B37"/>
    <w:rsid w:val="00D73CFE"/>
    <w:rsid w:val="00D75309"/>
    <w:rsid w:val="00D77221"/>
    <w:rsid w:val="00D77484"/>
    <w:rsid w:val="00D8221F"/>
    <w:rsid w:val="00D82780"/>
    <w:rsid w:val="00D82855"/>
    <w:rsid w:val="00D85F6B"/>
    <w:rsid w:val="00D86093"/>
    <w:rsid w:val="00D86750"/>
    <w:rsid w:val="00D8728B"/>
    <w:rsid w:val="00D9076C"/>
    <w:rsid w:val="00D9111A"/>
    <w:rsid w:val="00D91872"/>
    <w:rsid w:val="00D91DAB"/>
    <w:rsid w:val="00D91ECE"/>
    <w:rsid w:val="00D91EFD"/>
    <w:rsid w:val="00D93BE3"/>
    <w:rsid w:val="00D9566E"/>
    <w:rsid w:val="00D97EC9"/>
    <w:rsid w:val="00DA00F8"/>
    <w:rsid w:val="00DA2FF6"/>
    <w:rsid w:val="00DA41D2"/>
    <w:rsid w:val="00DA4288"/>
    <w:rsid w:val="00DA47DF"/>
    <w:rsid w:val="00DA5346"/>
    <w:rsid w:val="00DA60D7"/>
    <w:rsid w:val="00DA6417"/>
    <w:rsid w:val="00DA6623"/>
    <w:rsid w:val="00DA6791"/>
    <w:rsid w:val="00DA684C"/>
    <w:rsid w:val="00DA6E1C"/>
    <w:rsid w:val="00DB1FCB"/>
    <w:rsid w:val="00DB27F0"/>
    <w:rsid w:val="00DB2F9B"/>
    <w:rsid w:val="00DB4BE3"/>
    <w:rsid w:val="00DB605E"/>
    <w:rsid w:val="00DB71E7"/>
    <w:rsid w:val="00DB7AC6"/>
    <w:rsid w:val="00DC0226"/>
    <w:rsid w:val="00DC0388"/>
    <w:rsid w:val="00DC0A73"/>
    <w:rsid w:val="00DC1753"/>
    <w:rsid w:val="00DC2B98"/>
    <w:rsid w:val="00DC44EC"/>
    <w:rsid w:val="00DC4B32"/>
    <w:rsid w:val="00DC5923"/>
    <w:rsid w:val="00DC6A47"/>
    <w:rsid w:val="00DC6ED3"/>
    <w:rsid w:val="00DD0625"/>
    <w:rsid w:val="00DD2BD6"/>
    <w:rsid w:val="00DD3038"/>
    <w:rsid w:val="00DD3503"/>
    <w:rsid w:val="00DD457E"/>
    <w:rsid w:val="00DD591D"/>
    <w:rsid w:val="00DD5F9E"/>
    <w:rsid w:val="00DD6168"/>
    <w:rsid w:val="00DD69D2"/>
    <w:rsid w:val="00DE25A6"/>
    <w:rsid w:val="00DE2A2F"/>
    <w:rsid w:val="00DE40E6"/>
    <w:rsid w:val="00DE4FAE"/>
    <w:rsid w:val="00DE5A38"/>
    <w:rsid w:val="00DE5C22"/>
    <w:rsid w:val="00DE730C"/>
    <w:rsid w:val="00DF240E"/>
    <w:rsid w:val="00DF24C7"/>
    <w:rsid w:val="00DF3A6D"/>
    <w:rsid w:val="00DF4895"/>
    <w:rsid w:val="00DF6C16"/>
    <w:rsid w:val="00E00407"/>
    <w:rsid w:val="00E00487"/>
    <w:rsid w:val="00E009CC"/>
    <w:rsid w:val="00E0435B"/>
    <w:rsid w:val="00E05A77"/>
    <w:rsid w:val="00E102EC"/>
    <w:rsid w:val="00E10C4C"/>
    <w:rsid w:val="00E10FE7"/>
    <w:rsid w:val="00E12A22"/>
    <w:rsid w:val="00E13BD8"/>
    <w:rsid w:val="00E16820"/>
    <w:rsid w:val="00E16B0A"/>
    <w:rsid w:val="00E16BD3"/>
    <w:rsid w:val="00E20D2F"/>
    <w:rsid w:val="00E217D2"/>
    <w:rsid w:val="00E229F0"/>
    <w:rsid w:val="00E25DBF"/>
    <w:rsid w:val="00E266F9"/>
    <w:rsid w:val="00E2771C"/>
    <w:rsid w:val="00E31797"/>
    <w:rsid w:val="00E35345"/>
    <w:rsid w:val="00E35AF0"/>
    <w:rsid w:val="00E369FE"/>
    <w:rsid w:val="00E37CD7"/>
    <w:rsid w:val="00E41024"/>
    <w:rsid w:val="00E41240"/>
    <w:rsid w:val="00E45D21"/>
    <w:rsid w:val="00E46E1E"/>
    <w:rsid w:val="00E471B1"/>
    <w:rsid w:val="00E478B2"/>
    <w:rsid w:val="00E479AF"/>
    <w:rsid w:val="00E50322"/>
    <w:rsid w:val="00E51F05"/>
    <w:rsid w:val="00E5351E"/>
    <w:rsid w:val="00E54ED4"/>
    <w:rsid w:val="00E5735B"/>
    <w:rsid w:val="00E577A2"/>
    <w:rsid w:val="00E600AC"/>
    <w:rsid w:val="00E61AB6"/>
    <w:rsid w:val="00E625CB"/>
    <w:rsid w:val="00E62650"/>
    <w:rsid w:val="00E629DA"/>
    <w:rsid w:val="00E6303F"/>
    <w:rsid w:val="00E633C4"/>
    <w:rsid w:val="00E63819"/>
    <w:rsid w:val="00E644E6"/>
    <w:rsid w:val="00E6619D"/>
    <w:rsid w:val="00E66CFA"/>
    <w:rsid w:val="00E66DB2"/>
    <w:rsid w:val="00E674F7"/>
    <w:rsid w:val="00E677E3"/>
    <w:rsid w:val="00E70A1C"/>
    <w:rsid w:val="00E716A9"/>
    <w:rsid w:val="00E7215F"/>
    <w:rsid w:val="00E7244E"/>
    <w:rsid w:val="00E72D90"/>
    <w:rsid w:val="00E748DC"/>
    <w:rsid w:val="00E76D5D"/>
    <w:rsid w:val="00E77023"/>
    <w:rsid w:val="00E8056B"/>
    <w:rsid w:val="00E8243C"/>
    <w:rsid w:val="00E8263C"/>
    <w:rsid w:val="00E83E3C"/>
    <w:rsid w:val="00E83E8A"/>
    <w:rsid w:val="00E845EF"/>
    <w:rsid w:val="00E85B60"/>
    <w:rsid w:val="00E86E13"/>
    <w:rsid w:val="00E87CA3"/>
    <w:rsid w:val="00E93384"/>
    <w:rsid w:val="00E945BE"/>
    <w:rsid w:val="00E97B3D"/>
    <w:rsid w:val="00EA06AA"/>
    <w:rsid w:val="00EA375E"/>
    <w:rsid w:val="00EA4898"/>
    <w:rsid w:val="00EA4D4E"/>
    <w:rsid w:val="00EA571D"/>
    <w:rsid w:val="00EA6C74"/>
    <w:rsid w:val="00EA7F0D"/>
    <w:rsid w:val="00EB1093"/>
    <w:rsid w:val="00EB1F48"/>
    <w:rsid w:val="00EB27D9"/>
    <w:rsid w:val="00EB33DE"/>
    <w:rsid w:val="00EB44D2"/>
    <w:rsid w:val="00EB4744"/>
    <w:rsid w:val="00EB4D7A"/>
    <w:rsid w:val="00EB5D89"/>
    <w:rsid w:val="00EB6EDA"/>
    <w:rsid w:val="00EB7C10"/>
    <w:rsid w:val="00EB7F4D"/>
    <w:rsid w:val="00EC00FD"/>
    <w:rsid w:val="00EC01EE"/>
    <w:rsid w:val="00EC09E8"/>
    <w:rsid w:val="00EC0B1F"/>
    <w:rsid w:val="00EC1847"/>
    <w:rsid w:val="00EC1F13"/>
    <w:rsid w:val="00EC2FFD"/>
    <w:rsid w:val="00EC3887"/>
    <w:rsid w:val="00EC5981"/>
    <w:rsid w:val="00EC731D"/>
    <w:rsid w:val="00ED0176"/>
    <w:rsid w:val="00ED0A7B"/>
    <w:rsid w:val="00ED1422"/>
    <w:rsid w:val="00ED2088"/>
    <w:rsid w:val="00ED2869"/>
    <w:rsid w:val="00ED553F"/>
    <w:rsid w:val="00EE0F12"/>
    <w:rsid w:val="00EE1790"/>
    <w:rsid w:val="00EE2A23"/>
    <w:rsid w:val="00EE4970"/>
    <w:rsid w:val="00EE54DE"/>
    <w:rsid w:val="00EE669F"/>
    <w:rsid w:val="00EE6735"/>
    <w:rsid w:val="00EE69CB"/>
    <w:rsid w:val="00EF2090"/>
    <w:rsid w:val="00EF361D"/>
    <w:rsid w:val="00EF3EAE"/>
    <w:rsid w:val="00EF45C5"/>
    <w:rsid w:val="00EF47B0"/>
    <w:rsid w:val="00EF48A8"/>
    <w:rsid w:val="00EF4D56"/>
    <w:rsid w:val="00EF6DB7"/>
    <w:rsid w:val="00EF7478"/>
    <w:rsid w:val="00F016AC"/>
    <w:rsid w:val="00F01C7B"/>
    <w:rsid w:val="00F0219D"/>
    <w:rsid w:val="00F02986"/>
    <w:rsid w:val="00F0483F"/>
    <w:rsid w:val="00F04C9A"/>
    <w:rsid w:val="00F06AF0"/>
    <w:rsid w:val="00F06C48"/>
    <w:rsid w:val="00F07123"/>
    <w:rsid w:val="00F10E7F"/>
    <w:rsid w:val="00F117FA"/>
    <w:rsid w:val="00F13892"/>
    <w:rsid w:val="00F13901"/>
    <w:rsid w:val="00F13A8A"/>
    <w:rsid w:val="00F16297"/>
    <w:rsid w:val="00F17096"/>
    <w:rsid w:val="00F170A8"/>
    <w:rsid w:val="00F2251D"/>
    <w:rsid w:val="00F22F61"/>
    <w:rsid w:val="00F238A0"/>
    <w:rsid w:val="00F23DDD"/>
    <w:rsid w:val="00F27562"/>
    <w:rsid w:val="00F328A9"/>
    <w:rsid w:val="00F33BEC"/>
    <w:rsid w:val="00F33EDA"/>
    <w:rsid w:val="00F3452A"/>
    <w:rsid w:val="00F361D4"/>
    <w:rsid w:val="00F36A5C"/>
    <w:rsid w:val="00F40512"/>
    <w:rsid w:val="00F42761"/>
    <w:rsid w:val="00F44CD6"/>
    <w:rsid w:val="00F4569A"/>
    <w:rsid w:val="00F45C66"/>
    <w:rsid w:val="00F461FD"/>
    <w:rsid w:val="00F51B61"/>
    <w:rsid w:val="00F523D4"/>
    <w:rsid w:val="00F524BD"/>
    <w:rsid w:val="00F52B16"/>
    <w:rsid w:val="00F52ED8"/>
    <w:rsid w:val="00F53345"/>
    <w:rsid w:val="00F5338E"/>
    <w:rsid w:val="00F5534B"/>
    <w:rsid w:val="00F554E2"/>
    <w:rsid w:val="00F55A3C"/>
    <w:rsid w:val="00F5634D"/>
    <w:rsid w:val="00F60546"/>
    <w:rsid w:val="00F60A4E"/>
    <w:rsid w:val="00F62239"/>
    <w:rsid w:val="00F63154"/>
    <w:rsid w:val="00F6480C"/>
    <w:rsid w:val="00F64A77"/>
    <w:rsid w:val="00F64CDF"/>
    <w:rsid w:val="00F65406"/>
    <w:rsid w:val="00F65E99"/>
    <w:rsid w:val="00F70765"/>
    <w:rsid w:val="00F716FF"/>
    <w:rsid w:val="00F71F1B"/>
    <w:rsid w:val="00F73893"/>
    <w:rsid w:val="00F740D2"/>
    <w:rsid w:val="00F75DC7"/>
    <w:rsid w:val="00F803BF"/>
    <w:rsid w:val="00F80FE8"/>
    <w:rsid w:val="00F82358"/>
    <w:rsid w:val="00F87BC4"/>
    <w:rsid w:val="00F90C9B"/>
    <w:rsid w:val="00F92B5F"/>
    <w:rsid w:val="00F9384F"/>
    <w:rsid w:val="00F95726"/>
    <w:rsid w:val="00F959C5"/>
    <w:rsid w:val="00F96B42"/>
    <w:rsid w:val="00F96CAA"/>
    <w:rsid w:val="00F97144"/>
    <w:rsid w:val="00F977E1"/>
    <w:rsid w:val="00F97890"/>
    <w:rsid w:val="00F9792C"/>
    <w:rsid w:val="00FA07C5"/>
    <w:rsid w:val="00FA0DB7"/>
    <w:rsid w:val="00FA1FAC"/>
    <w:rsid w:val="00FA2ACD"/>
    <w:rsid w:val="00FA3285"/>
    <w:rsid w:val="00FA3AFF"/>
    <w:rsid w:val="00FA43F5"/>
    <w:rsid w:val="00FB050C"/>
    <w:rsid w:val="00FB2156"/>
    <w:rsid w:val="00FB3FD4"/>
    <w:rsid w:val="00FB43CC"/>
    <w:rsid w:val="00FB4D46"/>
    <w:rsid w:val="00FB5584"/>
    <w:rsid w:val="00FB5E2A"/>
    <w:rsid w:val="00FB6022"/>
    <w:rsid w:val="00FB7D10"/>
    <w:rsid w:val="00FC02CB"/>
    <w:rsid w:val="00FC10E8"/>
    <w:rsid w:val="00FC2CA9"/>
    <w:rsid w:val="00FC48E0"/>
    <w:rsid w:val="00FC4D82"/>
    <w:rsid w:val="00FC587B"/>
    <w:rsid w:val="00FC5E8B"/>
    <w:rsid w:val="00FC792A"/>
    <w:rsid w:val="00FD026A"/>
    <w:rsid w:val="00FD062C"/>
    <w:rsid w:val="00FD2797"/>
    <w:rsid w:val="00FD2A22"/>
    <w:rsid w:val="00FD3D2E"/>
    <w:rsid w:val="00FD3FF6"/>
    <w:rsid w:val="00FD5ACD"/>
    <w:rsid w:val="00FD5C88"/>
    <w:rsid w:val="00FD7CC6"/>
    <w:rsid w:val="00FE0262"/>
    <w:rsid w:val="00FE0290"/>
    <w:rsid w:val="00FE045A"/>
    <w:rsid w:val="00FE40BC"/>
    <w:rsid w:val="00FE66D3"/>
    <w:rsid w:val="00FE68C9"/>
    <w:rsid w:val="00FE71BB"/>
    <w:rsid w:val="00FF2314"/>
    <w:rsid w:val="022B771C"/>
    <w:rsid w:val="02B36E8B"/>
    <w:rsid w:val="030A2E20"/>
    <w:rsid w:val="033B2DB0"/>
    <w:rsid w:val="037E2298"/>
    <w:rsid w:val="05CB6D7B"/>
    <w:rsid w:val="0784506A"/>
    <w:rsid w:val="07C8423B"/>
    <w:rsid w:val="0802682A"/>
    <w:rsid w:val="0860746D"/>
    <w:rsid w:val="09D701AB"/>
    <w:rsid w:val="0A460DE1"/>
    <w:rsid w:val="0B4146F3"/>
    <w:rsid w:val="0B725522"/>
    <w:rsid w:val="0CD17915"/>
    <w:rsid w:val="0CEF6367"/>
    <w:rsid w:val="0CF81FBE"/>
    <w:rsid w:val="0D457FCB"/>
    <w:rsid w:val="0D511888"/>
    <w:rsid w:val="0E053424"/>
    <w:rsid w:val="0E3B764C"/>
    <w:rsid w:val="0EE5461F"/>
    <w:rsid w:val="0EF95283"/>
    <w:rsid w:val="0F0C272E"/>
    <w:rsid w:val="0FBAE0AB"/>
    <w:rsid w:val="100172C4"/>
    <w:rsid w:val="10036A5A"/>
    <w:rsid w:val="1036019D"/>
    <w:rsid w:val="105B0DB9"/>
    <w:rsid w:val="106F0C9A"/>
    <w:rsid w:val="108E0991"/>
    <w:rsid w:val="10AB345F"/>
    <w:rsid w:val="10C76530"/>
    <w:rsid w:val="12117469"/>
    <w:rsid w:val="12DA7083"/>
    <w:rsid w:val="131D0AC8"/>
    <w:rsid w:val="132B1427"/>
    <w:rsid w:val="13800D1E"/>
    <w:rsid w:val="14106BA1"/>
    <w:rsid w:val="14E769AA"/>
    <w:rsid w:val="17CD25FC"/>
    <w:rsid w:val="17CE511D"/>
    <w:rsid w:val="17E9696E"/>
    <w:rsid w:val="184D1C16"/>
    <w:rsid w:val="18BC70C0"/>
    <w:rsid w:val="18DA025D"/>
    <w:rsid w:val="18ED36D6"/>
    <w:rsid w:val="1B133B0B"/>
    <w:rsid w:val="1B8A0EAC"/>
    <w:rsid w:val="1BF561A7"/>
    <w:rsid w:val="1D521B6B"/>
    <w:rsid w:val="1DFF9DD9"/>
    <w:rsid w:val="1E0736CD"/>
    <w:rsid w:val="1E1765C3"/>
    <w:rsid w:val="1E602181"/>
    <w:rsid w:val="1E9B4944"/>
    <w:rsid w:val="1EA251B4"/>
    <w:rsid w:val="1EA3320A"/>
    <w:rsid w:val="1EB64198"/>
    <w:rsid w:val="1EFE68D2"/>
    <w:rsid w:val="1FBF2B2F"/>
    <w:rsid w:val="2080318C"/>
    <w:rsid w:val="209E50D8"/>
    <w:rsid w:val="20CA2E98"/>
    <w:rsid w:val="22062173"/>
    <w:rsid w:val="225B46A3"/>
    <w:rsid w:val="22B07B4A"/>
    <w:rsid w:val="22FA1FAF"/>
    <w:rsid w:val="23421B71"/>
    <w:rsid w:val="23754213"/>
    <w:rsid w:val="24950604"/>
    <w:rsid w:val="24B0438E"/>
    <w:rsid w:val="26DF592B"/>
    <w:rsid w:val="26FF0300"/>
    <w:rsid w:val="283815B0"/>
    <w:rsid w:val="287E3002"/>
    <w:rsid w:val="28FE1CE1"/>
    <w:rsid w:val="293E30F7"/>
    <w:rsid w:val="2AFF14CB"/>
    <w:rsid w:val="2BEE4994"/>
    <w:rsid w:val="2CFA5A5C"/>
    <w:rsid w:val="2D110B8E"/>
    <w:rsid w:val="2E310CCC"/>
    <w:rsid w:val="2EB40879"/>
    <w:rsid w:val="2EF37AEA"/>
    <w:rsid w:val="2FAE84A3"/>
    <w:rsid w:val="308A014C"/>
    <w:rsid w:val="310C421D"/>
    <w:rsid w:val="31202071"/>
    <w:rsid w:val="31CF7AAE"/>
    <w:rsid w:val="31E62525"/>
    <w:rsid w:val="31F51C0D"/>
    <w:rsid w:val="3330735E"/>
    <w:rsid w:val="33911F62"/>
    <w:rsid w:val="33CF1D6B"/>
    <w:rsid w:val="33FE2AAB"/>
    <w:rsid w:val="34103869"/>
    <w:rsid w:val="342040B5"/>
    <w:rsid w:val="362B4A2D"/>
    <w:rsid w:val="36833259"/>
    <w:rsid w:val="3810501C"/>
    <w:rsid w:val="3877CE12"/>
    <w:rsid w:val="3B5C0421"/>
    <w:rsid w:val="3BA4537B"/>
    <w:rsid w:val="3BA73451"/>
    <w:rsid w:val="3C5B7692"/>
    <w:rsid w:val="3D08083F"/>
    <w:rsid w:val="3D4EBC28"/>
    <w:rsid w:val="3DB04137"/>
    <w:rsid w:val="3DC068F9"/>
    <w:rsid w:val="3DDE5A56"/>
    <w:rsid w:val="3E0030FF"/>
    <w:rsid w:val="3F1F558C"/>
    <w:rsid w:val="3F446C6B"/>
    <w:rsid w:val="3F6DC476"/>
    <w:rsid w:val="3F6FB7F5"/>
    <w:rsid w:val="3F7FC6E9"/>
    <w:rsid w:val="3FCCDB43"/>
    <w:rsid w:val="3FF37119"/>
    <w:rsid w:val="40CF14A9"/>
    <w:rsid w:val="423F200E"/>
    <w:rsid w:val="429615B8"/>
    <w:rsid w:val="43C73250"/>
    <w:rsid w:val="441431D2"/>
    <w:rsid w:val="46BFD641"/>
    <w:rsid w:val="46FD0E5E"/>
    <w:rsid w:val="4822550D"/>
    <w:rsid w:val="48CC1CAB"/>
    <w:rsid w:val="4A811016"/>
    <w:rsid w:val="4D7FF88A"/>
    <w:rsid w:val="4DA95605"/>
    <w:rsid w:val="4DE243DE"/>
    <w:rsid w:val="4DEF6177"/>
    <w:rsid w:val="4DFFAEB2"/>
    <w:rsid w:val="4E2C312B"/>
    <w:rsid w:val="4F080DA1"/>
    <w:rsid w:val="4F1A7A4C"/>
    <w:rsid w:val="4F6FE15A"/>
    <w:rsid w:val="4F7FB449"/>
    <w:rsid w:val="502E1CD9"/>
    <w:rsid w:val="50535462"/>
    <w:rsid w:val="51822EC1"/>
    <w:rsid w:val="520B69DF"/>
    <w:rsid w:val="531C72F5"/>
    <w:rsid w:val="53C6190C"/>
    <w:rsid w:val="53F119AF"/>
    <w:rsid w:val="54255C7B"/>
    <w:rsid w:val="548C3B38"/>
    <w:rsid w:val="548D1B39"/>
    <w:rsid w:val="54B856EC"/>
    <w:rsid w:val="54F02134"/>
    <w:rsid w:val="5797D5BC"/>
    <w:rsid w:val="57D4486C"/>
    <w:rsid w:val="59BE15C6"/>
    <w:rsid w:val="5A423205"/>
    <w:rsid w:val="5A7C3980"/>
    <w:rsid w:val="5A817256"/>
    <w:rsid w:val="5B5D06E1"/>
    <w:rsid w:val="5B653872"/>
    <w:rsid w:val="5BA31D9E"/>
    <w:rsid w:val="5CAE4246"/>
    <w:rsid w:val="5DEF7928"/>
    <w:rsid w:val="5EF71107"/>
    <w:rsid w:val="5EF7820D"/>
    <w:rsid w:val="5F0E5CD4"/>
    <w:rsid w:val="5F5FECFB"/>
    <w:rsid w:val="5FA511B9"/>
    <w:rsid w:val="5FB2947F"/>
    <w:rsid w:val="5FBA7695"/>
    <w:rsid w:val="5FD3CE0F"/>
    <w:rsid w:val="5FF02521"/>
    <w:rsid w:val="5FF97C70"/>
    <w:rsid w:val="5FFF0675"/>
    <w:rsid w:val="602968CF"/>
    <w:rsid w:val="60A46E04"/>
    <w:rsid w:val="633E2DA7"/>
    <w:rsid w:val="636E5BAD"/>
    <w:rsid w:val="637B3504"/>
    <w:rsid w:val="645653E3"/>
    <w:rsid w:val="64620521"/>
    <w:rsid w:val="646D4344"/>
    <w:rsid w:val="64C95245"/>
    <w:rsid w:val="650A05DB"/>
    <w:rsid w:val="65CC0E9B"/>
    <w:rsid w:val="65EF6CF7"/>
    <w:rsid w:val="66342969"/>
    <w:rsid w:val="66AF3EDC"/>
    <w:rsid w:val="675F72A3"/>
    <w:rsid w:val="676D56A8"/>
    <w:rsid w:val="67DFA97F"/>
    <w:rsid w:val="6A411E13"/>
    <w:rsid w:val="6A9A4727"/>
    <w:rsid w:val="6AA52E8B"/>
    <w:rsid w:val="6AD66740"/>
    <w:rsid w:val="6AE84409"/>
    <w:rsid w:val="6B05771B"/>
    <w:rsid w:val="6B7F0EB0"/>
    <w:rsid w:val="6B9E09E2"/>
    <w:rsid w:val="6BA73C6E"/>
    <w:rsid w:val="6BBE6B53"/>
    <w:rsid w:val="6C731F2A"/>
    <w:rsid w:val="6DC15BA9"/>
    <w:rsid w:val="6DEF7C53"/>
    <w:rsid w:val="6DFFB8E3"/>
    <w:rsid w:val="6EA35F27"/>
    <w:rsid w:val="6EC12DB5"/>
    <w:rsid w:val="6EEBBCB9"/>
    <w:rsid w:val="6EF6C942"/>
    <w:rsid w:val="6EFF4E62"/>
    <w:rsid w:val="6F3170DD"/>
    <w:rsid w:val="6F3D2F61"/>
    <w:rsid w:val="6FC67C6B"/>
    <w:rsid w:val="6FCB8D28"/>
    <w:rsid w:val="6FF73B63"/>
    <w:rsid w:val="704E187C"/>
    <w:rsid w:val="7121417D"/>
    <w:rsid w:val="71781D04"/>
    <w:rsid w:val="72BD04DD"/>
    <w:rsid w:val="734E3B15"/>
    <w:rsid w:val="73C36B66"/>
    <w:rsid w:val="74560B1F"/>
    <w:rsid w:val="74E20EE0"/>
    <w:rsid w:val="75A58B8B"/>
    <w:rsid w:val="75F47FF3"/>
    <w:rsid w:val="765F3A86"/>
    <w:rsid w:val="769D757B"/>
    <w:rsid w:val="76ED09FE"/>
    <w:rsid w:val="77521EF4"/>
    <w:rsid w:val="77BE67EE"/>
    <w:rsid w:val="77BE8B4D"/>
    <w:rsid w:val="77DF8299"/>
    <w:rsid w:val="7873350A"/>
    <w:rsid w:val="794853A5"/>
    <w:rsid w:val="7997048B"/>
    <w:rsid w:val="7A2E3032"/>
    <w:rsid w:val="7A7F67DA"/>
    <w:rsid w:val="7ADCE11C"/>
    <w:rsid w:val="7B2940E9"/>
    <w:rsid w:val="7B7A44D2"/>
    <w:rsid w:val="7B7F8FBB"/>
    <w:rsid w:val="7B821E23"/>
    <w:rsid w:val="7BB50DC6"/>
    <w:rsid w:val="7BDFF759"/>
    <w:rsid w:val="7C284742"/>
    <w:rsid w:val="7D561D53"/>
    <w:rsid w:val="7D5C2AB5"/>
    <w:rsid w:val="7D7653E6"/>
    <w:rsid w:val="7EA41A26"/>
    <w:rsid w:val="7EF1B6E0"/>
    <w:rsid w:val="7EFF40B9"/>
    <w:rsid w:val="7EFFD99B"/>
    <w:rsid w:val="7F5995B7"/>
    <w:rsid w:val="7F5FEB4E"/>
    <w:rsid w:val="7FF9A19F"/>
    <w:rsid w:val="7FFB5337"/>
    <w:rsid w:val="7FFF2FF7"/>
    <w:rsid w:val="7FFF8176"/>
    <w:rsid w:val="7FFFA10D"/>
    <w:rsid w:val="95B78FDF"/>
    <w:rsid w:val="99B826F1"/>
    <w:rsid w:val="9F3F9B73"/>
    <w:rsid w:val="9FEFC439"/>
    <w:rsid w:val="9FFD08B1"/>
    <w:rsid w:val="ABFB43B3"/>
    <w:rsid w:val="AE7F2795"/>
    <w:rsid w:val="AEEFE4DE"/>
    <w:rsid w:val="AFFEF77B"/>
    <w:rsid w:val="BBFEA9FB"/>
    <w:rsid w:val="BDDFB6DE"/>
    <w:rsid w:val="BF2F6946"/>
    <w:rsid w:val="BF39A49A"/>
    <w:rsid w:val="BF974B16"/>
    <w:rsid w:val="BFAE686C"/>
    <w:rsid w:val="BFB7ACE3"/>
    <w:rsid w:val="BFEFE96C"/>
    <w:rsid w:val="BFFBCAF1"/>
    <w:rsid w:val="BFFD973B"/>
    <w:rsid w:val="BFFF2FA4"/>
    <w:rsid w:val="C6FF87F4"/>
    <w:rsid w:val="CB7D195B"/>
    <w:rsid w:val="CD7CE187"/>
    <w:rsid w:val="CF651134"/>
    <w:rsid w:val="CF8F3325"/>
    <w:rsid w:val="CFFF3DCE"/>
    <w:rsid w:val="D77E2283"/>
    <w:rsid w:val="D78F2E44"/>
    <w:rsid w:val="D7FA69C0"/>
    <w:rsid w:val="D9FA0DC0"/>
    <w:rsid w:val="DBFDE651"/>
    <w:rsid w:val="DBFE64E4"/>
    <w:rsid w:val="DD4F189B"/>
    <w:rsid w:val="DDD34883"/>
    <w:rsid w:val="DDE16DB2"/>
    <w:rsid w:val="DFE7126C"/>
    <w:rsid w:val="DFEEE3F8"/>
    <w:rsid w:val="DFFEE717"/>
    <w:rsid w:val="E5736947"/>
    <w:rsid w:val="E9AF7938"/>
    <w:rsid w:val="EB398D57"/>
    <w:rsid w:val="EBDC6274"/>
    <w:rsid w:val="EBF5D004"/>
    <w:rsid w:val="ED5A99B3"/>
    <w:rsid w:val="EDB7708F"/>
    <w:rsid w:val="EF2F8986"/>
    <w:rsid w:val="EF4FBCBA"/>
    <w:rsid w:val="EFEFDDAA"/>
    <w:rsid w:val="F11F5726"/>
    <w:rsid w:val="F2BF060E"/>
    <w:rsid w:val="F2F3AAB3"/>
    <w:rsid w:val="F5337F9B"/>
    <w:rsid w:val="F65A0B2C"/>
    <w:rsid w:val="F6BE5252"/>
    <w:rsid w:val="F75734A2"/>
    <w:rsid w:val="F75FFBA4"/>
    <w:rsid w:val="F7BFF0D2"/>
    <w:rsid w:val="F7F5EF59"/>
    <w:rsid w:val="F7FD8620"/>
    <w:rsid w:val="F7FF9563"/>
    <w:rsid w:val="FBB76DDB"/>
    <w:rsid w:val="FBCF989E"/>
    <w:rsid w:val="FD532C43"/>
    <w:rsid w:val="FD77F0CB"/>
    <w:rsid w:val="FD7A5C84"/>
    <w:rsid w:val="FDE31AD0"/>
    <w:rsid w:val="FE55979C"/>
    <w:rsid w:val="FEAFE97E"/>
    <w:rsid w:val="FEE30B53"/>
    <w:rsid w:val="FEF35F78"/>
    <w:rsid w:val="FEFEA549"/>
    <w:rsid w:val="FF1FF894"/>
    <w:rsid w:val="FF3FF8DF"/>
    <w:rsid w:val="FF7F6E36"/>
    <w:rsid w:val="FF7FD71A"/>
    <w:rsid w:val="FF971EB4"/>
    <w:rsid w:val="FFD7437D"/>
    <w:rsid w:val="FFDDF376"/>
    <w:rsid w:val="FFE746FA"/>
    <w:rsid w:val="FFFF70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qFormat="1"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qFormat="1" w:unhideWhenUsed="0" w:uiPriority="0" w:semiHidden="0"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ind w:firstLine="200" w:firstLineChars="200"/>
      <w:jc w:val="both"/>
    </w:pPr>
    <w:rPr>
      <w:rFonts w:ascii="Times New Roman" w:hAnsi="Times New Roman" w:eastAsia="宋体" w:cstheme="minorBidi"/>
      <w:kern w:val="2"/>
      <w:sz w:val="24"/>
      <w:szCs w:val="22"/>
      <w:lang w:val="en-US" w:eastAsia="zh-CN" w:bidi="ar-SA"/>
    </w:rPr>
  </w:style>
  <w:style w:type="paragraph" w:styleId="2">
    <w:name w:val="heading 1"/>
    <w:basedOn w:val="1"/>
    <w:next w:val="1"/>
    <w:link w:val="38"/>
    <w:qFormat/>
    <w:uiPriority w:val="9"/>
    <w:pPr>
      <w:spacing w:before="100" w:beforeLines="100" w:after="100" w:afterLines="100" w:line="240" w:lineRule="auto"/>
      <w:jc w:val="center"/>
      <w:outlineLvl w:val="0"/>
    </w:pPr>
    <w:rPr>
      <w:rFonts w:ascii="黑体" w:hAnsi="黑体" w:eastAsia="黑体"/>
      <w:b/>
      <w:kern w:val="44"/>
      <w:sz w:val="32"/>
      <w:szCs w:val="44"/>
    </w:rPr>
  </w:style>
  <w:style w:type="paragraph" w:styleId="3">
    <w:name w:val="heading 2"/>
    <w:basedOn w:val="1"/>
    <w:next w:val="1"/>
    <w:link w:val="42"/>
    <w:unhideWhenUsed/>
    <w:qFormat/>
    <w:uiPriority w:val="9"/>
    <w:pPr>
      <w:keepNext/>
      <w:keepLines/>
      <w:snapToGrid w:val="0"/>
      <w:spacing w:before="100" w:beforeLines="100" w:after="100" w:afterLines="100"/>
      <w:jc w:val="left"/>
      <w:outlineLvl w:val="1"/>
    </w:pPr>
    <w:rPr>
      <w:rFonts w:ascii="黑体" w:hAnsi="黑体" w:eastAsia="黑体" w:cs="黑体"/>
      <w:b/>
      <w:bCs/>
      <w:sz w:val="28"/>
      <w:szCs w:val="32"/>
    </w:rPr>
  </w:style>
  <w:style w:type="paragraph" w:styleId="4">
    <w:name w:val="heading 3"/>
    <w:basedOn w:val="1"/>
    <w:next w:val="1"/>
    <w:link w:val="48"/>
    <w:unhideWhenUsed/>
    <w:qFormat/>
    <w:uiPriority w:val="9"/>
    <w:pPr>
      <w:keepNext/>
      <w:keepLines/>
      <w:spacing w:before="100" w:beforeLines="100" w:after="100" w:afterLines="100" w:line="240" w:lineRule="auto"/>
      <w:jc w:val="left"/>
      <w:outlineLvl w:val="2"/>
    </w:pPr>
    <w:rPr>
      <w:rFonts w:ascii="黑体" w:hAnsi="黑体" w:eastAsia="黑体" w:cs="黑体"/>
      <w:b/>
      <w:bCs/>
      <w:szCs w:val="24"/>
    </w:rPr>
  </w:style>
  <w:style w:type="paragraph" w:styleId="5">
    <w:name w:val="heading 4"/>
    <w:basedOn w:val="1"/>
    <w:next w:val="1"/>
    <w:link w:val="54"/>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30">
    <w:name w:val="Default Paragraph Font"/>
    <w:semiHidden/>
    <w:unhideWhenUsed/>
    <w:qFormat/>
    <w:uiPriority w:val="1"/>
  </w:style>
  <w:style w:type="table" w:default="1" w:styleId="28">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autoRedefine/>
    <w:semiHidden/>
    <w:unhideWhenUsed/>
    <w:qFormat/>
    <w:uiPriority w:val="39"/>
    <w:pPr>
      <w:ind w:left="1440"/>
      <w:jc w:val="left"/>
    </w:pPr>
    <w:rPr>
      <w:rFonts w:asciiTheme="minorHAnsi" w:eastAsiaTheme="minorHAnsi"/>
      <w:sz w:val="18"/>
      <w:szCs w:val="18"/>
    </w:rPr>
  </w:style>
  <w:style w:type="paragraph" w:styleId="7">
    <w:name w:val="annotation text"/>
    <w:basedOn w:val="1"/>
    <w:link w:val="45"/>
    <w:semiHidden/>
    <w:unhideWhenUsed/>
    <w:qFormat/>
    <w:uiPriority w:val="99"/>
    <w:pPr>
      <w:jc w:val="left"/>
    </w:pPr>
  </w:style>
  <w:style w:type="paragraph" w:styleId="8">
    <w:name w:val="Body Text"/>
    <w:basedOn w:val="1"/>
    <w:qFormat/>
    <w:uiPriority w:val="0"/>
    <w:rPr>
      <w:szCs w:val="20"/>
    </w:rPr>
  </w:style>
  <w:style w:type="paragraph" w:styleId="9">
    <w:name w:val="Body Text Indent"/>
    <w:basedOn w:val="1"/>
    <w:qFormat/>
    <w:uiPriority w:val="0"/>
    <w:pPr>
      <w:ind w:firstLine="480"/>
      <w:jc w:val="left"/>
    </w:pPr>
  </w:style>
  <w:style w:type="paragraph" w:styleId="10">
    <w:name w:val="toc 5"/>
    <w:basedOn w:val="1"/>
    <w:next w:val="1"/>
    <w:autoRedefine/>
    <w:semiHidden/>
    <w:unhideWhenUsed/>
    <w:qFormat/>
    <w:uiPriority w:val="39"/>
    <w:pPr>
      <w:ind w:left="960"/>
      <w:jc w:val="left"/>
    </w:pPr>
    <w:rPr>
      <w:rFonts w:asciiTheme="minorHAnsi" w:eastAsiaTheme="minorHAnsi"/>
      <w:sz w:val="18"/>
      <w:szCs w:val="18"/>
    </w:rPr>
  </w:style>
  <w:style w:type="paragraph" w:styleId="11">
    <w:name w:val="toc 3"/>
    <w:basedOn w:val="1"/>
    <w:next w:val="1"/>
    <w:unhideWhenUsed/>
    <w:qFormat/>
    <w:uiPriority w:val="39"/>
    <w:pPr>
      <w:spacing w:line="400" w:lineRule="atLeast"/>
      <w:ind w:left="482"/>
      <w:jc w:val="left"/>
    </w:pPr>
    <w:rPr>
      <w:rFonts w:ascii="宋体" w:hAnsi="宋体" w:cs="宋体"/>
      <w:iCs/>
      <w:szCs w:val="24"/>
    </w:rPr>
  </w:style>
  <w:style w:type="paragraph" w:styleId="12">
    <w:name w:val="Plain Text"/>
    <w:basedOn w:val="1"/>
    <w:qFormat/>
    <w:uiPriority w:val="0"/>
    <w:rPr>
      <w:rFonts w:hAnsi="Courier New"/>
      <w:szCs w:val="20"/>
    </w:rPr>
  </w:style>
  <w:style w:type="paragraph" w:styleId="13">
    <w:name w:val="toc 8"/>
    <w:basedOn w:val="1"/>
    <w:next w:val="1"/>
    <w:autoRedefine/>
    <w:semiHidden/>
    <w:unhideWhenUsed/>
    <w:qFormat/>
    <w:uiPriority w:val="39"/>
    <w:pPr>
      <w:ind w:left="1680"/>
      <w:jc w:val="left"/>
    </w:pPr>
    <w:rPr>
      <w:rFonts w:asciiTheme="minorHAnsi" w:eastAsiaTheme="minorHAnsi"/>
      <w:sz w:val="18"/>
      <w:szCs w:val="18"/>
    </w:rPr>
  </w:style>
  <w:style w:type="paragraph" w:styleId="14">
    <w:name w:val="endnote text"/>
    <w:basedOn w:val="1"/>
    <w:semiHidden/>
    <w:unhideWhenUsed/>
    <w:qFormat/>
    <w:uiPriority w:val="99"/>
    <w:pPr>
      <w:snapToGrid w:val="0"/>
      <w:jc w:val="left"/>
    </w:pPr>
  </w:style>
  <w:style w:type="paragraph" w:styleId="15">
    <w:name w:val="Balloon Text"/>
    <w:basedOn w:val="1"/>
    <w:link w:val="50"/>
    <w:semiHidden/>
    <w:unhideWhenUsed/>
    <w:qFormat/>
    <w:uiPriority w:val="99"/>
    <w:rPr>
      <w:sz w:val="18"/>
      <w:szCs w:val="18"/>
    </w:rPr>
  </w:style>
  <w:style w:type="paragraph" w:styleId="16">
    <w:name w:val="footer"/>
    <w:basedOn w:val="1"/>
    <w:link w:val="41"/>
    <w:unhideWhenUsed/>
    <w:qFormat/>
    <w:uiPriority w:val="99"/>
    <w:pPr>
      <w:tabs>
        <w:tab w:val="center" w:pos="4153"/>
        <w:tab w:val="right" w:pos="8306"/>
      </w:tabs>
      <w:snapToGrid w:val="0"/>
      <w:jc w:val="left"/>
    </w:pPr>
    <w:rPr>
      <w:sz w:val="18"/>
      <w:szCs w:val="18"/>
    </w:rPr>
  </w:style>
  <w:style w:type="paragraph" w:styleId="17">
    <w:name w:val="header"/>
    <w:basedOn w:val="1"/>
    <w:link w:val="40"/>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spacing w:before="120" w:after="120" w:line="400" w:lineRule="atLeast"/>
      <w:jc w:val="left"/>
    </w:pPr>
    <w:rPr>
      <w:rFonts w:ascii="黑体" w:hAnsi="黑体" w:eastAsia="黑体" w:cs="黑体"/>
      <w:bCs/>
      <w:caps/>
      <w:szCs w:val="24"/>
    </w:rPr>
  </w:style>
  <w:style w:type="paragraph" w:styleId="19">
    <w:name w:val="toc 4"/>
    <w:basedOn w:val="1"/>
    <w:next w:val="1"/>
    <w:autoRedefine/>
    <w:semiHidden/>
    <w:unhideWhenUsed/>
    <w:qFormat/>
    <w:uiPriority w:val="39"/>
    <w:pPr>
      <w:ind w:left="720"/>
      <w:jc w:val="left"/>
    </w:pPr>
    <w:rPr>
      <w:rFonts w:asciiTheme="minorHAnsi" w:eastAsiaTheme="minorHAnsi"/>
      <w:sz w:val="18"/>
      <w:szCs w:val="18"/>
    </w:rPr>
  </w:style>
  <w:style w:type="paragraph" w:styleId="20">
    <w:name w:val="Subtitle"/>
    <w:basedOn w:val="4"/>
    <w:next w:val="1"/>
    <w:link w:val="47"/>
    <w:qFormat/>
    <w:uiPriority w:val="11"/>
    <w:pPr>
      <w:spacing w:before="0" w:after="0"/>
      <w:outlineLvl w:val="1"/>
    </w:pPr>
    <w:rPr>
      <w:bCs w:val="0"/>
      <w:kern w:val="28"/>
      <w:sz w:val="28"/>
    </w:rPr>
  </w:style>
  <w:style w:type="paragraph" w:styleId="21">
    <w:name w:val="footnote text"/>
    <w:basedOn w:val="1"/>
    <w:link w:val="44"/>
    <w:semiHidden/>
    <w:unhideWhenUsed/>
    <w:qFormat/>
    <w:uiPriority w:val="99"/>
    <w:pPr>
      <w:snapToGrid w:val="0"/>
      <w:jc w:val="left"/>
    </w:pPr>
    <w:rPr>
      <w:sz w:val="18"/>
      <w:szCs w:val="18"/>
    </w:rPr>
  </w:style>
  <w:style w:type="paragraph" w:styleId="22">
    <w:name w:val="toc 6"/>
    <w:basedOn w:val="1"/>
    <w:next w:val="1"/>
    <w:autoRedefine/>
    <w:semiHidden/>
    <w:unhideWhenUsed/>
    <w:qFormat/>
    <w:uiPriority w:val="39"/>
    <w:pPr>
      <w:ind w:left="1200"/>
      <w:jc w:val="left"/>
    </w:pPr>
    <w:rPr>
      <w:rFonts w:asciiTheme="minorHAnsi" w:eastAsiaTheme="minorHAnsi"/>
      <w:sz w:val="18"/>
      <w:szCs w:val="18"/>
    </w:rPr>
  </w:style>
  <w:style w:type="paragraph" w:styleId="23">
    <w:name w:val="toc 2"/>
    <w:basedOn w:val="1"/>
    <w:next w:val="1"/>
    <w:unhideWhenUsed/>
    <w:qFormat/>
    <w:uiPriority w:val="39"/>
    <w:pPr>
      <w:spacing w:line="400" w:lineRule="atLeast"/>
      <w:ind w:left="238"/>
      <w:jc w:val="left"/>
    </w:pPr>
    <w:rPr>
      <w:rFonts w:ascii="宋体" w:hAnsi="宋体" w:cs="宋体"/>
      <w:smallCaps/>
      <w:szCs w:val="24"/>
    </w:rPr>
  </w:style>
  <w:style w:type="paragraph" w:styleId="24">
    <w:name w:val="toc 9"/>
    <w:basedOn w:val="1"/>
    <w:next w:val="1"/>
    <w:autoRedefine/>
    <w:semiHidden/>
    <w:unhideWhenUsed/>
    <w:qFormat/>
    <w:uiPriority w:val="39"/>
    <w:pPr>
      <w:ind w:left="1920"/>
      <w:jc w:val="left"/>
    </w:pPr>
    <w:rPr>
      <w:rFonts w:asciiTheme="minorHAnsi" w:eastAsiaTheme="minorHAnsi"/>
      <w:sz w:val="18"/>
      <w:szCs w:val="18"/>
    </w:rPr>
  </w:style>
  <w:style w:type="paragraph" w:styleId="25">
    <w:name w:val="Normal (Web)"/>
    <w:basedOn w:val="1"/>
    <w:semiHidden/>
    <w:unhideWhenUsed/>
    <w:qFormat/>
    <w:uiPriority w:val="99"/>
    <w:rPr>
      <w:rFonts w:cs="Times New Roman"/>
      <w:szCs w:val="24"/>
    </w:rPr>
  </w:style>
  <w:style w:type="paragraph" w:styleId="26">
    <w:name w:val="Title"/>
    <w:basedOn w:val="3"/>
    <w:next w:val="3"/>
    <w:link w:val="39"/>
    <w:qFormat/>
    <w:uiPriority w:val="10"/>
    <w:pPr>
      <w:outlineLvl w:val="3"/>
    </w:pPr>
    <w:rPr>
      <w:bCs w:val="0"/>
      <w:sz w:val="21"/>
    </w:rPr>
  </w:style>
  <w:style w:type="paragraph" w:styleId="27">
    <w:name w:val="annotation subject"/>
    <w:basedOn w:val="7"/>
    <w:next w:val="7"/>
    <w:link w:val="46"/>
    <w:semiHidden/>
    <w:unhideWhenUsed/>
    <w:qFormat/>
    <w:uiPriority w:val="99"/>
    <w:rPr>
      <w:b/>
      <w:bCs/>
    </w:rPr>
  </w:style>
  <w:style w:type="table" w:styleId="29">
    <w:name w:val="Table Grid"/>
    <w:basedOn w:val="28"/>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31">
    <w:name w:val="endnote reference"/>
    <w:basedOn w:val="30"/>
    <w:semiHidden/>
    <w:unhideWhenUsed/>
    <w:qFormat/>
    <w:uiPriority w:val="99"/>
    <w:rPr>
      <w:vertAlign w:val="superscript"/>
    </w:rPr>
  </w:style>
  <w:style w:type="character" w:styleId="32">
    <w:name w:val="page number"/>
    <w:qFormat/>
    <w:uiPriority w:val="0"/>
  </w:style>
  <w:style w:type="character" w:styleId="33">
    <w:name w:val="Emphasis"/>
    <w:basedOn w:val="30"/>
    <w:qFormat/>
    <w:uiPriority w:val="20"/>
    <w:rPr>
      <w:i/>
      <w:iCs/>
    </w:rPr>
  </w:style>
  <w:style w:type="character" w:styleId="34">
    <w:name w:val="Hyperlink"/>
    <w:basedOn w:val="30"/>
    <w:unhideWhenUsed/>
    <w:qFormat/>
    <w:uiPriority w:val="99"/>
    <w:rPr>
      <w:color w:val="0563C1" w:themeColor="hyperlink"/>
      <w:u w:val="single"/>
      <w14:textFill>
        <w14:solidFill>
          <w14:schemeClr w14:val="hlink"/>
        </w14:solidFill>
      </w14:textFill>
    </w:rPr>
  </w:style>
  <w:style w:type="character" w:styleId="35">
    <w:name w:val="HTML Code"/>
    <w:basedOn w:val="30"/>
    <w:semiHidden/>
    <w:unhideWhenUsed/>
    <w:qFormat/>
    <w:uiPriority w:val="99"/>
    <w:rPr>
      <w:rFonts w:ascii="宋体" w:hAnsi="宋体" w:eastAsia="宋体" w:cs="宋体"/>
      <w:sz w:val="24"/>
      <w:szCs w:val="24"/>
    </w:rPr>
  </w:style>
  <w:style w:type="character" w:styleId="36">
    <w:name w:val="annotation reference"/>
    <w:basedOn w:val="30"/>
    <w:semiHidden/>
    <w:unhideWhenUsed/>
    <w:qFormat/>
    <w:uiPriority w:val="99"/>
    <w:rPr>
      <w:sz w:val="21"/>
      <w:szCs w:val="21"/>
    </w:rPr>
  </w:style>
  <w:style w:type="character" w:styleId="37">
    <w:name w:val="footnote reference"/>
    <w:basedOn w:val="30"/>
    <w:semiHidden/>
    <w:unhideWhenUsed/>
    <w:qFormat/>
    <w:uiPriority w:val="99"/>
    <w:rPr>
      <w:vertAlign w:val="superscript"/>
    </w:rPr>
  </w:style>
  <w:style w:type="character" w:customStyle="1" w:styleId="38">
    <w:name w:val="标题 1 字符"/>
    <w:basedOn w:val="30"/>
    <w:link w:val="2"/>
    <w:qFormat/>
    <w:uiPriority w:val="9"/>
    <w:rPr>
      <w:rFonts w:ascii="黑体" w:hAnsi="黑体" w:eastAsia="黑体" w:cstheme="minorBidi"/>
      <w:b/>
      <w:kern w:val="44"/>
      <w:sz w:val="32"/>
      <w:szCs w:val="44"/>
    </w:rPr>
  </w:style>
  <w:style w:type="character" w:customStyle="1" w:styleId="39">
    <w:name w:val="标题 字符"/>
    <w:basedOn w:val="30"/>
    <w:link w:val="26"/>
    <w:qFormat/>
    <w:uiPriority w:val="10"/>
    <w:rPr>
      <w:rFonts w:ascii="Times New Roman" w:hAnsi="Times New Roman" w:eastAsia="黑体" w:cstheme="majorBidi"/>
      <w:b/>
      <w:kern w:val="2"/>
      <w:sz w:val="21"/>
      <w:szCs w:val="32"/>
    </w:rPr>
  </w:style>
  <w:style w:type="character" w:customStyle="1" w:styleId="40">
    <w:name w:val="页眉 字符"/>
    <w:basedOn w:val="30"/>
    <w:link w:val="17"/>
    <w:qFormat/>
    <w:uiPriority w:val="99"/>
    <w:rPr>
      <w:sz w:val="18"/>
      <w:szCs w:val="18"/>
    </w:rPr>
  </w:style>
  <w:style w:type="character" w:customStyle="1" w:styleId="41">
    <w:name w:val="页脚 字符"/>
    <w:basedOn w:val="30"/>
    <w:link w:val="16"/>
    <w:qFormat/>
    <w:uiPriority w:val="99"/>
    <w:rPr>
      <w:sz w:val="18"/>
      <w:szCs w:val="18"/>
    </w:rPr>
  </w:style>
  <w:style w:type="character" w:customStyle="1" w:styleId="42">
    <w:name w:val="标题 2 字符"/>
    <w:basedOn w:val="30"/>
    <w:link w:val="3"/>
    <w:qFormat/>
    <w:uiPriority w:val="9"/>
    <w:rPr>
      <w:rFonts w:ascii="黑体" w:hAnsi="黑体" w:eastAsia="黑体" w:cs="黑体"/>
      <w:b/>
      <w:bCs/>
      <w:kern w:val="2"/>
      <w:sz w:val="28"/>
      <w:szCs w:val="32"/>
    </w:rPr>
  </w:style>
  <w:style w:type="paragraph" w:styleId="43">
    <w:name w:val="List Paragraph"/>
    <w:basedOn w:val="1"/>
    <w:qFormat/>
    <w:uiPriority w:val="34"/>
    <w:pPr>
      <w:ind w:firstLine="420"/>
    </w:pPr>
  </w:style>
  <w:style w:type="character" w:customStyle="1" w:styleId="44">
    <w:name w:val="脚注文本 字符"/>
    <w:basedOn w:val="30"/>
    <w:link w:val="21"/>
    <w:semiHidden/>
    <w:qFormat/>
    <w:uiPriority w:val="99"/>
    <w:rPr>
      <w:sz w:val="18"/>
      <w:szCs w:val="18"/>
    </w:rPr>
  </w:style>
  <w:style w:type="character" w:customStyle="1" w:styleId="45">
    <w:name w:val="批注文字 字符"/>
    <w:basedOn w:val="30"/>
    <w:link w:val="7"/>
    <w:semiHidden/>
    <w:qFormat/>
    <w:uiPriority w:val="99"/>
  </w:style>
  <w:style w:type="character" w:customStyle="1" w:styleId="46">
    <w:name w:val="批注主题 字符"/>
    <w:basedOn w:val="45"/>
    <w:link w:val="27"/>
    <w:semiHidden/>
    <w:qFormat/>
    <w:uiPriority w:val="99"/>
    <w:rPr>
      <w:b/>
      <w:bCs/>
    </w:rPr>
  </w:style>
  <w:style w:type="character" w:customStyle="1" w:styleId="47">
    <w:name w:val="副标题 字符"/>
    <w:basedOn w:val="30"/>
    <w:link w:val="20"/>
    <w:qFormat/>
    <w:uiPriority w:val="11"/>
    <w:rPr>
      <w:b/>
      <w:kern w:val="28"/>
      <w:sz w:val="28"/>
      <w:szCs w:val="32"/>
    </w:rPr>
  </w:style>
  <w:style w:type="character" w:customStyle="1" w:styleId="48">
    <w:name w:val="标题 3 字符"/>
    <w:basedOn w:val="30"/>
    <w:link w:val="4"/>
    <w:qFormat/>
    <w:uiPriority w:val="9"/>
    <w:rPr>
      <w:rFonts w:ascii="黑体" w:hAnsi="黑体" w:eastAsia="黑体" w:cs="黑体"/>
      <w:b/>
      <w:bCs/>
      <w:kern w:val="2"/>
      <w:sz w:val="24"/>
      <w:szCs w:val="24"/>
    </w:rPr>
  </w:style>
  <w:style w:type="paragraph" w:customStyle="1" w:styleId="49">
    <w:name w:val="TOC 标题1"/>
    <w:basedOn w:val="2"/>
    <w:next w:val="1"/>
    <w:unhideWhenUsed/>
    <w:qFormat/>
    <w:uiPriority w:val="39"/>
    <w:pPr>
      <w:widowControl/>
      <w:spacing w:before="240" w:after="0" w:line="259" w:lineRule="auto"/>
      <w:outlineLvl w:val="9"/>
    </w:pPr>
    <w:rPr>
      <w:rFonts w:eastAsiaTheme="majorEastAsia"/>
      <w:b w:val="0"/>
      <w:color w:val="2F5597" w:themeColor="accent1" w:themeShade="BF"/>
      <w:kern w:val="0"/>
      <w:szCs w:val="32"/>
    </w:rPr>
  </w:style>
  <w:style w:type="character" w:customStyle="1" w:styleId="50">
    <w:name w:val="批注框文本 字符"/>
    <w:basedOn w:val="30"/>
    <w:link w:val="15"/>
    <w:semiHidden/>
    <w:qFormat/>
    <w:uiPriority w:val="99"/>
    <w:rPr>
      <w:sz w:val="18"/>
      <w:szCs w:val="18"/>
    </w:rPr>
  </w:style>
  <w:style w:type="paragraph" w:customStyle="1" w:styleId="51">
    <w:name w:val="TOC 标题2"/>
    <w:basedOn w:val="2"/>
    <w:next w:val="1"/>
    <w:unhideWhenUsed/>
    <w:qFormat/>
    <w:uiPriority w:val="39"/>
    <w:pPr>
      <w:widowControl/>
      <w:spacing w:before="240" w:after="0" w:line="259" w:lineRule="auto"/>
      <w:outlineLvl w:val="9"/>
    </w:pPr>
    <w:rPr>
      <w:rFonts w:eastAsiaTheme="majorEastAsia"/>
      <w:b w:val="0"/>
      <w:color w:val="2F5597" w:themeColor="accent1" w:themeShade="BF"/>
      <w:kern w:val="0"/>
      <w:szCs w:val="32"/>
    </w:rPr>
  </w:style>
  <w:style w:type="character" w:styleId="52">
    <w:name w:val="Placeholder Text"/>
    <w:basedOn w:val="30"/>
    <w:unhideWhenUsed/>
    <w:qFormat/>
    <w:uiPriority w:val="99"/>
    <w:rPr>
      <w:color w:val="666666"/>
    </w:rPr>
  </w:style>
  <w:style w:type="paragraph" w:customStyle="1" w:styleId="53">
    <w:name w:val="TOC 标题3"/>
    <w:basedOn w:val="2"/>
    <w:next w:val="1"/>
    <w:unhideWhenUsed/>
    <w:qFormat/>
    <w:uiPriority w:val="39"/>
    <w:pPr>
      <w:keepNext/>
      <w:keepLines/>
      <w:widowControl/>
      <w:spacing w:before="480" w:beforeLines="0" w:after="0" w:afterLines="0" w:line="276" w:lineRule="auto"/>
      <w:ind w:firstLine="0" w:firstLineChars="0"/>
      <w:jc w:val="left"/>
      <w:outlineLvl w:val="9"/>
    </w:pPr>
    <w:rPr>
      <w:rFonts w:asciiTheme="majorHAnsi" w:hAnsiTheme="majorHAnsi" w:eastAsiaTheme="majorEastAsia" w:cstheme="majorBidi"/>
      <w:bCs/>
      <w:color w:val="2F5597" w:themeColor="accent1" w:themeShade="BF"/>
      <w:kern w:val="0"/>
      <w:sz w:val="28"/>
      <w:szCs w:val="28"/>
    </w:rPr>
  </w:style>
  <w:style w:type="character" w:customStyle="1" w:styleId="54">
    <w:name w:val="标题 4 字符"/>
    <w:basedOn w:val="30"/>
    <w:link w:val="5"/>
    <w:semiHidden/>
    <w:qFormat/>
    <w:uiPriority w:val="9"/>
    <w:rPr>
      <w:rFonts w:asciiTheme="majorHAnsi" w:hAnsiTheme="majorHAnsi" w:eastAsiaTheme="majorEastAsia" w:cstheme="majorBidi"/>
      <w:b/>
      <w:bCs/>
      <w:kern w:val="2"/>
      <w:sz w:val="28"/>
      <w:szCs w:val="28"/>
    </w:rPr>
  </w:style>
  <w:style w:type="character" w:customStyle="1" w:styleId="55">
    <w:name w:val="md-math-after-sym"/>
    <w:basedOn w:val="30"/>
    <w:qFormat/>
    <w:uiPriority w:val="0"/>
  </w:style>
  <w:style w:type="character" w:customStyle="1" w:styleId="56">
    <w:name w:val="未处理的提及1"/>
    <w:basedOn w:val="30"/>
    <w:semiHidden/>
    <w:unhideWhenUsed/>
    <w:qFormat/>
    <w:uiPriority w:val="99"/>
    <w:rPr>
      <w:color w:val="605E5C"/>
      <w:shd w:val="clear" w:color="auto" w:fill="E1DFDD"/>
    </w:rPr>
  </w:style>
  <w:style w:type="paragraph" w:customStyle="1" w:styleId="57">
    <w:name w:val="Revision"/>
    <w:hidden/>
    <w:unhideWhenUsed/>
    <w:qFormat/>
    <w:uiPriority w:val="99"/>
    <w:rPr>
      <w:rFonts w:ascii="Times New Roman" w:hAnsi="Times New Roman" w:eastAsia="宋体" w:cstheme="minorBidi"/>
      <w:kern w:val="2"/>
      <w:sz w:val="24"/>
      <w:szCs w:val="22"/>
      <w:lang w:val="en-US" w:eastAsia="zh-CN" w:bidi="ar-SA"/>
    </w:rPr>
  </w:style>
  <w:style w:type="character" w:customStyle="1" w:styleId="58">
    <w:name w:val="Unresolved Mention"/>
    <w:basedOn w:val="30"/>
    <w:semiHidden/>
    <w:unhideWhenUsed/>
    <w:qFormat/>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19.png"/><Relationship Id="rId34" Type="http://schemas.openxmlformats.org/officeDocument/2006/relationships/image" Target="media/image18.png"/><Relationship Id="rId33" Type="http://schemas.openxmlformats.org/officeDocument/2006/relationships/image" Target="media/image17.png"/><Relationship Id="rId32" Type="http://schemas.openxmlformats.org/officeDocument/2006/relationships/image" Target="media/image16.png"/><Relationship Id="rId31" Type="http://schemas.openxmlformats.org/officeDocument/2006/relationships/image" Target="media/image15.png"/><Relationship Id="rId30" Type="http://schemas.openxmlformats.org/officeDocument/2006/relationships/image" Target="media/image14.png"/><Relationship Id="rId3" Type="http://schemas.openxmlformats.org/officeDocument/2006/relationships/footnotes" Target="footnotes.xml"/><Relationship Id="rId29" Type="http://schemas.openxmlformats.org/officeDocument/2006/relationships/image" Target="media/image13.png"/><Relationship Id="rId28" Type="http://schemas.openxmlformats.org/officeDocument/2006/relationships/image" Target="media/image12.png"/><Relationship Id="rId27" Type="http://schemas.openxmlformats.org/officeDocument/2006/relationships/image" Target="media/image11.png"/><Relationship Id="rId26" Type="http://schemas.openxmlformats.org/officeDocument/2006/relationships/image" Target="media/image10.png"/><Relationship Id="rId25" Type="http://schemas.openxmlformats.org/officeDocument/2006/relationships/image" Target="media/image9.png"/><Relationship Id="rId24" Type="http://schemas.openxmlformats.org/officeDocument/2006/relationships/image" Target="media/image8.png"/><Relationship Id="rId23" Type="http://schemas.openxmlformats.org/officeDocument/2006/relationships/image" Target="media/image7.png"/><Relationship Id="rId22" Type="http://schemas.openxmlformats.org/officeDocument/2006/relationships/image" Target="media/image6.png"/><Relationship Id="rId21" Type="http://schemas.openxmlformats.org/officeDocument/2006/relationships/image" Target="media/image5.png"/><Relationship Id="rId20" Type="http://schemas.openxmlformats.org/officeDocument/2006/relationships/image" Target="media/image4.png"/><Relationship Id="rId2" Type="http://schemas.openxmlformats.org/officeDocument/2006/relationships/settings" Target="settings.xml"/><Relationship Id="rId19" Type="http://schemas.openxmlformats.org/officeDocument/2006/relationships/image" Target="media/image3.png"/><Relationship Id="rId18" Type="http://schemas.openxmlformats.org/officeDocument/2006/relationships/image" Target="media/image2.png"/><Relationship Id="rId17" Type="http://schemas.openxmlformats.org/officeDocument/2006/relationships/image" Target="media/image1.jpeg"/><Relationship Id="rId16" Type="http://schemas.openxmlformats.org/officeDocument/2006/relationships/theme" Target="theme/theme1.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header" Target="head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47</Pages>
  <Words>18118</Words>
  <Characters>30076</Characters>
  <Lines>911</Lines>
  <Paragraphs>580</Paragraphs>
  <TotalTime>119</TotalTime>
  <ScaleCrop>false</ScaleCrop>
  <LinksUpToDate>false</LinksUpToDate>
  <CharactersWithSpaces>47614</CharactersWithSpaces>
  <Application>WPS Office_6.8.2.8850_F1E327BC-269C-435d-A152-05C5408002CA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2025-05-05T02:00:00Z</dcterms:created>
  <dc:creator>Haining LYU</dc:creator>
  <cp:lastModifiedBy>赵志诚</cp:lastModifiedBy>
  <cp:lastPrinted>2025-05-05T02:00:00Z</cp:lastPrinted>
  <dcterms:modified xsi:type="dcterms:W3CDTF">2025-06-06T17:18:58Z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2052-6.8.2.8850</vt:lpwstr>
  </property>
  <property fmtid="{D5CDD505-2E9C-101B-9397-08002B2CF9AE}" pid="3" name="ICV">
    <vt:lpwstr>7C6FD539E094D0C04D7017684DB1F4B6_43</vt:lpwstr>
  </property>
</Properties>
</file>