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60" w:line="276" w:lineRule="auto"/>
        <w:jc w:val="center"/>
      </w:pPr>
      <w:r>
        <w:rPr>
          <w:rFonts w:ascii="Hiragino Sans GB" w:hAnsi="Hiragino Sans GB" w:eastAsia="Hiragino Sans GB" w:cs="Hiragino Sans GB"/>
          <w:b/>
          <w:sz w:val="44"/>
        </w:rPr>
        <w:t>CANNLab 运营管理功能</w:t>
      </w:r>
      <w:r>
        <w:rPr>
          <w:rFonts w:ascii="Hiragino Sans GB" w:hAnsi="Hiragino Sans GB" w:eastAsia="Hiragino Sans GB" w:cs="Hiragino Sans GB"/>
          <w:sz w:val="21"/>
        </w:rPr>
        <w:br/>
      </w:r>
      <w:r>
        <w:rPr>
          <w:rFonts w:ascii="Hiragino Sans GB" w:hAnsi="Hiragino Sans GB" w:eastAsia="Hiragino Sans GB" w:cs="Hiragino Sans GB"/>
          <w:b/>
          <w:sz w:val="44"/>
        </w:rPr>
        <w:t>产品需求规格说明书</w:t>
      </w:r>
    </w:p>
    <w:tbl>
      <w:tblPr>
        <w:tblStyle w:val="34"/>
        <w:tblW w:type="auto" w:w="0"/>
        <w:jc w:val="center"/>
        <w:tblLayout w:type="fixed"/>
        <w:tblLook w:firstColumn="1" w:firstRow="1" w:lastColumn="0" w:lastRow="0" w:noHBand="0" w:noVBand="1" w:val="04A0"/>
      </w:tblPr>
      <w:tblGrid>
        <w:gridCol w:w="2161"/>
        <w:gridCol w:w="2161"/>
        <w:gridCol w:w="2161"/>
        <w:gridCol w:w="2161"/>
      </w:tblGrid>
      <w:tr>
        <w:trPr>
          <w:tblHeader w:val="true"/>
          <w:cantSplit/>
        </w:trPr>
        <w:tc>
          <w:tcPr>
            <w:tcW w:type="dxa" w:w="1701"/>
            <w:vAlign w:val="center"/>
            <w:tcMar>
              <w:top w:w="80" w:type="dxa"/>
              <w:start w:w="120" w:type="dxa"/>
              <w:bottom w:w="80" w:type="dxa"/>
              <w:end w:w="120" w:type="dxa"/>
            </w:tcMar>
          </w:tcPr>
          <w:p>
            <w:pPr>
              <w:spacing w:before="0" w:after="0" w:line="264" w:lineRule="auto"/>
            </w:pPr>
            <w:r>
              <w:rPr>
                <w:b/>
              </w:rPr>
            </w:r>
            <w:r>
              <w:rPr>
                <w:rFonts w:ascii="Hiragino Sans GB" w:hAnsi="Hiragino Sans GB" w:eastAsia="Hiragino Sans GB" w:cs="Hiragino Sans GB"/>
                <w:b w:val="0"/>
                <w:sz w:val="18"/>
              </w:rPr>
              <w:t>文档版本</w:t>
            </w:r>
          </w:p>
        </w:tc>
        <w:tc>
          <w:tcPr>
            <w:tcW w:type="dxa" w:w="175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V1.1</w:t>
            </w:r>
          </w:p>
        </w:tc>
        <w:tc>
          <w:tcPr>
            <w:tcW w:type="dxa" w:w="1701"/>
            <w:vAlign w:val="center"/>
            <w:tcMar>
              <w:top w:w="80" w:type="dxa"/>
              <w:start w:w="120" w:type="dxa"/>
              <w:bottom w:w="80" w:type="dxa"/>
              <w:end w:w="120" w:type="dxa"/>
            </w:tcMar>
          </w:tcPr>
          <w:p>
            <w:pPr>
              <w:spacing w:before="0" w:after="0" w:line="264" w:lineRule="auto"/>
            </w:pPr>
            <w:r>
              <w:rPr>
                <w:b/>
              </w:rPr>
            </w:r>
            <w:r>
              <w:rPr>
                <w:rFonts w:ascii="Hiragino Sans GB" w:hAnsi="Hiragino Sans GB" w:eastAsia="Hiragino Sans GB" w:cs="Hiragino Sans GB"/>
                <w:b w:val="0"/>
                <w:sz w:val="18"/>
              </w:rPr>
              <w:t>创建日期</w:t>
            </w:r>
          </w:p>
        </w:tc>
        <w:tc>
          <w:tcPr>
            <w:tcW w:type="dxa" w:w="351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2026-06-29</w:t>
            </w:r>
          </w:p>
        </w:tc>
      </w:tr>
      <w:tr>
        <w:trPr>
          <w:cantSplit/>
        </w:trPr>
        <w:tc>
          <w:tcPr>
            <w:tcW w:type="dxa" w:w="1701"/>
            <w:vAlign w:val="center"/>
            <w:tcMar>
              <w:top w:w="80" w:type="dxa"/>
              <w:start w:w="120" w:type="dxa"/>
              <w:bottom w:w="80" w:type="dxa"/>
              <w:end w:w="120" w:type="dxa"/>
            </w:tcMar>
          </w:tcPr>
          <w:p>
            <w:pPr>
              <w:spacing w:before="0" w:after="0" w:line="264" w:lineRule="auto"/>
            </w:pPr>
            <w:r>
              <w:rPr>
                <w:b/>
              </w:rPr>
            </w:r>
            <w:r>
              <w:rPr>
                <w:rFonts w:ascii="Hiragino Sans GB" w:hAnsi="Hiragino Sans GB" w:eastAsia="Hiragino Sans GB" w:cs="Hiragino Sans GB"/>
                <w:b w:val="0"/>
                <w:sz w:val="18"/>
              </w:rPr>
              <w:t>文档状态</w:t>
            </w:r>
          </w:p>
        </w:tc>
        <w:tc>
          <w:tcPr>
            <w:tcW w:type="dxa" w:w="175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草稿</w:t>
            </w:r>
          </w:p>
        </w:tc>
        <w:tc>
          <w:tcPr>
            <w:tcW w:type="dxa" w:w="1701"/>
            <w:vAlign w:val="center"/>
            <w:tcMar>
              <w:top w:w="80" w:type="dxa"/>
              <w:start w:w="120" w:type="dxa"/>
              <w:bottom w:w="80" w:type="dxa"/>
              <w:end w:w="120" w:type="dxa"/>
            </w:tcMar>
          </w:tcPr>
          <w:p>
            <w:pPr>
              <w:spacing w:before="0" w:after="0" w:line="264" w:lineRule="auto"/>
            </w:pPr>
            <w:r>
              <w:rPr>
                <w:b/>
              </w:rPr>
            </w:r>
            <w:r>
              <w:rPr>
                <w:rFonts w:ascii="Hiragino Sans GB" w:hAnsi="Hiragino Sans GB" w:eastAsia="Hiragino Sans GB" w:cs="Hiragino Sans GB"/>
                <w:b w:val="0"/>
                <w:sz w:val="18"/>
              </w:rPr>
              <w:t>编写人</w:t>
            </w:r>
          </w:p>
        </w:tc>
        <w:tc>
          <w:tcPr>
            <w:tcW w:type="dxa" w:w="351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产品团队</w:t>
            </w:r>
          </w:p>
        </w:tc>
      </w:tr>
      <w:tr>
        <w:trPr>
          <w:cantSplit/>
        </w:trPr>
        <w:tc>
          <w:tcPr>
            <w:tcW w:type="dxa" w:w="1701"/>
            <w:vAlign w:val="center"/>
            <w:tcMar>
              <w:top w:w="80" w:type="dxa"/>
              <w:start w:w="120" w:type="dxa"/>
              <w:bottom w:w="80" w:type="dxa"/>
              <w:end w:w="120" w:type="dxa"/>
            </w:tcMar>
          </w:tcPr>
          <w:p>
            <w:pPr>
              <w:spacing w:before="0" w:after="0" w:line="264" w:lineRule="auto"/>
            </w:pPr>
            <w:r>
              <w:rPr>
                <w:b/>
              </w:rPr>
            </w:r>
            <w:r>
              <w:rPr>
                <w:rFonts w:ascii="Hiragino Sans GB" w:hAnsi="Hiragino Sans GB" w:eastAsia="Hiragino Sans GB" w:cs="Hiragino Sans GB"/>
                <w:b w:val="0"/>
                <w:sz w:val="18"/>
              </w:rPr>
              <w:t>相关干系人</w:t>
            </w:r>
          </w:p>
        </w:tc>
        <w:tc>
          <w:tcPr>
            <w:tcW w:type="dxa" w:w="175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CANN 社区运营、GitCode 开发团队、CANNLab 后台管理员、镜像和模板管理员、开发者空间团队、积分商城团队、测试与运维团队</w:t>
            </w:r>
          </w:p>
        </w:tc>
        <w:tc>
          <w:tcPr>
            <w:tcW w:type="dxa" w:w="1701"/>
            <w:vAlign w:val="center"/>
            <w:tcMar>
              <w:top w:w="80" w:type="dxa"/>
              <w:start w:w="120" w:type="dxa"/>
              <w:bottom w:w="80" w:type="dxa"/>
              <w:end w:w="120" w:type="dxa"/>
            </w:tcMar>
          </w:tcPr>
          <w:p>
            <w:pPr>
              <w:spacing w:before="0" w:after="0" w:line="264" w:lineRule="auto"/>
            </w:pPr>
            <w:r>
              <w:rPr>
                <w:b/>
              </w:rPr>
            </w:r>
            <w:r>
              <w:rPr>
                <w:rFonts w:ascii="微软雅黑" w:hAnsi="微软雅黑" w:eastAsia="微软雅黑"/>
                <w:b w:val="0"/>
                <w:sz w:val="18"/>
              </w:rPr>
            </w:r>
          </w:p>
        </w:tc>
        <w:tc>
          <w:tcPr>
            <w:tcW w:type="dxa" w:w="3515"/>
            <w:vAlign w:val="center"/>
            <w:tcMar>
              <w:top w:w="80" w:type="dxa"/>
              <w:start w:w="120" w:type="dxa"/>
              <w:bottom w:w="80" w:type="dxa"/>
              <w:end w:w="120" w:type="dxa"/>
            </w:tcMar>
          </w:tcPr>
          <w:p>
            <w:pPr>
              <w:spacing w:before="0" w:after="0" w:line="264" w:lineRule="auto"/>
            </w:pPr>
            <w:r/>
            <w:r>
              <w:rPr>
                <w:rFonts w:ascii="微软雅黑" w:hAnsi="微软雅黑" w:eastAsia="微软雅黑"/>
                <w:b w:val="0"/>
                <w:sz w:val="18"/>
              </w:rPr>
            </w:r>
          </w:p>
        </w:tc>
      </w:tr>
    </w:tbl>
    <w:p>
      <w:pPr>
        <w:spacing w:after="40" w:before="0"/>
      </w:pPr>
    </w:p>
    <w:p>
      <w:pPr>
        <w:spacing w:before="120" w:after="60" w:line="276" w:lineRule="auto"/>
      </w:pPr>
      <w:r>
        <w:rPr>
          <w:rFonts w:ascii="Hiragino Sans GB" w:hAnsi="Hiragino Sans GB" w:eastAsia="Hiragino Sans GB" w:cs="Hiragino Sans GB"/>
          <w:b/>
          <w:sz w:val="32"/>
        </w:rPr>
        <w:t>修订记录</w:t>
      </w:r>
    </w:p>
    <w:tbl>
      <w:tblPr>
        <w:tblStyle w:val="34"/>
        <w:tblW w:type="auto" w:w="0"/>
        <w:jc w:val="center"/>
        <w:tblLayout w:type="fixed"/>
        <w:tblLook w:firstColumn="1" w:firstRow="1" w:lastColumn="0" w:lastRow="0" w:noHBand="0" w:noVBand="1" w:val="04A0"/>
      </w:tblPr>
      <w:tblGrid>
        <w:gridCol w:w="2161"/>
        <w:gridCol w:w="2161"/>
        <w:gridCol w:w="2161"/>
        <w:gridCol w:w="2161"/>
      </w:tblGrid>
      <w:tr>
        <w:trPr>
          <w:tblHeader w:val="true"/>
          <w:cantSplit/>
        </w:trPr>
        <w:tc>
          <w:tcPr>
            <w:tcW w:type="dxa" w:w="1417"/>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版本</w:t>
            </w:r>
          </w:p>
        </w:tc>
        <w:tc>
          <w:tcPr>
            <w:tcW w:type="dxa" w:w="1871"/>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修订日期</w:t>
            </w:r>
          </w:p>
        </w:tc>
        <w:tc>
          <w:tcPr>
            <w:tcW w:type="dxa" w:w="1417"/>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修订人</w:t>
            </w:r>
          </w:p>
        </w:tc>
        <w:tc>
          <w:tcPr>
            <w:tcW w:type="dxa" w:w="4536"/>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修订内容</w:t>
            </w:r>
          </w:p>
        </w:tc>
      </w:tr>
      <w:tr>
        <w:trPr>
          <w:cantSplit/>
        </w:trPr>
        <w:tc>
          <w:tcPr>
            <w:tcW w:type="dxa" w:w="141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V1.0</w:t>
            </w:r>
          </w:p>
        </w:tc>
        <w:tc>
          <w:tcPr>
            <w:tcW w:type="dxa" w:w="187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2026-06-29</w:t>
            </w:r>
          </w:p>
        </w:tc>
        <w:tc>
          <w:tcPr>
            <w:tcW w:type="dxa" w:w="141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w:t>
            </w:r>
          </w:p>
        </w:tc>
        <w:tc>
          <w:tcPr>
            <w:tcW w:type="dxa" w:w="4536"/>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初稿创建：基于配置管理需求梳理镜像管理、模板管理、白名单账号管理功能</w:t>
            </w:r>
          </w:p>
        </w:tc>
      </w:tr>
      <w:tr>
        <w:trPr>
          <w:cantSplit/>
        </w:trPr>
        <w:tc>
          <w:tcPr>
            <w:tcW w:type="dxa" w:w="216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V1.1</w:t>
            </w:r>
          </w:p>
        </w:tc>
        <w:tc>
          <w:tcPr>
            <w:tcW w:type="dxa" w:w="216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2026-06-30</w:t>
            </w:r>
          </w:p>
        </w:tc>
        <w:tc>
          <w:tcPr>
            <w:tcW w:type="dxa" w:w="216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w:t>
            </w:r>
          </w:p>
        </w:tc>
        <w:tc>
          <w:tcPr>
            <w:tcW w:type="dxa" w:w="216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补充开发者空间切换事项；为镜像、模板、白名单、Portal、开发者空间切换增加测试与运维工作量</w:t>
            </w:r>
          </w:p>
        </w:tc>
      </w:tr>
    </w:tbl>
    <w:p>
      <w:pPr>
        <w:spacing w:after="40" w:before="0"/>
      </w:pPr>
    </w:p>
    <w:p>
      <w:pPr>
        <w:spacing w:before="120" w:after="60" w:line="276" w:lineRule="auto"/>
      </w:pPr>
      <w:r>
        <w:rPr>
          <w:rFonts w:ascii="Hiragino Sans GB" w:hAnsi="Hiragino Sans GB" w:eastAsia="Hiragino Sans GB" w:cs="Hiragino Sans GB"/>
          <w:b/>
          <w:sz w:val="32"/>
        </w:rPr>
        <w:t>一、背景</w:t>
      </w:r>
    </w:p>
    <w:p>
      <w:pPr>
        <w:spacing w:before="120" w:after="60" w:line="276" w:lineRule="auto"/>
      </w:pPr>
      <w:r>
        <w:rPr>
          <w:rFonts w:ascii="Hiragino Sans GB" w:hAnsi="Hiragino Sans GB" w:eastAsia="Hiragino Sans GB" w:cs="Hiragino Sans GB"/>
          <w:b/>
          <w:sz w:val="28"/>
        </w:rPr>
        <w:t>1.1 项目背景</w:t>
      </w:r>
    </w:p>
    <w:p>
      <w:pPr>
        <w:spacing w:before="20" w:after="20" w:line="276" w:lineRule="auto"/>
      </w:pPr>
      <w:r>
        <w:rPr>
          <w:rFonts w:ascii="Hiragino Sans GB" w:hAnsi="Hiragino Sans GB" w:eastAsia="Hiragino Sans GB" w:cs="Hiragino Sans GB"/>
          <w:b w:val="0"/>
          <w:sz w:val="21"/>
        </w:rPr>
        <w:t>CANNLab 面向 CANN 开源社区开发者提供预置 CANN 环境的算力实验平台。随着开发环境类型、CANN 版本、资源池和试点用户范围不断增加，平台需要建设统一的运营管理能力，对开发环境镜像、可申请模板、白名单账号和开发者空间切换相关工作进行集中维护。</w:t>
      </w:r>
    </w:p>
    <w:p>
      <w:pPr>
        <w:spacing w:before="20" w:after="20" w:line="276" w:lineRule="auto"/>
      </w:pPr>
      <w:r>
        <w:rPr>
          <w:rFonts w:ascii="Hiragino Sans GB" w:hAnsi="Hiragino Sans GB" w:eastAsia="Hiragino Sans GB" w:cs="Hiragino Sans GB"/>
          <w:b w:val="0"/>
          <w:sz w:val="21"/>
        </w:rPr>
        <w:t>参考《CANNLab配置管理需求》中的配置管理思路，运营管理后台需支撑已入库镜像的元数据维护、安全扫描、上下架管理，并将可用镜像叠加规格、资源池、挂盘、脚本和可见性配置形成面向用户申请的环境模板。</w:t>
      </w:r>
    </w:p>
    <w:p>
      <w:pPr>
        <w:spacing w:before="120" w:after="60" w:line="276" w:lineRule="auto"/>
      </w:pPr>
      <w:r>
        <w:rPr>
          <w:rFonts w:ascii="Hiragino Sans GB" w:hAnsi="Hiragino Sans GB" w:eastAsia="Hiragino Sans GB" w:cs="Hiragino Sans GB"/>
          <w:b/>
          <w:sz w:val="28"/>
        </w:rPr>
        <w:t>1.2 项目目标</w:t>
      </w:r>
    </w:p>
    <w:p>
      <w:pPr>
        <w:pStyle w:val="16"/>
        <w:spacing w:before="0" w:after="40" w:line="276" w:lineRule="auto"/>
      </w:pPr>
      <w:r>
        <w:rPr>
          <w:rFonts w:ascii="Hiragino Sans GB" w:hAnsi="Hiragino Sans GB" w:eastAsia="Hiragino Sans GB" w:cs="Hiragino Sans GB"/>
          <w:b w:val="0"/>
          <w:sz w:val="21"/>
        </w:rPr>
        <w:t>支撑镜像管理：管理员可查看已入库镜像、补充元数据、触发安全扫描并完成上下架。</w:t>
      </w:r>
    </w:p>
    <w:p>
      <w:pPr>
        <w:pStyle w:val="16"/>
        <w:spacing w:before="0" w:after="40" w:line="276" w:lineRule="auto"/>
      </w:pPr>
      <w:r>
        <w:rPr>
          <w:rFonts w:ascii="Hiragino Sans GB" w:hAnsi="Hiragino Sans GB" w:eastAsia="Hiragino Sans GB" w:cs="Hiragino Sans GB"/>
          <w:b w:val="0"/>
          <w:sz w:val="21"/>
        </w:rPr>
        <w:t>支撑模板配置化管理：基于镜像配置实例规格、资源池、持久化挂盘、初始化/升级脚本、可见范围和上下架状态，供 CANNLab Portal 用户申请环境时选择。</w:t>
      </w:r>
    </w:p>
    <w:p>
      <w:pPr>
        <w:pStyle w:val="16"/>
        <w:spacing w:before="0" w:after="40" w:line="276" w:lineRule="auto"/>
      </w:pPr>
      <w:r>
        <w:rPr>
          <w:rFonts w:ascii="Hiragino Sans GB" w:hAnsi="Hiragino Sans GB" w:eastAsia="Hiragino Sans GB" w:cs="Hiragino Sans GB"/>
          <w:b w:val="0"/>
          <w:sz w:val="21"/>
        </w:rPr>
        <w:t>支撑白名单账号管理：面向 A5、灰度验证、试点模板等场景维护账号白名单，控制用户对特定模板或资源的可见性和可申请性。</w:t>
      </w:r>
    </w:p>
    <w:p>
      <w:pPr>
        <w:pStyle w:val="16"/>
        <w:spacing w:before="0" w:after="40" w:line="276" w:lineRule="auto"/>
      </w:pPr>
      <w:r>
        <w:rPr>
          <w:rFonts w:ascii="Hiragino Sans GB" w:hAnsi="Hiragino Sans GB" w:eastAsia="Hiragino Sans GB" w:cs="Hiragino Sans GB"/>
          <w:sz w:val="21"/>
        </w:rPr>
        <w:t>支撑开发者空间切换：协助开发者空间完成数据迁移核对，并完成积分商城开发者空间相关接口切换。</w:t>
      </w:r>
    </w:p>
    <w:p>
      <w:pPr>
        <w:pStyle w:val="16"/>
        <w:spacing w:before="0" w:after="40" w:line="276" w:lineRule="auto"/>
      </w:pPr>
      <w:r>
        <w:rPr>
          <w:rFonts w:ascii="Hiragino Sans GB" w:hAnsi="Hiragino Sans GB" w:eastAsia="Hiragino Sans GB" w:cs="Hiragino Sans GB"/>
          <w:b w:val="0"/>
          <w:sz w:val="21"/>
        </w:rPr>
        <w:t>提升运营效率和可追溯性：关键操作需要留痕，支持按状态、资源类型、镜像版本、账号等条件检索，降低人工维护成本。</w:t>
      </w:r>
    </w:p>
    <w:p>
      <w:pPr>
        <w:spacing w:before="120" w:after="60" w:line="276" w:lineRule="auto"/>
      </w:pPr>
      <w:r>
        <w:rPr>
          <w:rFonts w:ascii="Hiragino Sans GB" w:hAnsi="Hiragino Sans GB" w:eastAsia="Hiragino Sans GB" w:cs="Hiragino Sans GB"/>
          <w:b/>
          <w:sz w:val="28"/>
        </w:rPr>
        <w:t>1.3 系统边界</w:t>
      </w:r>
    </w:p>
    <w:tbl>
      <w:tblPr>
        <w:tblStyle w:val="34"/>
        <w:tblW w:type="auto" w:w="0"/>
        <w:jc w:val="center"/>
        <w:tblLayout w:type="fixed"/>
        <w:tblLook w:firstColumn="1" w:firstRow="1" w:lastColumn="0" w:lastRow="0" w:noHBand="0" w:noVBand="1" w:val="04A0"/>
      </w:tblPr>
      <w:tblGrid>
        <w:gridCol w:w="4323"/>
        <w:gridCol w:w="4323"/>
      </w:tblGrid>
      <w:tr>
        <w:trPr>
          <w:tblHeader w:val="true"/>
          <w:cantSplit/>
        </w:trPr>
        <w:tc>
          <w:tcPr>
            <w:tcW w:type="dxa" w:w="1701"/>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范围</w:t>
            </w:r>
          </w:p>
        </w:tc>
        <w:tc>
          <w:tcPr>
            <w:tcW w:type="dxa" w:w="7484"/>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说明</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本系统负责</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CANNLab 运营管理后台中的镜像管理、模板管理、白名单账号管理；相关后端服务、数据模型、审计日志和 Portal 可见性控制。</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外部依赖</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华为云镜像扫描服务或等效安全扫描服务，提供镜像漏洞、合规和风险项扫描结果。</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外部依赖</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8"/>
              </w:rPr>
              <w:t>GitCode 用户体系，提供用户 ID、账号标识和基础身份信息，用于白名单账号识别和审计。</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外部依赖</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CANNLab Portal 和算力资源申请服务，消费已上架模板并完成开发环境实例化。</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本系统负责</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协助开发者空间数据迁移工作，包括迁移字段核对、迁移结果校验、问题跟进；完成积分商城开发者空间相关接口切换。</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外部依赖</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开发者空间团队提供迁移窗口、迁移方案、源/目标数据口径、迁移执行结果和回滚预案。</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外部依赖</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积分商城相关服务提供接口契约、联调环境、鉴权方式、验收数据和上线切换窗口。</w:t>
            </w:r>
          </w:p>
        </w:tc>
      </w:tr>
    </w:tbl>
    <w:p>
      <w:pPr>
        <w:spacing w:after="40" w:before="0"/>
      </w:pPr>
    </w:p>
    <w:p>
      <w:pPr>
        <w:spacing w:before="120" w:after="60" w:line="276" w:lineRule="auto"/>
      </w:pPr>
      <w:r>
        <w:rPr>
          <w:rFonts w:ascii="Hiragino Sans GB" w:hAnsi="Hiragino Sans GB" w:eastAsia="Hiragino Sans GB" w:cs="Hiragino Sans GB"/>
          <w:b/>
          <w:sz w:val="32"/>
        </w:rPr>
        <w:t>二、功能实现指标</w:t>
      </w:r>
    </w:p>
    <w:p>
      <w:pPr>
        <w:spacing w:before="120" w:after="60" w:line="276" w:lineRule="auto"/>
      </w:pPr>
      <w:r>
        <w:rPr>
          <w:rFonts w:ascii="Hiragino Sans GB" w:hAnsi="Hiragino Sans GB" w:eastAsia="Hiragino Sans GB" w:cs="Hiragino Sans GB"/>
          <w:b/>
          <w:sz w:val="28"/>
        </w:rPr>
        <w:t>2.1 镜像管理模块</w:t>
      </w:r>
    </w:p>
    <w:p>
      <w:pPr>
        <w:spacing w:before="20" w:after="20" w:line="276" w:lineRule="auto"/>
      </w:pPr>
      <w:r>
        <w:rPr>
          <w:rFonts w:ascii="Hiragino Sans GB" w:hAnsi="Hiragino Sans GB" w:eastAsia="Hiragino Sans GB" w:cs="Hiragino Sans GB"/>
          <w:b w:val="0"/>
          <w:sz w:val="21"/>
        </w:rPr>
        <w:t>镜像管理模块面向已入库镜像提供运营维护能力，支持管理员对镜像进行检索、补充信息、安全扫描、上下架和版本状态维护。镜像上架后可被模板引用；已上架镜像原则上不可随意修改关键元数据，避免影响已发布模板。</w:t>
      </w:r>
    </w:p>
    <w:tbl>
      <w:tblPr>
        <w:tblStyle w:val="34"/>
        <w:tblW w:type="auto" w:w="0"/>
        <w:jc w:val="center"/>
        <w:tblLayout w:type="fixed"/>
        <w:tblLook w:firstColumn="1" w:firstRow="1" w:lastColumn="0" w:lastRow="0" w:noHBand="0" w:noVBand="1" w:val="04A0"/>
      </w:tblPr>
      <w:tblGrid>
        <w:gridCol w:w="1441"/>
        <w:gridCol w:w="1441"/>
        <w:gridCol w:w="1441"/>
        <w:gridCol w:w="1441"/>
        <w:gridCol w:w="1441"/>
        <w:gridCol w:w="1441"/>
      </w:tblGrid>
      <w:tr>
        <w:trPr>
          <w:tblHeader w:val="true"/>
          <w:cantSplit/>
        </w:trPr>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编号</w:t>
            </w:r>
          </w:p>
        </w:tc>
        <w:tc>
          <w:tcPr>
            <w:tcW w:type="dxa" w:w="1644"/>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子任务</w:t>
            </w:r>
          </w:p>
        </w:tc>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工时</w:t>
            </w:r>
          </w:p>
        </w:tc>
        <w:tc>
          <w:tcPr>
            <w:tcW w:type="dxa" w:w="2608"/>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需求描述</w:t>
            </w:r>
          </w:p>
        </w:tc>
        <w:tc>
          <w:tcPr>
            <w:tcW w:type="dxa" w:w="2835"/>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关键说明</w:t>
            </w:r>
          </w:p>
        </w:tc>
        <w:tc>
          <w:tcPr>
            <w:tcW w:type="dxa" w:w="680"/>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优先级</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1.1</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镜像列表展示</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10h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展示镜像名称、版本、架构、来源、扫描状态、上架状态、更新时间等信息。</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支持按关键字、CANN 版本、状态、架构类型、创建时间筛选；默认按更新时间倒序。</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高</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1.2</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镜像信息维护</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12h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管理员可补充或修正未上架镜像的展示名称、描述、适用场景、标签和备注。</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仅未上架镜像允许修改关键展示信息；已上架镜像如需调整需先下架或创建新版本。</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高</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1.3</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安全扫描</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14h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支持对镜像触发安全扫描并展示漏洞、合规和风险结果。</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扫描中、扫描通过、扫描失败、高危阻断等状态需清晰展示；存在阻断风险时不可上架。</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高</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1.4</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镜像上下架</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10h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管理员可对扫描通过的镜像执行上架，对不再使用的镜像执行下架。</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上架后可被模板选择；下架镜像不影响历史实例，但新模板不可引用。操作需二次确认并记录审计日志。</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高</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1.5</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镜像引用关系</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10h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查看镜像被哪些模板引用及模板当前状态。</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下架或删除前需提示影响范围；仍被已上架模板引用的镜像不可直接删除。</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中</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1.6</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镜像管理测试</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6h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覆盖镜像列表、信息维护、安全扫描状态、上下架和引用关系等功能测试。</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需验证异常状态、权限边界、审计日志和扫描失败场景。</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1.7</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镜像管理运维支持</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支持上线配置、权限检查、运行监控和问题定位。</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上线后需关注扫描任务、上下架操作和模板引用影响。</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中</w:t>
            </w:r>
          </w:p>
        </w:tc>
      </w:tr>
    </w:tbl>
    <w:p>
      <w:pPr>
        <w:spacing w:after="40" w:before="0"/>
      </w:pPr>
    </w:p>
    <w:p>
      <w:pPr>
        <w:spacing w:before="120" w:after="60" w:line="276" w:lineRule="auto"/>
      </w:pPr>
      <w:r>
        <w:rPr>
          <w:rFonts w:ascii="Hiragino Sans GB" w:hAnsi="Hiragino Sans GB" w:eastAsia="Hiragino Sans GB" w:cs="Hiragino Sans GB"/>
          <w:b/>
          <w:sz w:val="28"/>
        </w:rPr>
        <w:t>2.2 模板管理模块</w:t>
      </w:r>
    </w:p>
    <w:p>
      <w:pPr>
        <w:spacing w:before="20" w:after="20" w:line="276" w:lineRule="auto"/>
      </w:pPr>
      <w:r>
        <w:rPr>
          <w:rFonts w:ascii="Hiragino Sans GB" w:hAnsi="Hiragino Sans GB" w:eastAsia="Hiragino Sans GB" w:cs="Hiragino Sans GB"/>
          <w:b w:val="0"/>
          <w:sz w:val="21"/>
        </w:rPr>
        <w:t>模板管理服务基于已上架镜像叠加实例规格、资源池、挂盘规则、启动脚本、CANN 包升级脚本和可见性策略，形成 CANNLab Portal 可展示和可申请的开发环境模板。</w:t>
      </w:r>
    </w:p>
    <w:tbl>
      <w:tblPr>
        <w:tblStyle w:val="34"/>
        <w:tblW w:type="auto" w:w="0"/>
        <w:jc w:val="center"/>
        <w:tblLayout w:type="fixed"/>
        <w:tblLook w:firstColumn="1" w:firstRow="1" w:lastColumn="0" w:lastRow="0" w:noHBand="0" w:noVBand="1" w:val="04A0"/>
      </w:tblPr>
      <w:tblGrid>
        <w:gridCol w:w="1441"/>
        <w:gridCol w:w="1441"/>
        <w:gridCol w:w="1441"/>
        <w:gridCol w:w="1441"/>
        <w:gridCol w:w="1441"/>
        <w:gridCol w:w="1441"/>
      </w:tblGrid>
      <w:tr>
        <w:trPr>
          <w:tblHeader w:val="true"/>
          <w:cantSplit/>
        </w:trPr>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编号</w:t>
            </w:r>
          </w:p>
        </w:tc>
        <w:tc>
          <w:tcPr>
            <w:tcW w:type="dxa" w:w="1644"/>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子任务</w:t>
            </w:r>
          </w:p>
        </w:tc>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工时</w:t>
            </w:r>
          </w:p>
        </w:tc>
        <w:tc>
          <w:tcPr>
            <w:tcW w:type="dxa" w:w="2608"/>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需求描述</w:t>
            </w:r>
          </w:p>
        </w:tc>
        <w:tc>
          <w:tcPr>
            <w:tcW w:type="dxa" w:w="2835"/>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关键说明</w:t>
            </w:r>
          </w:p>
        </w:tc>
        <w:tc>
          <w:tcPr>
            <w:tcW w:type="dxa" w:w="680"/>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优先级</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2.1</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模板列表展示</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展示模板名称、资源类型、镜像、实例规格、资源池、可见范围、上下架状态和更新时间。</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支持按资源类型（鲲鹏/昇腾）、CANN 版本、状态、资源池、可见范围筛选。</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2.2</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新增模板</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18h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管理员可基于已上架镜像创建模板，填写基础信息、模板描述、适用场景和展示标签。</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模板需明确是昇腾实例模板还是鲲鹏实例模板；模板名称需唯一，保存前校验必填项完整性。</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2.3</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镜像与规格配置</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16h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为模板选择镜像、实例规格、CPU/内存/NPU 卡型等资源规格。</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规格需匹配资源池能力；镜像架构与资源类型不匹配时禁止保存。</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2.4</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资源池关联</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12h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配置模板使用内部或外部资源池，并绑定可实例化的资源池标识。</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支持区分内部测试资源池、外部用户资源池；资源池不可用时模板不可上架。</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2.5</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持久化挂盘配置</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12h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配置模板实例化时的数据盘、挂载路径、容量范围和是否保留数据。</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需支持不开启持久化、固定容量、按规格配置等模式；配置需在用户申请页明确展示。</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中</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2.6</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脚本配置</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14h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配置实例初始化脚本、启动脚本和 CANN 包升级脚本的位置与执行流程。</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脚本用于支持 CANN 包升级等能力；需记录脚本来源、版本和执行顺序，保存时校验路径格式。</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2.7</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可见性与灰度</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12h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配置模板对外/对内可见，并可绑定白名单账号用于试点或灰度验证。</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非白名单用户不可见或不可申请受控模板；灰度通过后可切换为公开可见。</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2.8</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模板上下架</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管理员可将配置完整且校验通过的模板上架，也可对模板下架。</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上架模板会呈现在 CANNLab Portal 申请页；下架后不再允许新申请，不影响存量实例。</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2.9</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模板管理测试</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覆盖模板新增、规格配置、资源池关联、挂盘、脚本、灰度可见性和上下架测试。</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需重点验证配置完整性、模板快照、Portal 展示和申请链路联动。</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2.10</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模板管理运维支持</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支持模板配置上线、资源池配置核对、灰度发布和问题定位。</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上线后需关注模板配置错误、资源池不可用和脚本执行异常。</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中</w:t>
            </w:r>
          </w:p>
        </w:tc>
      </w:tr>
    </w:tbl>
    <w:p>
      <w:pPr>
        <w:spacing w:after="40" w:before="0"/>
      </w:pPr>
    </w:p>
    <w:p>
      <w:pPr>
        <w:spacing w:before="120" w:after="60" w:line="276" w:lineRule="auto"/>
      </w:pPr>
      <w:r>
        <w:rPr>
          <w:rFonts w:ascii="Hiragino Sans GB" w:hAnsi="Hiragino Sans GB" w:eastAsia="Hiragino Sans GB" w:cs="Hiragino Sans GB"/>
          <w:b/>
          <w:sz w:val="28"/>
        </w:rPr>
        <w:t>2.3 白名单账号管理模块</w:t>
      </w:r>
    </w:p>
    <w:p>
      <w:pPr>
        <w:spacing w:before="20" w:after="20" w:line="276" w:lineRule="auto"/>
      </w:pPr>
      <w:r>
        <w:rPr>
          <w:rFonts w:ascii="Hiragino Sans GB" w:hAnsi="Hiragino Sans GB" w:eastAsia="Hiragino Sans GB" w:cs="Hiragino Sans GB"/>
          <w:b w:val="0"/>
          <w:sz w:val="21"/>
        </w:rPr>
        <w:t>白名单账号管理用于控制特定账号对 A5 资源、灰度模板、试点模板或内部模板的访问权限。白名单以 GitCode 用户 ID 或账号标识作为唯一身份依据，支持运营人员人工维护和批量导入。</w:t>
      </w:r>
    </w:p>
    <w:tbl>
      <w:tblPr>
        <w:tblStyle w:val="34"/>
        <w:tblW w:type="auto" w:w="0"/>
        <w:jc w:val="center"/>
        <w:tblLayout w:type="fixed"/>
        <w:tblLook w:firstColumn="1" w:firstRow="1" w:lastColumn="0" w:lastRow="0" w:noHBand="0" w:noVBand="1" w:val="04A0"/>
      </w:tblPr>
      <w:tblGrid>
        <w:gridCol w:w="1441"/>
        <w:gridCol w:w="1441"/>
        <w:gridCol w:w="1441"/>
        <w:gridCol w:w="1441"/>
        <w:gridCol w:w="1441"/>
        <w:gridCol w:w="1441"/>
      </w:tblGrid>
      <w:tr>
        <w:trPr>
          <w:tblHeader w:val="true"/>
          <w:cantSplit/>
        </w:trPr>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编号</w:t>
            </w:r>
          </w:p>
        </w:tc>
        <w:tc>
          <w:tcPr>
            <w:tcW w:type="dxa" w:w="1644"/>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子任务</w:t>
            </w:r>
          </w:p>
        </w:tc>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工时</w:t>
            </w:r>
          </w:p>
        </w:tc>
        <w:tc>
          <w:tcPr>
            <w:tcW w:type="dxa" w:w="2608"/>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需求描述</w:t>
            </w:r>
          </w:p>
        </w:tc>
        <w:tc>
          <w:tcPr>
            <w:tcW w:type="dxa" w:w="2835"/>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关键说明</w:t>
            </w:r>
          </w:p>
        </w:tc>
        <w:tc>
          <w:tcPr>
            <w:tcW w:type="dxa" w:w="680"/>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优先级</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3.1</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白名单列表展示</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展示白名单账号、用户 ID、适用范围、关联模板、状态、添加人和更新时间。</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支持按账号、用户 ID、适用范围、模板、状态筛选和分页查询。</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高</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3.2</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新增白名单账号</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10h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运营可单个添加白名单账号，并选择适用范围。</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保存前需校验账号存在性、重复记录和适用范围；支持 A5、模板灰度、内部模板等范围。</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高</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3.3</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批量导入</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12h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支持通过表格或文本批量导入白名单账号。</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导入结果需返回成功、失败、重复、账号不存在等明细；失败项不影响成功项入库。</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中</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3.4</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移除与禁用</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运营可移除或禁用白名单账号。</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移除后立即影响新申请和模板可见性；不强制回收用户已创建实例。高风险操作需二次确认。</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高</w:t>
            </w:r>
          </w:p>
        </w:tc>
      </w:tr>
      <w:tr>
        <w:trPr>
          <w:cantSplit/>
        </w:trPr>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3.5</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操作审计</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记录白名单新增、导入、移除、禁用和恢复操作。</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审计日志需包含操作人、操作时间、变更前后内容和操作原因。</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6"/>
              </w:rPr>
              <w:t>中</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3.6</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白名单管理测试</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6h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覆盖白名单列表、新增、批量导入、移除/禁用、恢复和可见性联动测试。</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需验证重复账号、账号不存在、批量失败明细和权限边界。</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3.7</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白名单管理运维支持</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支持白名单上线配置、批量导入问题处理和权限异常排查。</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上线后需关注灰度账号范围、模板可见性和操作审计。</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中</w:t>
            </w:r>
          </w:p>
        </w:tc>
      </w:tr>
    </w:tbl>
    <w:p>
      <w:pPr>
        <w:spacing w:after="40" w:before="0"/>
      </w:pPr>
    </w:p>
    <w:p>
      <w:pPr>
        <w:spacing w:before="120" w:after="60" w:line="276" w:lineRule="auto"/>
      </w:pPr>
      <w:r>
        <w:rPr>
          <w:rFonts w:ascii="Hiragino Sans GB" w:hAnsi="Hiragino Sans GB" w:eastAsia="Hiragino Sans GB" w:cs="Hiragino Sans GB"/>
          <w:b/>
          <w:sz w:val="28"/>
        </w:rPr>
        <w:t>2.4 Portal 集成与展示规则</w:t>
      </w:r>
    </w:p>
    <w:tbl>
      <w:tblPr>
        <w:tblStyle w:val="34"/>
        <w:tblW w:type="auto" w:w="0"/>
        <w:jc w:val="center"/>
        <w:tblLayout w:type="fixed"/>
        <w:tblLook w:firstColumn="1" w:firstRow="1" w:lastColumn="0" w:lastRow="0" w:noHBand="0" w:noVBand="1" w:val="04A0"/>
      </w:tblPr>
      <w:tblGrid>
        <w:gridCol w:w="1441"/>
        <w:gridCol w:w="1441"/>
        <w:gridCol w:w="1441"/>
        <w:gridCol w:w="1441"/>
        <w:gridCol w:w="1441"/>
        <w:gridCol w:w="1441"/>
      </w:tblGrid>
      <w:tr>
        <w:trPr>
          <w:tblHeader w:val="true"/>
          <w:cantSplit/>
        </w:trPr>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编号</w:t>
            </w:r>
          </w:p>
        </w:tc>
        <w:tc>
          <w:tcPr>
            <w:tcW w:type="dxa" w:w="1644"/>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子任务</w:t>
            </w:r>
          </w:p>
        </w:tc>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工时</w:t>
            </w:r>
          </w:p>
        </w:tc>
        <w:tc>
          <w:tcPr>
            <w:tcW w:type="dxa" w:w="2608"/>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需求描述</w:t>
            </w:r>
          </w:p>
        </w:tc>
        <w:tc>
          <w:tcPr>
            <w:tcW w:type="dxa" w:w="2835"/>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关键说明</w:t>
            </w:r>
          </w:p>
        </w:tc>
        <w:tc>
          <w:tcPr>
            <w:tcW w:type="dxa" w:w="680"/>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优先级</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4.1</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模板查询接口</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CANNLab Portal 申请页仅展示已上架且当前用户有权限访问的模板。</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需综合模板状态、资源池状态、白名单范围、用户身份和模板可见性进行过滤。</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4.2</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模板实例化参数下发</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用户选择模板后，申请服务获取模板关联镜像、规格、资源池、挂盘和脚本参数。</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参数需形成稳定版本快照，避免模板后续修改影响已提交的申请流程。</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4.3</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异常提示</w:t>
            </w:r>
          </w:p>
        </w:tc>
        <w:tc>
          <w:tcPr>
            <w:tcW w:type="dxa" w:w="79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4h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当模板下架、资源池不可用、用户不在白名单或镜像不可用时给出明确提示。</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提示文案需区分用户可处理和运营需处理的问题。</w:t>
            </w:r>
          </w:p>
        </w:tc>
        <w:tc>
          <w:tcPr>
            <w:tcW w:type="dxa" w:w="68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中</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4.4</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Portal 联调测试</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6h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验证 Portal 模板展示、模板参数快照、申请参数下发和异常提示。</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需覆盖公开模板、白名单模板、下架模板和资源池不可用场景。</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4.5</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Portal 上线运维支持</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支持 Portal 侧上线观察、配置刷新、异常定位和回滚配合。</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上线后需关注模板可见性、缓存刷新和申请失败告警。</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中</w:t>
            </w:r>
          </w:p>
        </w:tc>
      </w:tr>
    </w:tbl>
    <w:p>
      <w:pPr>
        <w:spacing w:after="40" w:before="0"/>
      </w:pPr>
    </w:p>
    <w:p>
      <w:pPr>
        <w:spacing w:before="120" w:after="60" w:line="276" w:lineRule="auto"/>
      </w:pPr>
      <w:r>
        <w:rPr>
          <w:rFonts w:ascii="Hiragino Sans GB" w:hAnsi="Hiragino Sans GB" w:eastAsia="Hiragino Sans GB" w:cs="Hiragino Sans GB"/>
          <w:b/>
          <w:sz w:val="28"/>
        </w:rPr>
        <w:t>2.5 开发者空间切换</w:t>
      </w:r>
    </w:p>
    <w:p>
      <w:pPr>
        <w:spacing w:before="20" w:after="20" w:line="276" w:lineRule="auto"/>
      </w:pPr>
      <w:r>
        <w:rPr>
          <w:rFonts w:ascii="Hiragino Sans GB" w:hAnsi="Hiragino Sans GB" w:eastAsia="Hiragino Sans GB" w:cs="Hiragino Sans GB"/>
          <w:b w:val="0"/>
          <w:sz w:val="21"/>
        </w:rPr>
        <w:t>开发者空间切换用于配合 CANNLab 相关用户、额度或积分链路从既有开发者空间平滑迁移到目标开发者空间，并完成积分商城侧开发者空间接口切换。该事项以协助迁移、接口适配、联调验证和上线保障为主，底层迁移工具和开发者空间内部改造由对应团队负责。</w:t>
      </w:r>
    </w:p>
    <w:tbl>
      <w:tblPr>
        <w:tblStyle w:val="34"/>
        <w:tblW w:type="auto" w:w="0"/>
        <w:jc w:val="center"/>
        <w:tblLayout w:type="fixed"/>
        <w:tblLook w:firstColumn="1" w:firstRow="1" w:lastColumn="0" w:lastRow="0" w:noHBand="0" w:noVBand="1" w:val="04A0"/>
      </w:tblPr>
      <w:tblGrid>
        <w:gridCol w:w="1660"/>
        <w:gridCol w:w="1660"/>
        <w:gridCol w:w="1660"/>
        <w:gridCol w:w="1660"/>
        <w:gridCol w:w="1660"/>
        <w:gridCol w:w="1660"/>
      </w:tblGrid>
      <w:tr>
        <w:trPr>
          <w:tblHeader w:val="true"/>
          <w:cantSplit/>
        </w:trPr>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编号</w:t>
            </w:r>
          </w:p>
        </w:tc>
        <w:tc>
          <w:tcPr>
            <w:tcW w:type="dxa" w:w="1644"/>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子任务</w:t>
            </w:r>
          </w:p>
        </w:tc>
        <w:tc>
          <w:tcPr>
            <w:tcW w:type="dxa" w:w="79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工时</w:t>
            </w:r>
          </w:p>
        </w:tc>
        <w:tc>
          <w:tcPr>
            <w:tcW w:type="dxa" w:w="2608"/>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需求描述</w:t>
            </w:r>
          </w:p>
        </w:tc>
        <w:tc>
          <w:tcPr>
            <w:tcW w:type="dxa" w:w="2835"/>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关键说明</w:t>
            </w:r>
          </w:p>
        </w:tc>
        <w:tc>
          <w:tcPr>
            <w:tcW w:type="dxa" w:w="680"/>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6"/>
              </w:rPr>
              <w:t>优先级</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5.1</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协助开发者空间数据迁移</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8h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配合开发者空间团队完成迁移字段核对、迁移批次确认、迁移结果抽检和问题跟进。</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迁移执行由开发者空间团队负责；GitCode 侧重点为数据口径确认、结果校验和业务影响评估。</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5.2</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积分商城开发者空间接口切换</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16h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完成积分商城调用开发者空间相关接口的地址、鉴权、参数、返回值和异常处理适配。</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需保持积分兑换、额度查询、兑换记录等链路在切换前后业务语义一致。</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5.3</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开发者空间切换联调测试</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6h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覆盖迁移后账号/额度/积分链路校验、积分商城接口联调、异常返回和回滚场景测试。</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需准备切换前后对账样例和关键链路测试数据。</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高</w:t>
            </w:r>
          </w:p>
        </w:tc>
      </w:tr>
      <w:tr>
        <w:trPr>
          <w:cantSplit/>
        </w:trPr>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5.4</w:t>
            </w:r>
          </w:p>
        </w:tc>
        <w:tc>
          <w:tcPr>
            <w:tcW w:type="dxa" w:w="164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开发者空间切换运维支持</w:t>
            </w:r>
          </w:p>
        </w:tc>
        <w:tc>
          <w:tcPr>
            <w:tcW w:type="dxa" w:w="79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4h</w:t>
            </w:r>
          </w:p>
        </w:tc>
        <w:tc>
          <w:tcPr>
            <w:tcW w:type="dxa" w:w="260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支持上线窗口观察、接口监控、问题定位、回滚配合和迁移后数据核查。</w:t>
            </w:r>
          </w:p>
        </w:tc>
        <w:tc>
          <w:tcPr>
            <w:tcW w:type="dxa" w:w="283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上线后需关注接口失败率、兑换链路异常、数据差异和用户反馈。</w:t>
            </w:r>
          </w:p>
        </w:tc>
        <w:tc>
          <w:tcPr>
            <w:tcW w:type="dxa" w:w="680"/>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中</w:t>
            </w:r>
          </w:p>
        </w:tc>
      </w:tr>
    </w:tbl>
    <w:p>
      <w:pPr>
        <w:spacing w:before="0" w:after="40"/>
      </w:pPr>
    </w:p>
    <w:p>
      <w:pPr>
        <w:spacing w:before="120" w:after="60" w:line="276" w:lineRule="auto"/>
      </w:pPr>
      <w:r>
        <w:rPr>
          <w:rFonts w:ascii="Hiragino Sans GB" w:hAnsi="Hiragino Sans GB" w:eastAsia="Hiragino Sans GB" w:cs="Hiragino Sans GB"/>
          <w:b/>
          <w:sz w:val="32"/>
        </w:rPr>
        <w:t>三、性能指标</w:t>
      </w:r>
    </w:p>
    <w:p>
      <w:pPr>
        <w:spacing w:before="120" w:after="60" w:line="276" w:lineRule="auto"/>
      </w:pPr>
      <w:r>
        <w:rPr>
          <w:rFonts w:ascii="Hiragino Sans GB" w:hAnsi="Hiragino Sans GB" w:eastAsia="Hiragino Sans GB" w:cs="Hiragino Sans GB"/>
          <w:b/>
          <w:sz w:val="28"/>
        </w:rPr>
        <w:t>3.1 响应速度与并发处理</w:t>
      </w:r>
    </w:p>
    <w:p>
      <w:pPr>
        <w:pStyle w:val="16"/>
        <w:spacing w:before="0" w:after="40" w:line="276" w:lineRule="auto"/>
      </w:pPr>
      <w:r>
        <w:rPr>
          <w:rFonts w:ascii="Hiragino Sans GB" w:hAnsi="Hiragino Sans GB" w:eastAsia="Hiragino Sans GB" w:cs="Hiragino Sans GB"/>
          <w:b w:val="0"/>
          <w:sz w:val="21"/>
        </w:rPr>
        <w:t>镜像列表、模板列表、白名单列表页面在 1000 条以内数据规模下首屏加载时间 ≤ 3 秒。</w:t>
      </w:r>
    </w:p>
    <w:p>
      <w:pPr>
        <w:pStyle w:val="16"/>
        <w:spacing w:before="0" w:after="40" w:line="276" w:lineRule="auto"/>
      </w:pPr>
      <w:r>
        <w:rPr>
          <w:rFonts w:ascii="Hiragino Sans GB" w:hAnsi="Hiragino Sans GB" w:eastAsia="Hiragino Sans GB" w:cs="Hiragino Sans GB"/>
          <w:b w:val="0"/>
          <w:sz w:val="21"/>
        </w:rPr>
        <w:t>列表查询接口支持分页，单页最大 100 条；常用筛选条件需具备索引或缓存支撑。</w:t>
      </w:r>
    </w:p>
    <w:p>
      <w:pPr>
        <w:pStyle w:val="16"/>
        <w:spacing w:before="0" w:after="40" w:line="276" w:lineRule="auto"/>
      </w:pPr>
      <w:r>
        <w:rPr>
          <w:rFonts w:ascii="Hiragino Sans GB" w:hAnsi="Hiragino Sans GB" w:eastAsia="Hiragino Sans GB" w:cs="Hiragino Sans GB"/>
          <w:b w:val="0"/>
          <w:sz w:val="21"/>
        </w:rPr>
        <w:t>镜像扫描、批量导入等耗时任务需异步执行，并提供任务状态查询。</w:t>
      </w:r>
    </w:p>
    <w:p>
      <w:pPr>
        <w:pStyle w:val="16"/>
        <w:spacing w:before="0" w:after="40" w:line="276" w:lineRule="auto"/>
      </w:pPr>
      <w:r>
        <w:rPr>
          <w:rFonts w:ascii="Hiragino Sans GB" w:hAnsi="Hiragino Sans GB" w:eastAsia="Hiragino Sans GB" w:cs="Hiragino Sans GB"/>
          <w:sz w:val="21"/>
        </w:rPr>
        <w:t>积分商城开发者空间接口切换后，核心兑换、查询链路响应时间不得劣化；接口异常需有明确错误码和日志。</w:t>
      </w:r>
    </w:p>
    <w:p>
      <w:pPr>
        <w:spacing w:before="120" w:after="60" w:line="276" w:lineRule="auto"/>
      </w:pPr>
      <w:r>
        <w:rPr>
          <w:rFonts w:ascii="Hiragino Sans GB" w:hAnsi="Hiragino Sans GB" w:eastAsia="Hiragino Sans GB" w:cs="Hiragino Sans GB"/>
          <w:b/>
          <w:sz w:val="28"/>
        </w:rPr>
        <w:t>3.2 稳定性与可靠性</w:t>
      </w:r>
    </w:p>
    <w:p>
      <w:pPr>
        <w:pStyle w:val="16"/>
        <w:spacing w:before="0" w:after="40" w:line="276" w:lineRule="auto"/>
      </w:pPr>
      <w:r>
        <w:rPr>
          <w:rFonts w:ascii="Hiragino Sans GB" w:hAnsi="Hiragino Sans GB" w:eastAsia="Hiragino Sans GB" w:cs="Hiragino Sans GB"/>
          <w:b w:val="0"/>
          <w:sz w:val="21"/>
        </w:rPr>
        <w:t>运营管理后台全年可用性不低于 99.95%。</w:t>
      </w:r>
    </w:p>
    <w:p>
      <w:pPr>
        <w:pStyle w:val="16"/>
        <w:spacing w:before="0" w:after="40" w:line="276" w:lineRule="auto"/>
      </w:pPr>
      <w:r>
        <w:rPr>
          <w:rFonts w:ascii="Hiragino Sans GB" w:hAnsi="Hiragino Sans GB" w:eastAsia="Hiragino Sans GB" w:cs="Hiragino Sans GB"/>
          <w:b w:val="0"/>
          <w:sz w:val="21"/>
        </w:rPr>
        <w:t>镜像、模板、白名单配置变更需保证数据一致性，避免出现 Portal 展示与后端申请校验不一致。</w:t>
      </w:r>
    </w:p>
    <w:p>
      <w:pPr>
        <w:pStyle w:val="16"/>
        <w:spacing w:before="0" w:after="40" w:line="276" w:lineRule="auto"/>
      </w:pPr>
      <w:r>
        <w:rPr>
          <w:rFonts w:ascii="Hiragino Sans GB" w:hAnsi="Hiragino Sans GB" w:eastAsia="Hiragino Sans GB" w:cs="Hiragino Sans GB"/>
          <w:b w:val="0"/>
          <w:sz w:val="21"/>
        </w:rPr>
        <w:t>模板上架前需完成必填项、镜像状态、资源池状态、脚本配置和白名单策略校验。</w:t>
      </w:r>
    </w:p>
    <w:p>
      <w:pPr>
        <w:pStyle w:val="16"/>
        <w:spacing w:before="0" w:after="40" w:line="276" w:lineRule="auto"/>
      </w:pPr>
      <w:r>
        <w:rPr>
          <w:rFonts w:ascii="Hiragino Sans GB" w:hAnsi="Hiragino Sans GB" w:eastAsia="Hiragino Sans GB" w:cs="Hiragino Sans GB"/>
          <w:b w:val="0"/>
          <w:sz w:val="21"/>
        </w:rPr>
        <w:t>批量导入任务需具备幂等处理能力，重复导入不会生成重复有效记录。</w:t>
      </w:r>
    </w:p>
    <w:p>
      <w:pPr>
        <w:pStyle w:val="16"/>
        <w:spacing w:before="0" w:after="40" w:line="276" w:lineRule="auto"/>
      </w:pPr>
      <w:r>
        <w:rPr>
          <w:rFonts w:ascii="Hiragino Sans GB" w:hAnsi="Hiragino Sans GB" w:eastAsia="Hiragino Sans GB" w:cs="Hiragino Sans GB"/>
          <w:sz w:val="21"/>
        </w:rPr>
        <w:t>开发者空间切换需具备联调验证、上线观察和回滚配合方案，迁移结果需可核验、可追溯。</w:t>
      </w:r>
    </w:p>
    <w:p>
      <w:pPr>
        <w:spacing w:before="120" w:after="60" w:line="276" w:lineRule="auto"/>
      </w:pPr>
      <w:r>
        <w:rPr>
          <w:rFonts w:ascii="Hiragino Sans GB" w:hAnsi="Hiragino Sans GB" w:eastAsia="Hiragino Sans GB" w:cs="Hiragino Sans GB"/>
          <w:b/>
          <w:sz w:val="32"/>
        </w:rPr>
        <w:t>四、技术架构指标</w:t>
      </w:r>
    </w:p>
    <w:p>
      <w:pPr>
        <w:spacing w:before="120" w:after="60" w:line="276" w:lineRule="auto"/>
      </w:pPr>
      <w:r>
        <w:rPr>
          <w:rFonts w:ascii="Hiragino Sans GB" w:hAnsi="Hiragino Sans GB" w:eastAsia="Hiragino Sans GB" w:cs="Hiragino Sans GB"/>
          <w:b/>
          <w:sz w:val="28"/>
        </w:rPr>
        <w:t>4.1 开发技术与框架</w:t>
      </w:r>
    </w:p>
    <w:tbl>
      <w:tblPr>
        <w:tblStyle w:val="34"/>
        <w:tblW w:type="auto" w:w="0"/>
        <w:jc w:val="center"/>
        <w:tblLayout w:type="fixed"/>
        <w:tblLook w:firstColumn="1" w:firstRow="1" w:lastColumn="0" w:lastRow="0" w:noHBand="0" w:noVBand="1" w:val="04A0"/>
      </w:tblPr>
      <w:tblGrid>
        <w:gridCol w:w="2882"/>
        <w:gridCol w:w="2882"/>
        <w:gridCol w:w="2882"/>
      </w:tblGrid>
      <w:tr>
        <w:trPr>
          <w:tblHeader w:val="true"/>
          <w:cantSplit/>
        </w:trPr>
        <w:tc>
          <w:tcPr>
            <w:tcW w:type="dxa" w:w="1701"/>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层级</w:t>
            </w:r>
          </w:p>
        </w:tc>
        <w:tc>
          <w:tcPr>
            <w:tcW w:type="dxa" w:w="2381"/>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技术选型</w:t>
            </w:r>
          </w:p>
        </w:tc>
        <w:tc>
          <w:tcPr>
            <w:tcW w:type="dxa" w:w="5103"/>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说明</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前端</w:t>
            </w:r>
          </w:p>
        </w:tc>
        <w:tc>
          <w:tcPr>
            <w:tcW w:type="dxa" w:w="238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跟随 GitCode 主站</w:t>
            </w:r>
          </w:p>
        </w:tc>
        <w:tc>
          <w:tcPr>
            <w:tcW w:type="dxa" w:w="510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作为 CANNLab 运营管理后台页面，与主站后台风格和权限体系保持一致。</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后端</w:t>
            </w:r>
          </w:p>
        </w:tc>
        <w:tc>
          <w:tcPr>
            <w:tcW w:type="dxa" w:w="238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Java + Spring Boot</w:t>
            </w:r>
          </w:p>
        </w:tc>
        <w:tc>
          <w:tcPr>
            <w:tcW w:type="dxa" w:w="510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8"/>
              </w:rPr>
              <w:t>提供镜像、模板、白名单管理 API，以及 Portal 模板查询接口。</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数据库</w:t>
            </w:r>
          </w:p>
        </w:tc>
        <w:tc>
          <w:tcPr>
            <w:tcW w:type="dxa" w:w="238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MySQL</w:t>
            </w:r>
          </w:p>
        </w:tc>
        <w:tc>
          <w:tcPr>
            <w:tcW w:type="dxa" w:w="510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存储镜像元数据、模板配置、白名单账号、操作审计和任务状态。</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缓存</w:t>
            </w:r>
          </w:p>
        </w:tc>
        <w:tc>
          <w:tcPr>
            <w:tcW w:type="dxa" w:w="238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Redis</w:t>
            </w:r>
          </w:p>
        </w:tc>
        <w:tc>
          <w:tcPr>
            <w:tcW w:type="dxa" w:w="510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8"/>
              </w:rPr>
              <w:t>用于模板可见性和资源池状态等高频读取场景。</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外部服务</w:t>
            </w:r>
          </w:p>
        </w:tc>
        <w:tc>
          <w:tcPr>
            <w:tcW w:type="dxa" w:w="238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8"/>
              </w:rPr>
              <w:t>镜像扫描服务</w:t>
            </w:r>
          </w:p>
        </w:tc>
        <w:tc>
          <w:tcPr>
            <w:tcW w:type="dxa" w:w="510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8"/>
              </w:rPr>
              <w:t>通过 RESTful API 触发镜像扫描任务并获取扫描结果。</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API 风格</w:t>
            </w:r>
          </w:p>
        </w:tc>
        <w:tc>
          <w:tcPr>
            <w:tcW w:type="dxa" w:w="238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RESTful API</w:t>
            </w:r>
          </w:p>
        </w:tc>
        <w:tc>
          <w:tcPr>
            <w:tcW w:type="dxa" w:w="5103"/>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遵循 OpenAPI 规范，关键接口需具备鉴权、幂等和审计。</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外部服务</w:t>
            </w:r>
          </w:p>
        </w:tc>
        <w:tc>
          <w:tcPr>
            <w:tcW w:type="dxa" w:w="2381"/>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开发者空间、积分商城接口</w:t>
            </w:r>
          </w:p>
        </w:tc>
        <w:tc>
          <w:tcPr>
            <w:tcW w:type="dxa" w:w="5103"/>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用于开发者空间数据迁移协助、积分商城接口切换、联调验证和上线监控。</w:t>
            </w:r>
          </w:p>
        </w:tc>
      </w:tr>
    </w:tbl>
    <w:p>
      <w:pPr>
        <w:spacing w:after="40" w:before="0"/>
      </w:pPr>
    </w:p>
    <w:p>
      <w:pPr>
        <w:spacing w:before="120" w:after="60" w:line="276" w:lineRule="auto"/>
      </w:pPr>
      <w:r>
        <w:rPr>
          <w:rFonts w:ascii="Hiragino Sans GB" w:hAnsi="Hiragino Sans GB" w:eastAsia="Hiragino Sans GB" w:cs="Hiragino Sans GB"/>
          <w:b/>
          <w:sz w:val="28"/>
        </w:rPr>
        <w:t>4.2 核心数据对象</w:t>
      </w:r>
    </w:p>
    <w:tbl>
      <w:tblPr>
        <w:tblStyle w:val="34"/>
        <w:tblW w:type="auto" w:w="0"/>
        <w:jc w:val="center"/>
        <w:tblLayout w:type="fixed"/>
        <w:tblLook w:firstColumn="1" w:firstRow="1" w:lastColumn="0" w:lastRow="0" w:noHBand="0" w:noVBand="1" w:val="04A0"/>
      </w:tblPr>
      <w:tblGrid>
        <w:gridCol w:w="2882"/>
        <w:gridCol w:w="2882"/>
        <w:gridCol w:w="2882"/>
      </w:tblGrid>
      <w:tr>
        <w:trPr>
          <w:tblHeader w:val="true"/>
          <w:cantSplit/>
        </w:trPr>
        <w:tc>
          <w:tcPr>
            <w:tcW w:type="dxa" w:w="1587"/>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对象</w:t>
            </w:r>
          </w:p>
        </w:tc>
        <w:tc>
          <w:tcPr>
            <w:tcW w:type="dxa" w:w="3515"/>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关键字段</w:t>
            </w:r>
          </w:p>
        </w:tc>
        <w:tc>
          <w:tcPr>
            <w:tcW w:type="dxa" w:w="4082"/>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说明</w:t>
            </w:r>
          </w:p>
        </w:tc>
      </w:tr>
      <w:tr>
        <w:trPr>
          <w:cantSplit/>
        </w:trPr>
        <w:tc>
          <w:tcPr>
            <w:tcW w:type="dxa" w:w="158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镜像</w:t>
            </w:r>
          </w:p>
        </w:tc>
        <w:tc>
          <w:tcPr>
            <w:tcW w:type="dxa" w:w="351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7"/>
              </w:rPr>
              <w:t>镜像 ID、镜像地址、标签、CANN 版本、架构、扫描状态、上架状态</w:t>
            </w:r>
          </w:p>
        </w:tc>
        <w:tc>
          <w:tcPr>
            <w:tcW w:type="dxa" w:w="408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镜像是模板实例化环境的基础载体。</w:t>
            </w:r>
          </w:p>
        </w:tc>
      </w:tr>
      <w:tr>
        <w:trPr>
          <w:cantSplit/>
        </w:trPr>
        <w:tc>
          <w:tcPr>
            <w:tcW w:type="dxa" w:w="158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模板</w:t>
            </w:r>
          </w:p>
        </w:tc>
        <w:tc>
          <w:tcPr>
            <w:tcW w:type="dxa" w:w="351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模板 ID、模板名称、资源类型、镜像 ID、规格、资源池、挂盘规则、脚本配置、可见范围、上下架状态</w:t>
            </w:r>
          </w:p>
        </w:tc>
        <w:tc>
          <w:tcPr>
            <w:tcW w:type="dxa" w:w="408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模板是用户申请开发环境时可选择的配置集合。</w:t>
            </w:r>
          </w:p>
        </w:tc>
      </w:tr>
      <w:tr>
        <w:trPr>
          <w:cantSplit/>
        </w:trPr>
        <w:tc>
          <w:tcPr>
            <w:tcW w:type="dxa" w:w="158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白名单</w:t>
            </w:r>
          </w:p>
        </w:tc>
        <w:tc>
          <w:tcPr>
            <w:tcW w:type="dxa" w:w="351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账号标识、GitCode 用户 ID、适用范围、关联模板、状态、有效期、操作人</w:t>
            </w:r>
          </w:p>
        </w:tc>
        <w:tc>
          <w:tcPr>
            <w:tcW w:type="dxa" w:w="408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白名单控制用户对特定资源或模板的访问权限。</w:t>
            </w:r>
          </w:p>
        </w:tc>
      </w:tr>
      <w:tr>
        <w:trPr>
          <w:cantSplit/>
        </w:trPr>
        <w:tc>
          <w:tcPr>
            <w:tcW w:type="dxa" w:w="158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审计日志</w:t>
            </w:r>
          </w:p>
        </w:tc>
        <w:tc>
          <w:tcPr>
            <w:tcW w:type="dxa" w:w="351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操作对象、操作类型、操作人、操作时间、变更前后内容、操作原因</w:t>
            </w:r>
          </w:p>
        </w:tc>
        <w:tc>
          <w:tcPr>
            <w:tcW w:type="dxa" w:w="408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用于问题追溯、合规审计和运营复盘。</w:t>
            </w:r>
          </w:p>
        </w:tc>
      </w:tr>
      <w:tr>
        <w:trPr>
          <w:cantSplit/>
        </w:trPr>
        <w:tc>
          <w:tcPr>
            <w:tcW w:type="dxa" w:w="158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开发者空间切换记录</w:t>
            </w:r>
          </w:p>
        </w:tc>
        <w:tc>
          <w:tcPr>
            <w:tcW w:type="dxa" w:w="351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用户标识、迁移批次、源/目标空间标识、迁移状态、接口切换状态、校验结果</w:t>
            </w:r>
          </w:p>
        </w:tc>
        <w:tc>
          <w:tcPr>
            <w:tcW w:type="dxa" w:w="4082"/>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用于迁移协助、接口切换验收、问题追溯和回滚分析。</w:t>
            </w:r>
          </w:p>
        </w:tc>
      </w:tr>
    </w:tbl>
    <w:p>
      <w:pPr>
        <w:spacing w:after="40" w:before="0"/>
      </w:pPr>
    </w:p>
    <w:p>
      <w:pPr>
        <w:spacing w:before="120" w:after="60" w:line="276" w:lineRule="auto"/>
      </w:pPr>
      <w:r>
        <w:rPr>
          <w:rFonts w:ascii="Hiragino Sans GB" w:hAnsi="Hiragino Sans GB" w:eastAsia="Hiragino Sans GB" w:cs="Hiragino Sans GB"/>
          <w:b/>
          <w:sz w:val="32"/>
        </w:rPr>
        <w:t>五、兼容性指标</w:t>
      </w:r>
    </w:p>
    <w:p>
      <w:pPr>
        <w:spacing w:before="120" w:after="60" w:line="276" w:lineRule="auto"/>
      </w:pPr>
      <w:r>
        <w:rPr>
          <w:rFonts w:ascii="Hiragino Sans GB" w:hAnsi="Hiragino Sans GB" w:eastAsia="Hiragino Sans GB" w:cs="Hiragino Sans GB"/>
          <w:b/>
          <w:sz w:val="28"/>
        </w:rPr>
        <w:t>5.1 浏览器兼容</w:t>
      </w:r>
    </w:p>
    <w:p>
      <w:pPr>
        <w:spacing w:before="20" w:after="20" w:line="276" w:lineRule="auto"/>
      </w:pPr>
      <w:r>
        <w:rPr>
          <w:rFonts w:ascii="Hiragino Sans GB" w:hAnsi="Hiragino Sans GB" w:eastAsia="Hiragino Sans GB" w:cs="Hiragino Sans GB"/>
          <w:b w:val="0"/>
          <w:sz w:val="21"/>
        </w:rPr>
        <w:t>运营管理后台需支持 Chrome、Firefox、Edge、Safari 主流浏览器。后台表格、弹窗、批量导入结果和长文本展示在 1366×768px 及以上分辨率下需正常可用。</w:t>
      </w:r>
    </w:p>
    <w:p>
      <w:pPr>
        <w:spacing w:before="120" w:after="60" w:line="276" w:lineRule="auto"/>
      </w:pPr>
      <w:r>
        <w:rPr>
          <w:rFonts w:ascii="Hiragino Sans GB" w:hAnsi="Hiragino Sans GB" w:eastAsia="Hiragino Sans GB" w:cs="Hiragino Sans GB"/>
          <w:b/>
          <w:sz w:val="28"/>
        </w:rPr>
        <w:t>5.2 数据兼容</w:t>
      </w:r>
    </w:p>
    <w:p>
      <w:pPr>
        <w:pStyle w:val="16"/>
        <w:spacing w:before="0" w:after="40" w:line="276" w:lineRule="auto"/>
      </w:pPr>
      <w:r>
        <w:rPr>
          <w:rFonts w:ascii="Hiragino Sans GB" w:hAnsi="Hiragino Sans GB" w:eastAsia="Hiragino Sans GB" w:cs="Hiragino Sans GB"/>
          <w:b w:val="0"/>
          <w:sz w:val="21"/>
        </w:rPr>
        <w:t>镜像元数据字段需支持后续扩展，不应因新增 CANN 版本、架构或资源类型导致历史数据不可读取。</w:t>
      </w:r>
    </w:p>
    <w:p>
      <w:pPr>
        <w:pStyle w:val="16"/>
        <w:spacing w:before="0" w:after="40" w:line="276" w:lineRule="auto"/>
      </w:pPr>
      <w:r>
        <w:rPr>
          <w:rFonts w:ascii="Hiragino Sans GB" w:hAnsi="Hiragino Sans GB" w:eastAsia="Hiragino Sans GB" w:cs="Hiragino Sans GB"/>
          <w:b w:val="0"/>
          <w:sz w:val="21"/>
        </w:rPr>
        <w:t>模板配置需支持版本化快照，避免模板变更影响已创建或正在创建的开发环境。</w:t>
      </w:r>
    </w:p>
    <w:p>
      <w:pPr>
        <w:pStyle w:val="16"/>
        <w:spacing w:before="0" w:after="40" w:line="276" w:lineRule="auto"/>
      </w:pPr>
      <w:r>
        <w:rPr>
          <w:rFonts w:ascii="Hiragino Sans GB" w:hAnsi="Hiragino Sans GB" w:eastAsia="Hiragino Sans GB" w:cs="Hiragino Sans GB"/>
          <w:b w:val="0"/>
          <w:sz w:val="21"/>
        </w:rPr>
        <w:t>白名单账号以 GitCode 用户 ID 作为稳定主键，账号名变更不应导致权限丢失。</w:t>
      </w:r>
    </w:p>
    <w:p>
      <w:pPr>
        <w:pStyle w:val="16"/>
        <w:spacing w:before="0" w:after="40" w:line="276" w:lineRule="auto"/>
      </w:pPr>
      <w:r>
        <w:rPr>
          <w:rFonts w:ascii="Hiragino Sans GB" w:hAnsi="Hiragino Sans GB" w:eastAsia="Hiragino Sans GB" w:cs="Hiragino Sans GB"/>
          <w:sz w:val="21"/>
        </w:rPr>
        <w:t>开发者空间切换需保持用户标识、额度、积分兑换记录等关键数据口径一致，接口切换前后需支持对账。</w:t>
      </w:r>
    </w:p>
    <w:p>
      <w:pPr>
        <w:spacing w:before="120" w:after="60" w:line="276" w:lineRule="auto"/>
      </w:pPr>
      <w:r>
        <w:rPr>
          <w:rFonts w:ascii="Hiragino Sans GB" w:hAnsi="Hiragino Sans GB" w:eastAsia="Hiragino Sans GB" w:cs="Hiragino Sans GB"/>
          <w:b/>
          <w:sz w:val="32"/>
        </w:rPr>
        <w:t>六、安全要求</w:t>
      </w:r>
    </w:p>
    <w:p>
      <w:pPr>
        <w:spacing w:before="120" w:after="60" w:line="276" w:lineRule="auto"/>
      </w:pPr>
      <w:r>
        <w:rPr>
          <w:rFonts w:ascii="Hiragino Sans GB" w:hAnsi="Hiragino Sans GB" w:eastAsia="Hiragino Sans GB" w:cs="Hiragino Sans GB"/>
          <w:b/>
          <w:sz w:val="28"/>
        </w:rPr>
        <w:t>6.1 接口鉴权与访问控制</w:t>
      </w:r>
    </w:p>
    <w:p>
      <w:pPr>
        <w:pStyle w:val="16"/>
        <w:spacing w:before="0" w:after="40" w:line="276" w:lineRule="auto"/>
      </w:pPr>
      <w:r>
        <w:rPr>
          <w:rFonts w:ascii="Hiragino Sans GB" w:hAnsi="Hiragino Sans GB" w:eastAsia="Hiragino Sans GB" w:cs="Hiragino Sans GB"/>
          <w:b w:val="0"/>
          <w:sz w:val="21"/>
        </w:rPr>
        <w:t>镜像管理、模板管理、白名单管理接口必须经过后台管理员身份鉴权。</w:t>
      </w:r>
    </w:p>
    <w:p>
      <w:pPr>
        <w:pStyle w:val="16"/>
        <w:spacing w:before="0" w:after="40" w:line="276" w:lineRule="auto"/>
      </w:pPr>
      <w:r>
        <w:rPr>
          <w:rFonts w:ascii="Hiragino Sans GB" w:hAnsi="Hiragino Sans GB" w:eastAsia="Hiragino Sans GB" w:cs="Hiragino Sans GB"/>
          <w:b w:val="0"/>
          <w:sz w:val="21"/>
        </w:rPr>
        <w:t>镜像上下架、模板上下架、白名单批量导入/移除等高风险操作需具备二次确认和操作审计。</w:t>
      </w:r>
    </w:p>
    <w:p>
      <w:pPr>
        <w:pStyle w:val="16"/>
        <w:spacing w:before="0" w:after="40" w:line="276" w:lineRule="auto"/>
      </w:pPr>
      <w:r>
        <w:rPr>
          <w:rFonts w:ascii="Hiragino Sans GB" w:hAnsi="Hiragino Sans GB" w:eastAsia="Hiragino Sans GB" w:cs="Hiragino Sans GB"/>
          <w:b w:val="0"/>
          <w:sz w:val="21"/>
        </w:rPr>
        <w:t>普通 CANNLab 用户只能通过 Portal 查询已授权可见模板，不可访问后台管理接口。</w:t>
      </w:r>
    </w:p>
    <w:p>
      <w:pPr>
        <w:pStyle w:val="16"/>
        <w:spacing w:before="0" w:after="40" w:line="276" w:lineRule="auto"/>
      </w:pPr>
      <w:r>
        <w:rPr>
          <w:rFonts w:ascii="Hiragino Sans GB" w:hAnsi="Hiragino Sans GB" w:eastAsia="Hiragino Sans GB" w:cs="Hiragino Sans GB"/>
          <w:b w:val="0"/>
          <w:sz w:val="21"/>
        </w:rPr>
        <w:t>白名单账号数据不得向非授权用户暴露，普通用户不可查看完整白名单列表。</w:t>
      </w:r>
    </w:p>
    <w:p>
      <w:pPr>
        <w:pStyle w:val="16"/>
        <w:spacing w:before="0" w:after="40" w:line="276" w:lineRule="auto"/>
      </w:pPr>
      <w:r>
        <w:rPr>
          <w:rFonts w:ascii="Hiragino Sans GB" w:hAnsi="Hiragino Sans GB" w:eastAsia="Hiragino Sans GB" w:cs="Hiragino Sans GB"/>
          <w:sz w:val="21"/>
        </w:rPr>
        <w:t>开发者空间迁移和积分商城接口切换过程中的数据访问需限定授权范围，避免迁移样例或日志泄露敏感信息。</w:t>
      </w:r>
    </w:p>
    <w:p>
      <w:pPr>
        <w:spacing w:before="120" w:after="60" w:line="276" w:lineRule="auto"/>
      </w:pPr>
      <w:r>
        <w:rPr>
          <w:rFonts w:ascii="Hiragino Sans GB" w:hAnsi="Hiragino Sans GB" w:eastAsia="Hiragino Sans GB" w:cs="Hiragino Sans GB"/>
          <w:b/>
          <w:sz w:val="28"/>
        </w:rPr>
        <w:t>6.2 审计日志</w:t>
      </w:r>
    </w:p>
    <w:p>
      <w:pPr>
        <w:pStyle w:val="16"/>
        <w:spacing w:before="0" w:after="40" w:line="276" w:lineRule="auto"/>
      </w:pPr>
      <w:r>
        <w:rPr>
          <w:rFonts w:ascii="Hiragino Sans GB" w:hAnsi="Hiragino Sans GB" w:eastAsia="Hiragino Sans GB" w:cs="Hiragino Sans GB"/>
          <w:b w:val="0"/>
          <w:sz w:val="21"/>
        </w:rPr>
        <w:t>镜像信息修改、扫描触发、上下架操作需记录操作人、时间、对象、变更内容和结果。</w:t>
      </w:r>
    </w:p>
    <w:p>
      <w:pPr>
        <w:pStyle w:val="16"/>
        <w:spacing w:before="0" w:after="40" w:line="276" w:lineRule="auto"/>
      </w:pPr>
      <w:r>
        <w:rPr>
          <w:rFonts w:ascii="Hiragino Sans GB" w:hAnsi="Hiragino Sans GB" w:eastAsia="Hiragino Sans GB" w:cs="Hiragino Sans GB"/>
          <w:b w:val="0"/>
          <w:sz w:val="21"/>
        </w:rPr>
        <w:t>模板配置修改、上下架、可见范围变更需记录变更前后差异。</w:t>
      </w:r>
    </w:p>
    <w:p>
      <w:pPr>
        <w:pStyle w:val="16"/>
        <w:spacing w:before="0" w:after="40" w:line="276" w:lineRule="auto"/>
      </w:pPr>
      <w:r>
        <w:rPr>
          <w:rFonts w:ascii="Hiragino Sans GB" w:hAnsi="Hiragino Sans GB" w:eastAsia="Hiragino Sans GB" w:cs="Hiragino Sans GB"/>
          <w:b w:val="0"/>
          <w:sz w:val="21"/>
        </w:rPr>
        <w:t>白名单新增、批量导入、移除、禁用和恢复均需可追溯。</w:t>
      </w:r>
    </w:p>
    <w:p>
      <w:pPr>
        <w:pStyle w:val="16"/>
        <w:spacing w:before="0" w:after="40" w:line="276" w:lineRule="auto"/>
      </w:pPr>
      <w:r>
        <w:rPr>
          <w:rFonts w:ascii="Hiragino Sans GB" w:hAnsi="Hiragino Sans GB" w:eastAsia="Hiragino Sans GB" w:cs="Hiragino Sans GB"/>
          <w:sz w:val="21"/>
        </w:rPr>
        <w:t>开发者空间数据迁移核验、积分商城接口切换和上线回滚操作需记录关键操作与结果。</w:t>
      </w:r>
    </w:p>
    <w:p>
      <w:pPr>
        <w:spacing w:before="120" w:after="60" w:line="276" w:lineRule="auto"/>
      </w:pPr>
      <w:r>
        <w:rPr>
          <w:rFonts w:ascii="Hiragino Sans GB" w:hAnsi="Hiragino Sans GB" w:eastAsia="Hiragino Sans GB" w:cs="Hiragino Sans GB"/>
          <w:b/>
          <w:sz w:val="32"/>
        </w:rPr>
        <w:t>七、验收标准</w:t>
      </w:r>
    </w:p>
    <w:tbl>
      <w:tblPr>
        <w:tblStyle w:val="34"/>
        <w:tblW w:type="auto" w:w="0"/>
        <w:jc w:val="center"/>
        <w:tblLayout w:type="fixed"/>
        <w:tblLook w:firstColumn="1" w:firstRow="1" w:lastColumn="0" w:lastRow="0" w:noHBand="0" w:noVBand="1" w:val="04A0"/>
      </w:tblPr>
      <w:tblGrid>
        <w:gridCol w:w="2882"/>
        <w:gridCol w:w="2882"/>
        <w:gridCol w:w="2882"/>
      </w:tblGrid>
      <w:tr>
        <w:trPr>
          <w:tblHeader w:val="true"/>
          <w:cantSplit/>
        </w:trPr>
        <w:tc>
          <w:tcPr>
            <w:tcW w:type="dxa" w:w="1701"/>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服务项</w:t>
            </w:r>
          </w:p>
        </w:tc>
        <w:tc>
          <w:tcPr>
            <w:tcW w:type="dxa" w:w="3118"/>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服务描述</w:t>
            </w:r>
          </w:p>
        </w:tc>
        <w:tc>
          <w:tcPr>
            <w:tcW w:type="dxa" w:w="4365"/>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KPI 及验收标准</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镜像管理</w:t>
            </w:r>
          </w:p>
        </w:tc>
        <w:tc>
          <w:tcPr>
            <w:tcW w:type="dxa" w:w="311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镜像列表查询、信息维护、安全扫描、上下架、引用关系查看、测试与运维支持</w:t>
            </w:r>
          </w:p>
        </w:tc>
        <w:tc>
          <w:tcPr>
            <w:tcW w:type="dxa" w:w="4365"/>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扫描未通过镜像不可上架；上下架状态对模板选择生效；审计日志完整；测试用例和上线运维记录齐全。</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模板管理</w:t>
            </w:r>
          </w:p>
        </w:tc>
        <w:tc>
          <w:tcPr>
            <w:tcW w:type="dxa" w:w="311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模板新增、配置维护、资源池关联、挂盘配置、脚本配置、可见性配置、上下架、测试与运维支持</w:t>
            </w:r>
          </w:p>
        </w:tc>
        <w:tc>
          <w:tcPr>
            <w:tcW w:type="dxa" w:w="4365"/>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模板必填项校验通过；已上架模板可在 Portal 按权限展示；下架模板不可新申请；配置快照可追溯。</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白名单账号管理</w:t>
            </w:r>
          </w:p>
        </w:tc>
        <w:tc>
          <w:tcPr>
            <w:tcW w:type="dxa" w:w="311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列表查询、单个新增、批量导入、移除/禁用、权限生效、审计日志、测试与运维支持</w:t>
            </w:r>
          </w:p>
        </w:tc>
        <w:tc>
          <w:tcPr>
            <w:tcW w:type="dxa" w:w="4365"/>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白名单变更 1 分钟内对 Portal 可见性生效；批量导入结果准确；非白名单用户不可见受控模板。</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Portal 集成</w:t>
            </w:r>
          </w:p>
        </w:tc>
        <w:tc>
          <w:tcPr>
            <w:tcW w:type="dxa" w:w="311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模板查询、申请参数下发、异常提示、联调测试、上线运维支持</w:t>
            </w:r>
          </w:p>
        </w:tc>
        <w:tc>
          <w:tcPr>
            <w:tcW w:type="dxa" w:w="4365"/>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用户只能看到有权限且已上架的模板；申请参数与后台模板配置一致；异常场景提示清晰。</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安全要求</w:t>
            </w:r>
          </w:p>
        </w:tc>
        <w:tc>
          <w:tcPr>
            <w:tcW w:type="dxa" w:w="311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鉴权、权限控制、审计、敏感数据保护</w:t>
            </w:r>
          </w:p>
        </w:tc>
        <w:tc>
          <w:tcPr>
            <w:tcW w:type="dxa" w:w="4365"/>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后台接口未授权不可访问；高风险操作有审计；白名单数据不向普通用户泄露。</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开发者空间切换</w:t>
            </w:r>
          </w:p>
        </w:tc>
        <w:tc>
          <w:tcPr>
            <w:tcW w:type="dxa" w:w="311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数据迁移协助、积分商城接口切换、联调测试、上线运维支持</w:t>
            </w:r>
          </w:p>
        </w:tc>
        <w:tc>
          <w:tcPr>
            <w:tcW w:type="dxa" w:w="4365"/>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迁移字段和结果核验通过；积分商城接口切换后兑换、查询、记录链路正常；具备上线观察和回滚配合记录。</w:t>
            </w:r>
          </w:p>
        </w:tc>
      </w:tr>
    </w:tbl>
    <w:p>
      <w:pPr>
        <w:spacing w:after="40" w:before="0"/>
      </w:pPr>
    </w:p>
    <w:p>
      <w:pPr>
        <w:spacing w:before="120" w:after="60" w:line="276" w:lineRule="auto"/>
      </w:pPr>
      <w:r>
        <w:rPr>
          <w:rFonts w:ascii="Hiragino Sans GB" w:hAnsi="Hiragino Sans GB" w:eastAsia="Hiragino Sans GB" w:cs="Hiragino Sans GB"/>
          <w:b/>
          <w:sz w:val="32"/>
        </w:rPr>
        <w:t>八、已知风险与待确认事项</w:t>
      </w:r>
    </w:p>
    <w:p>
      <w:pPr>
        <w:spacing w:before="120" w:after="60" w:line="276" w:lineRule="auto"/>
      </w:pPr>
      <w:r>
        <w:rPr>
          <w:rFonts w:ascii="Hiragino Sans GB" w:hAnsi="Hiragino Sans GB" w:eastAsia="Hiragino Sans GB" w:cs="Hiragino Sans GB"/>
          <w:b/>
          <w:sz w:val="28"/>
        </w:rPr>
        <w:t>8.1 外部依赖风险</w:t>
      </w:r>
    </w:p>
    <w:tbl>
      <w:tblPr>
        <w:tblStyle w:val="34"/>
        <w:tblW w:type="auto" w:w="0"/>
        <w:jc w:val="center"/>
        <w:tblLayout w:type="fixed"/>
        <w:tblLook w:firstColumn="1" w:firstRow="1" w:lastColumn="0" w:lastRow="0" w:noHBand="0" w:noVBand="1" w:val="04A0"/>
      </w:tblPr>
      <w:tblGrid>
        <w:gridCol w:w="2161"/>
        <w:gridCol w:w="2161"/>
        <w:gridCol w:w="2161"/>
        <w:gridCol w:w="2161"/>
      </w:tblGrid>
      <w:tr>
        <w:trPr>
          <w:tblHeader w:val="true"/>
          <w:cantSplit/>
        </w:trPr>
        <w:tc>
          <w:tcPr>
            <w:tcW w:type="dxa" w:w="2268"/>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风险项</w:t>
            </w:r>
          </w:p>
        </w:tc>
        <w:tc>
          <w:tcPr>
            <w:tcW w:type="dxa" w:w="2268"/>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影响</w:t>
            </w:r>
          </w:p>
        </w:tc>
        <w:tc>
          <w:tcPr>
            <w:tcW w:type="dxa" w:w="1247"/>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风险等级</w:t>
            </w:r>
          </w:p>
        </w:tc>
        <w:tc>
          <w:tcPr>
            <w:tcW w:type="dxa" w:w="3402"/>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缓解措施</w:t>
            </w:r>
          </w:p>
        </w:tc>
      </w:tr>
      <w:tr>
        <w:trPr>
          <w:cantSplit/>
        </w:trPr>
        <w:tc>
          <w:tcPr>
            <w:tcW w:type="dxa" w:w="226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7"/>
              </w:rPr>
              <w:t>已入库镜像元数据不完整</w:t>
            </w:r>
          </w:p>
        </w:tc>
        <w:tc>
          <w:tcPr>
            <w:tcW w:type="dxa" w:w="226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7"/>
              </w:rPr>
              <w:t>镜像展示或模板配置缺少必要信息</w:t>
            </w:r>
          </w:p>
        </w:tc>
        <w:tc>
          <w:tcPr>
            <w:tcW w:type="dxa" w:w="124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7"/>
              </w:rPr>
              <w:t>中</w:t>
            </w:r>
          </w:p>
        </w:tc>
        <w:tc>
          <w:tcPr>
            <w:tcW w:type="dxa" w:w="340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7"/>
              </w:rPr>
              <w:t>在镜像维护页面提供必填项校验和补充入口，上架前完成完整性检查。</w:t>
            </w:r>
          </w:p>
        </w:tc>
      </w:tr>
      <w:tr>
        <w:trPr>
          <w:cantSplit/>
        </w:trPr>
        <w:tc>
          <w:tcPr>
            <w:tcW w:type="dxa" w:w="2268"/>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镜像扫描服务不可用或结果延迟</w:t>
            </w:r>
          </w:p>
        </w:tc>
        <w:tc>
          <w:tcPr>
            <w:tcW w:type="dxa" w:w="226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镜像无法按计划上架</w:t>
            </w:r>
          </w:p>
        </w:tc>
        <w:tc>
          <w:tcPr>
            <w:tcW w:type="dxa" w:w="124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中</w:t>
            </w:r>
          </w:p>
        </w:tc>
        <w:tc>
          <w:tcPr>
            <w:tcW w:type="dxa" w:w="340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扫描任务异步化，提供重试机制和人工查看扫描失败原因。</w:t>
            </w:r>
          </w:p>
        </w:tc>
      </w:tr>
      <w:tr>
        <w:trPr>
          <w:cantSplit/>
        </w:trPr>
        <w:tc>
          <w:tcPr>
            <w:tcW w:type="dxa" w:w="2268"/>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资源池规格变更未同步</w:t>
            </w:r>
          </w:p>
        </w:tc>
        <w:tc>
          <w:tcPr>
            <w:tcW w:type="dxa" w:w="226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模板上架后用户申请失败</w:t>
            </w:r>
          </w:p>
        </w:tc>
        <w:tc>
          <w:tcPr>
            <w:tcW w:type="dxa" w:w="124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中</w:t>
            </w:r>
          </w:p>
        </w:tc>
        <w:tc>
          <w:tcPr>
            <w:tcW w:type="dxa" w:w="340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模板上架前校验资源池和规格有效性，定期同步资源池状态。</w:t>
            </w:r>
          </w:p>
        </w:tc>
      </w:tr>
      <w:tr>
        <w:trPr>
          <w:cantSplit/>
        </w:trPr>
        <w:tc>
          <w:tcPr>
            <w:tcW w:type="dxa" w:w="2268"/>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GitCode 账号标识变化</w:t>
            </w:r>
          </w:p>
        </w:tc>
        <w:tc>
          <w:tcPr>
            <w:tcW w:type="dxa" w:w="226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白名单权限判断异常</w:t>
            </w:r>
          </w:p>
        </w:tc>
        <w:tc>
          <w:tcPr>
            <w:tcW w:type="dxa" w:w="124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中</w:t>
            </w:r>
          </w:p>
        </w:tc>
        <w:tc>
          <w:tcPr>
            <w:tcW w:type="dxa" w:w="340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以稳定用户 ID 作为白名单主键，账号名仅作为展示字段。</w:t>
            </w:r>
          </w:p>
        </w:tc>
      </w:tr>
      <w:tr>
        <w:trPr>
          <w:cantSplit/>
        </w:trPr>
        <w:tc>
          <w:tcPr>
            <w:tcW w:type="dxa" w:w="2268"/>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开发者空间迁移口径不一致</w:t>
            </w:r>
          </w:p>
        </w:tc>
        <w:tc>
          <w:tcPr>
            <w:tcW w:type="dxa" w:w="226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用户额度、积分或账号映射出现差异</w:t>
            </w:r>
          </w:p>
        </w:tc>
        <w:tc>
          <w:tcPr>
            <w:tcW w:type="dxa" w:w="124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高</w:t>
            </w:r>
          </w:p>
        </w:tc>
        <w:tc>
          <w:tcPr>
            <w:tcW w:type="dxa" w:w="340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提前确认字段映射和对账口径，迁移后按批次抽检并保留问题清单。</w:t>
            </w:r>
          </w:p>
        </w:tc>
      </w:tr>
      <w:tr>
        <w:trPr>
          <w:cantSplit/>
        </w:trPr>
        <w:tc>
          <w:tcPr>
            <w:tcW w:type="dxa" w:w="2268"/>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积分商城接口切换异常</w:t>
            </w:r>
          </w:p>
        </w:tc>
        <w:tc>
          <w:tcPr>
            <w:tcW w:type="dxa" w:w="2268"/>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积分兑换或额度查询链路失败</w:t>
            </w:r>
          </w:p>
        </w:tc>
        <w:tc>
          <w:tcPr>
            <w:tcW w:type="dxa" w:w="124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高</w:t>
            </w:r>
          </w:p>
        </w:tc>
        <w:tc>
          <w:tcPr>
            <w:tcW w:type="dxa" w:w="340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切换前完成联调和灰度验证，准备回滚方案并监控接口失败率。</w:t>
            </w:r>
          </w:p>
        </w:tc>
      </w:tr>
    </w:tbl>
    <w:p>
      <w:pPr>
        <w:spacing w:after="40" w:before="0"/>
      </w:pPr>
    </w:p>
    <w:p>
      <w:pPr>
        <w:spacing w:before="120" w:after="60" w:line="276" w:lineRule="auto"/>
      </w:pPr>
      <w:r>
        <w:rPr>
          <w:rFonts w:ascii="Hiragino Sans GB" w:hAnsi="Hiragino Sans GB" w:eastAsia="Hiragino Sans GB" w:cs="Hiragino Sans GB"/>
          <w:b/>
          <w:sz w:val="28"/>
        </w:rPr>
        <w:t>8.2 已知约束</w:t>
      </w:r>
    </w:p>
    <w:tbl>
      <w:tblPr>
        <w:tblStyle w:val="34"/>
        <w:tblW w:type="auto" w:w="0"/>
        <w:jc w:val="center"/>
        <w:tblLayout w:type="fixed"/>
        <w:tblLook w:firstColumn="1" w:firstRow="1" w:lastColumn="0" w:lastRow="0" w:noHBand="0" w:noVBand="1" w:val="04A0"/>
      </w:tblPr>
      <w:tblGrid>
        <w:gridCol w:w="4323"/>
        <w:gridCol w:w="4323"/>
      </w:tblGrid>
      <w:tr>
        <w:trPr>
          <w:tblHeader w:val="true"/>
          <w:cantSplit/>
        </w:trPr>
        <w:tc>
          <w:tcPr>
            <w:tcW w:type="dxa" w:w="1701"/>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约束项</w:t>
            </w:r>
          </w:p>
        </w:tc>
        <w:tc>
          <w:tcPr>
            <w:tcW w:type="dxa" w:w="7484"/>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8"/>
              </w:rPr>
              <w:t>说明</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镜像修改限制</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已上架镜像不允许直接修改关键元数据；如需调整应下架后修改或创建新镜像版本。</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模板快照</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用户申请环境时需使用模板配置快照，避免模板后续修改影响历史申请。</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白名单即时性</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白名单变更需尽快影响 Portal 可见性和后台权限判断，但应兼顾缓存失效和接口性能。</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8"/>
              </w:rPr>
              <w:t>存量实例</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8"/>
              </w:rPr>
              <w:t>镜像或模板下架不强制影响存量开发环境，存量实例仍按原生命周期管理。</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迁移窗口</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开发者空间数据迁移需在双方确认的窗口内执行，GitCode 侧以协助核验和问题跟进为主。</w:t>
            </w:r>
          </w:p>
        </w:tc>
      </w:tr>
      <w:tr>
        <w:trPr>
          <w:cantSplit/>
        </w:trPr>
        <w:tc>
          <w:tcPr>
            <w:tcW w:type="dxa" w:w="1701"/>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接口切换回滚</w:t>
            </w:r>
          </w:p>
        </w:tc>
        <w:tc>
          <w:tcPr>
            <w:tcW w:type="dxa" w:w="74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积分商城开发者空间接口切换需保留回滚配合方案，避免影响用户积分兑换链路。</w:t>
            </w:r>
          </w:p>
        </w:tc>
      </w:tr>
    </w:tbl>
    <w:p>
      <w:pPr>
        <w:spacing w:after="40" w:before="0"/>
      </w:pPr>
    </w:p>
    <w:p>
      <w:pPr>
        <w:spacing w:before="120" w:after="60" w:line="276" w:lineRule="auto"/>
      </w:pPr>
      <w:r>
        <w:rPr>
          <w:rFonts w:ascii="Hiragino Sans GB" w:hAnsi="Hiragino Sans GB" w:eastAsia="Hiragino Sans GB" w:cs="Hiragino Sans GB"/>
          <w:b/>
          <w:sz w:val="28"/>
        </w:rPr>
        <w:t>8.3 待确认事项</w:t>
      </w:r>
    </w:p>
    <w:tbl>
      <w:tblPr>
        <w:tblStyle w:val="34"/>
        <w:tblW w:type="auto" w:w="0"/>
        <w:jc w:val="center"/>
        <w:tblLayout w:type="fixed"/>
        <w:tblLook w:firstColumn="1" w:firstRow="1" w:lastColumn="0" w:lastRow="0" w:noHBand="0" w:noVBand="1" w:val="04A0"/>
      </w:tblPr>
      <w:tblGrid>
        <w:gridCol w:w="2161"/>
        <w:gridCol w:w="2161"/>
        <w:gridCol w:w="2161"/>
        <w:gridCol w:w="2161"/>
      </w:tblGrid>
      <w:tr>
        <w:trPr>
          <w:tblHeader w:val="true"/>
          <w:cantSplit/>
        </w:trPr>
        <w:tc>
          <w:tcPr>
            <w:tcW w:type="dxa" w:w="1984"/>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事项</w:t>
            </w:r>
          </w:p>
        </w:tc>
        <w:tc>
          <w:tcPr>
            <w:tcW w:type="dxa" w:w="4252"/>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说明</w:t>
            </w:r>
          </w:p>
        </w:tc>
        <w:tc>
          <w:tcPr>
            <w:tcW w:type="dxa" w:w="1587"/>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负责人</w:t>
            </w:r>
          </w:p>
        </w:tc>
        <w:tc>
          <w:tcPr>
            <w:tcW w:type="dxa" w:w="1360"/>
            <w:shd w:fill="4F81BD"/>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color w:val="FFFFFF"/>
                <w:sz w:val="17"/>
              </w:rPr>
              <w:t>截止时间</w:t>
            </w:r>
          </w:p>
        </w:tc>
      </w:tr>
      <w:tr>
        <w:trPr>
          <w:cantSplit/>
        </w:trPr>
        <w:tc>
          <w:tcPr>
            <w:tcW w:type="dxa" w:w="1984"/>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7"/>
              </w:rPr>
              <w:t>镜像元数据字段清单</w:t>
            </w:r>
          </w:p>
        </w:tc>
        <w:tc>
          <w:tcPr>
            <w:tcW w:type="dxa" w:w="425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7"/>
              </w:rPr>
              <w:t>确认镜像列表和模板配置所需的展示字段、必填字段和完整性校验规则。</w:t>
            </w:r>
          </w:p>
        </w:tc>
        <w:tc>
          <w:tcPr>
            <w:tcW w:type="dxa" w:w="158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7"/>
              </w:rPr>
              <w:t>产品/技术</w:t>
            </w:r>
          </w:p>
        </w:tc>
        <w:tc>
          <w:tcPr>
            <w:tcW w:type="dxa" w:w="136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sz w:val="17"/>
              </w:rPr>
              <w:t>第 1 周</w:t>
            </w:r>
          </w:p>
        </w:tc>
      </w:tr>
      <w:tr>
        <w:trPr>
          <w:cantSplit/>
        </w:trPr>
        <w:tc>
          <w:tcPr>
            <w:tcW w:type="dxa" w:w="1984"/>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镜像安全扫描标准</w:t>
            </w:r>
          </w:p>
        </w:tc>
        <w:tc>
          <w:tcPr>
            <w:tcW w:type="dxa" w:w="425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确认扫描服务、阻断级别、漏洞例外处理流程和上架准入标准。</w:t>
            </w:r>
          </w:p>
        </w:tc>
        <w:tc>
          <w:tcPr>
            <w:tcW w:type="dxa" w:w="158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安全/技术</w:t>
            </w:r>
          </w:p>
        </w:tc>
        <w:tc>
          <w:tcPr>
            <w:tcW w:type="dxa" w:w="136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第 1 周</w:t>
            </w:r>
          </w:p>
        </w:tc>
      </w:tr>
      <w:tr>
        <w:trPr>
          <w:cantSplit/>
        </w:trPr>
        <w:tc>
          <w:tcPr>
            <w:tcW w:type="dxa" w:w="1984"/>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模板规格字段</w:t>
            </w:r>
          </w:p>
        </w:tc>
        <w:tc>
          <w:tcPr>
            <w:tcW w:type="dxa" w:w="425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确认昇腾/鲲鹏模板所需规格字段、资源池字段和 Portal 展示字段。</w:t>
            </w:r>
          </w:p>
        </w:tc>
        <w:tc>
          <w:tcPr>
            <w:tcW w:type="dxa" w:w="158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产品/技术</w:t>
            </w:r>
          </w:p>
        </w:tc>
        <w:tc>
          <w:tcPr>
            <w:tcW w:type="dxa" w:w="136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第 1 周</w:t>
            </w:r>
          </w:p>
        </w:tc>
      </w:tr>
      <w:tr>
        <w:trPr>
          <w:cantSplit/>
        </w:trPr>
        <w:tc>
          <w:tcPr>
            <w:tcW w:type="dxa" w:w="1984"/>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7"/>
              </w:rPr>
              <w:t>白名单适用范围</w:t>
            </w:r>
          </w:p>
        </w:tc>
        <w:tc>
          <w:tcPr>
            <w:tcW w:type="dxa" w:w="425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确认白名单是否按资源类型、模板、CANN 版本或用户类型维度配置。</w:t>
            </w:r>
          </w:p>
        </w:tc>
        <w:tc>
          <w:tcPr>
            <w:tcW w:type="dxa" w:w="1587"/>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产品/运营</w:t>
            </w:r>
          </w:p>
        </w:tc>
        <w:tc>
          <w:tcPr>
            <w:tcW w:type="dxa" w:w="136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7"/>
              </w:rPr>
              <w:t>第 1 周</w:t>
            </w:r>
          </w:p>
        </w:tc>
      </w:tr>
      <w:tr>
        <w:trPr>
          <w:cantSplit/>
        </w:trPr>
        <w:tc>
          <w:tcPr>
            <w:tcW w:type="dxa" w:w="1984"/>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开发者空间迁移方案</w:t>
            </w:r>
          </w:p>
        </w:tc>
        <w:tc>
          <w:tcPr>
            <w:tcW w:type="dxa" w:w="425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确认迁移字段映射、迁移批次、执行窗口、验收口径和回滚预案。</w:t>
            </w:r>
          </w:p>
        </w:tc>
        <w:tc>
          <w:tcPr>
            <w:tcW w:type="dxa" w:w="158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开发者空间/产品/技术</w:t>
            </w:r>
          </w:p>
        </w:tc>
        <w:tc>
          <w:tcPr>
            <w:tcW w:type="dxa" w:w="136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第 1 周</w:t>
            </w:r>
          </w:p>
        </w:tc>
      </w:tr>
      <w:tr>
        <w:trPr>
          <w:cantSplit/>
        </w:trPr>
        <w:tc>
          <w:tcPr>
            <w:tcW w:type="dxa" w:w="1984"/>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积分商城接口契约</w:t>
            </w:r>
          </w:p>
        </w:tc>
        <w:tc>
          <w:tcPr>
            <w:tcW w:type="dxa" w:w="4252"/>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确认切换后的接口地址、鉴权方式、参数、返回值、错误码和联调环境。</w:t>
            </w:r>
          </w:p>
        </w:tc>
        <w:tc>
          <w:tcPr>
            <w:tcW w:type="dxa" w:w="1587"/>
            <w:vAlign w:val="center"/>
            <w:tcMar>
              <w:top w:w="80" w:type="dxa"/>
              <w:start w:w="120" w:type="dxa"/>
              <w:bottom w:w="80" w:type="dxa"/>
              <w:end w:w="120" w:type="dxa"/>
            </w:tcMar>
          </w:tcPr>
          <w:p>
            <w:pPr>
              <w:spacing w:before="0" w:after="0" w:line="264" w:lineRule="auto"/>
              <w:jc w:val="center"/>
            </w:pPr>
            <w:r/>
            <w:r>
              <w:rPr>
                <w:rFonts w:ascii="Hiragino Sans GB" w:hAnsi="Hiragino Sans GB" w:eastAsia="Hiragino Sans GB" w:cs="Hiragino Sans GB"/>
                <w:b w:val="0"/>
                <w:sz w:val="16"/>
              </w:rPr>
              <w:t>积分商城/技术</w:t>
            </w:r>
          </w:p>
        </w:tc>
        <w:tc>
          <w:tcPr>
            <w:tcW w:type="dxa" w:w="1360"/>
            <w:vAlign w:val="center"/>
            <w:tcMar>
              <w:top w:w="80" w:type="dxa"/>
              <w:start w:w="120" w:type="dxa"/>
              <w:bottom w:w="80" w:type="dxa"/>
              <w:end w:w="120" w:type="dxa"/>
            </w:tcMar>
          </w:tcPr>
          <w:p>
            <w:pPr>
              <w:spacing w:before="0" w:after="0" w:line="264" w:lineRule="auto"/>
            </w:pPr>
            <w:r/>
            <w:r>
              <w:rPr>
                <w:rFonts w:ascii="Hiragino Sans GB" w:hAnsi="Hiragino Sans GB" w:eastAsia="Hiragino Sans GB" w:cs="Hiragino Sans GB"/>
                <w:b w:val="0"/>
                <w:sz w:val="16"/>
              </w:rPr>
              <w:t>第 1 周</w:t>
            </w:r>
          </w:p>
        </w:tc>
      </w:tr>
    </w:tbl>
    <w:p>
      <w:pPr>
        <w:spacing w:after="40" w:before="0"/>
      </w:pPr>
    </w:p>
    <w:sectPr>
      <w:pgSz w:w="12240" w:h="15840"/>
      <w:pgMar w:top="913" w:right="1140" w:bottom="913" w:left="11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B4122C"/>
    <w:rsid w:val="17BE8A00"/>
    <w:rsid w:val="25BF9A41"/>
    <w:rsid w:val="2CDD89AA"/>
    <w:rsid w:val="35FD320E"/>
    <w:rsid w:val="3BBB8423"/>
    <w:rsid w:val="3C3982D0"/>
    <w:rsid w:val="4F926AC6"/>
    <w:rsid w:val="5C7F0AED"/>
    <w:rsid w:val="5E5B2634"/>
    <w:rsid w:val="5FF72EEB"/>
    <w:rsid w:val="63E4707E"/>
    <w:rsid w:val="6E58B3C7"/>
    <w:rsid w:val="6FED8801"/>
    <w:rsid w:val="77DE8B1A"/>
    <w:rsid w:val="7BFFB4BF"/>
    <w:rsid w:val="7CED8687"/>
    <w:rsid w:val="7EBF18ED"/>
    <w:rsid w:val="7F9E91D0"/>
    <w:rsid w:val="7FCC5871"/>
    <w:rsid w:val="7FFF547B"/>
    <w:rsid w:val="8BA4CDCA"/>
    <w:rsid w:val="9B9708C8"/>
    <w:rsid w:val="BCFFFCF2"/>
    <w:rsid w:val="BDF52DB0"/>
    <w:rsid w:val="C27526A7"/>
    <w:rsid w:val="C7DDD046"/>
    <w:rsid w:val="D5B4990E"/>
    <w:rsid w:val="DC77EB11"/>
    <w:rsid w:val="DE3F0FC7"/>
    <w:rsid w:val="DEFA0348"/>
    <w:rsid w:val="DEFB97F9"/>
    <w:rsid w:val="DF770795"/>
    <w:rsid w:val="EFEFA523"/>
    <w:rsid w:val="EFFFA0BD"/>
    <w:rsid w:val="F36F2900"/>
    <w:rsid w:val="F6FF6913"/>
    <w:rsid w:val="FADFEF6B"/>
    <w:rsid w:val="FB49EEFC"/>
    <w:rsid w:val="FCED6B3A"/>
    <w:rsid w:val="FD1F3218"/>
    <w:rsid w:val="FD2BE489"/>
    <w:rsid w:val="FDA3A58C"/>
    <w:rsid w:val="FDDFEED3"/>
    <w:rsid w:val="FE796F6E"/>
    <w:rsid w:val="FEE7B26B"/>
    <w:rsid w:val="FF3F4ED5"/>
    <w:rsid w:val="FFEF48C6"/>
    <w:rsid w:val="FFFF80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Hiragino Sans GB" w:hAnsi="Hiragino Sans GB" w:eastAsia="Hiragino Sans GB" w:cstheme="minorBidi" w:cs="Hiragino Sans GB"/>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ascii="Hiragino Sans GB" w:hAnsi="Hiragino Sans GB" w:eastAsia="Hiragino Sans GB" w:cs="Hiragino Sans GB"/>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ascii="Hiragino Sans GB" w:hAnsi="Hiragino Sans GB" w:eastAsia="Hiragino Sans GB" w:cs="Hiragino Sans GB"/>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ascii="Hiragino Sans GB" w:hAnsi="Hiragino Sans GB" w:eastAsia="Hiragino Sans GB" w:cs="Hiragino Sans GB"/>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ascii="Hiragino Sans GB" w:hAnsi="Hiragino Sans GB" w:eastAsia="Hiragino Sans GB" w:cs="Hiragino Sans GB"/>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ascii="Hiragino Sans GB" w:hAnsi="Hiragino Sans GB" w:eastAsia="Hiragino Sans GB" w:cs="Hiragino Sans GB"/>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ascii="Hiragino Sans GB" w:hAnsi="Hiragino Sans GB" w:eastAsia="Hiragino Sans GB" w:cs="Hiragino Sans GB"/>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ascii="Hiragino Sans GB" w:hAnsi="Hiragino Sans GB" w:eastAsia="Hiragino Sans GB" w:cs="Hiragino Sans GB"/>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ascii="Hiragino Sans GB" w:hAnsi="Hiragino Sans GB" w:eastAsia="Hiragino Sans GB" w:cs="Hiragino Sans GB"/>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ascii="Hiragino Sans GB" w:hAnsi="Hiragino Sans GB" w:eastAsia="Hiragino Sans GB" w:cs="Hiragino Sans GB"/>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rPr>
      <w:rFonts w:ascii="Hiragino Sans GB" w:hAnsi="Hiragino Sans GB" w:eastAsia="Hiragino Sans GB" w:cs="Hiragino Sans GB"/>
    </w:rPr>
  </w:style>
  <w:style w:type="table" w:default="1" w:styleId="33">
    <w:name w:val="Normal Table"/>
    <w:semiHidden/>
    <w:unhideWhenUsed/>
    <w:uiPriority w:val="99"/>
    <w:rPr>
      <w:rFonts w:ascii="Hiragino Sans GB" w:hAnsi="Hiragino Sans GB" w:eastAsia="Hiragino Sans GB" w:cs="Hiragino Sans GB"/>
    </w:rPr>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Hiragino Sans GB" w:hAnsi="Hiragino Sans GB" w:eastAsiaTheme="minorEastAsia" w:cstheme="minorBidi" w:eastAsia="Hiragino Sans GB" w:cs="Hiragino Sans GB"/>
      <w:sz w:val="20"/>
      <w:szCs w:val="20"/>
      <w:lang w:val="en-US" w:eastAsia="en-US" w:bidi="ar-SA"/>
    </w:rPr>
  </w:style>
  <w:style w:type="paragraph" w:styleId="12">
    <w:name w:val="List 3"/>
    <w:basedOn w:val="1"/>
    <w:unhideWhenUsed/>
    <w:uiPriority w:val="99"/>
    <w:pPr>
      <w:ind w:left="1080" w:hanging="360"/>
      <w:contextualSpacing/>
    </w:pPr>
    <w:rPr>
      <w:rFonts w:ascii="Hiragino Sans GB" w:hAnsi="Hiragino Sans GB" w:eastAsia="Hiragino Sans GB" w:cs="Hiragino Sans GB"/>
    </w:rPr>
  </w:style>
  <w:style w:type="paragraph" w:styleId="13">
    <w:name w:val="List Number 2"/>
    <w:basedOn w:val="1"/>
    <w:unhideWhenUsed/>
    <w:uiPriority w:val="99"/>
    <w:pPr>
      <w:numPr>
        <w:ilvl w:val="0"/>
        <w:numId w:val="1"/>
      </w:numPr>
      <w:contextualSpacing/>
    </w:pPr>
    <w:rPr>
      <w:rFonts w:ascii="Hiragino Sans GB" w:hAnsi="Hiragino Sans GB" w:eastAsia="Hiragino Sans GB" w:cs="Hiragino Sans GB"/>
    </w:rPr>
  </w:style>
  <w:style w:type="paragraph" w:styleId="14">
    <w:name w:val="List Number"/>
    <w:basedOn w:val="1"/>
    <w:unhideWhenUsed/>
    <w:uiPriority w:val="99"/>
    <w:pPr>
      <w:numPr>
        <w:ilvl w:val="0"/>
        <w:numId w:val="2"/>
      </w:numPr>
      <w:contextualSpacing/>
    </w:pPr>
    <w:rPr>
      <w:rFonts w:ascii="Hiragino Sans GB" w:hAnsi="Hiragino Sans GB" w:eastAsia="Hiragino Sans GB" w:cs="Hiragino Sans GB"/>
    </w:rPr>
  </w:style>
  <w:style w:type="paragraph" w:styleId="15">
    <w:name w:val="caption"/>
    <w:basedOn w:val="1"/>
    <w:next w:val="1"/>
    <w:semiHidden/>
    <w:unhideWhenUsed/>
    <w:qFormat/>
    <w:uiPriority w:val="35"/>
    <w:pPr>
      <w:spacing w:line="240" w:lineRule="auto"/>
    </w:pPr>
    <w:rPr>
      <w:rFonts w:ascii="Hiragino Sans GB" w:hAnsi="Hiragino Sans GB" w:eastAsia="Hiragino Sans GB" w:cs="Hiragino Sans GB"/>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Hiragino Sans GB" w:hAnsi="Hiragino Sans GB" w:eastAsia="Hiragino Sans GB" w:cs="Hiragino Sans GB"/>
    </w:rPr>
  </w:style>
  <w:style w:type="paragraph" w:styleId="17">
    <w:name w:val="annotation text"/>
    <w:basedOn w:val="1"/>
    <w:semiHidden/>
    <w:unhideWhenUsed/>
    <w:uiPriority w:val="99"/>
    <w:pPr>
      <w:jc w:val="left"/>
    </w:pPr>
    <w:rPr>
      <w:rFonts w:ascii="Hiragino Sans GB" w:hAnsi="Hiragino Sans GB" w:eastAsia="Hiragino Sans GB" w:cs="Hiragino Sans GB"/>
    </w:rPr>
  </w:style>
  <w:style w:type="paragraph" w:styleId="18">
    <w:name w:val="Body Text 3"/>
    <w:basedOn w:val="1"/>
    <w:link w:val="147"/>
    <w:unhideWhenUsed/>
    <w:uiPriority w:val="99"/>
    <w:pPr>
      <w:spacing w:after="120"/>
    </w:pPr>
    <w:rPr>
      <w:rFonts w:ascii="Hiragino Sans GB" w:hAnsi="Hiragino Sans GB" w:eastAsia="Hiragino Sans GB" w:cs="Hiragino Sans GB"/>
      <w:sz w:val="16"/>
      <w:szCs w:val="16"/>
    </w:rPr>
  </w:style>
  <w:style w:type="paragraph" w:styleId="19">
    <w:name w:val="List Bullet 3"/>
    <w:basedOn w:val="1"/>
    <w:unhideWhenUsed/>
    <w:uiPriority w:val="99"/>
    <w:pPr>
      <w:numPr>
        <w:ilvl w:val="0"/>
        <w:numId w:val="4"/>
      </w:numPr>
      <w:contextualSpacing/>
    </w:pPr>
    <w:rPr>
      <w:rFonts w:ascii="Hiragino Sans GB" w:hAnsi="Hiragino Sans GB" w:eastAsia="Hiragino Sans GB" w:cs="Hiragino Sans GB"/>
    </w:rPr>
  </w:style>
  <w:style w:type="paragraph" w:styleId="20">
    <w:name w:val="Body Text"/>
    <w:basedOn w:val="1"/>
    <w:link w:val="145"/>
    <w:unhideWhenUsed/>
    <w:uiPriority w:val="99"/>
    <w:pPr>
      <w:spacing w:after="120"/>
    </w:pPr>
    <w:rPr>
      <w:rFonts w:ascii="Hiragino Sans GB" w:hAnsi="Hiragino Sans GB" w:eastAsia="Hiragino Sans GB" w:cs="Hiragino Sans GB"/>
    </w:rPr>
  </w:style>
  <w:style w:type="paragraph" w:styleId="21">
    <w:name w:val="List Number 3"/>
    <w:basedOn w:val="1"/>
    <w:unhideWhenUsed/>
    <w:uiPriority w:val="99"/>
    <w:pPr>
      <w:numPr>
        <w:ilvl w:val="0"/>
        <w:numId w:val="5"/>
      </w:numPr>
      <w:contextualSpacing/>
    </w:pPr>
    <w:rPr>
      <w:rFonts w:ascii="Hiragino Sans GB" w:hAnsi="Hiragino Sans GB" w:eastAsia="Hiragino Sans GB" w:cs="Hiragino Sans GB"/>
    </w:rPr>
  </w:style>
  <w:style w:type="paragraph" w:styleId="22">
    <w:name w:val="List 2"/>
    <w:basedOn w:val="1"/>
    <w:unhideWhenUsed/>
    <w:uiPriority w:val="99"/>
    <w:pPr>
      <w:ind w:left="720" w:hanging="360"/>
      <w:contextualSpacing/>
    </w:pPr>
    <w:rPr>
      <w:rFonts w:ascii="Hiragino Sans GB" w:hAnsi="Hiragino Sans GB" w:eastAsia="Hiragino Sans GB" w:cs="Hiragino Sans GB"/>
    </w:rPr>
  </w:style>
  <w:style w:type="paragraph" w:styleId="23">
    <w:name w:val="List Continue"/>
    <w:basedOn w:val="1"/>
    <w:unhideWhenUsed/>
    <w:uiPriority w:val="99"/>
    <w:pPr>
      <w:spacing w:after="120"/>
      <w:ind w:left="360"/>
      <w:contextualSpacing/>
    </w:pPr>
    <w:rPr>
      <w:rFonts w:ascii="Hiragino Sans GB" w:hAnsi="Hiragino Sans GB" w:eastAsia="Hiragino Sans GB" w:cs="Hiragino Sans GB"/>
    </w:rPr>
  </w:style>
  <w:style w:type="paragraph" w:styleId="24">
    <w:name w:val="List Bullet 2"/>
    <w:basedOn w:val="1"/>
    <w:unhideWhenUsed/>
    <w:uiPriority w:val="99"/>
    <w:pPr>
      <w:numPr>
        <w:ilvl w:val="0"/>
        <w:numId w:val="6"/>
      </w:numPr>
      <w:contextualSpacing/>
    </w:pPr>
    <w:rPr>
      <w:rFonts w:ascii="Hiragino Sans GB" w:hAnsi="Hiragino Sans GB" w:eastAsia="Hiragino Sans GB" w:cs="Hiragino Sans GB"/>
    </w:rPr>
  </w:style>
  <w:style w:type="paragraph" w:styleId="25">
    <w:name w:val="footer"/>
    <w:basedOn w:val="1"/>
    <w:link w:val="137"/>
    <w:unhideWhenUsed/>
    <w:uiPriority w:val="99"/>
    <w:pPr>
      <w:tabs>
        <w:tab w:val="center" w:pos="4680"/>
        <w:tab w:val="right" w:pos="9360"/>
      </w:tabs>
      <w:spacing w:after="0" w:line="240" w:lineRule="auto"/>
    </w:pPr>
    <w:rPr>
      <w:rFonts w:ascii="Hiragino Sans GB" w:hAnsi="Hiragino Sans GB" w:eastAsia="Hiragino Sans GB" w:cs="Hiragino Sans GB"/>
    </w:rPr>
  </w:style>
  <w:style w:type="paragraph" w:styleId="26">
    <w:name w:val="header"/>
    <w:basedOn w:val="1"/>
    <w:link w:val="136"/>
    <w:unhideWhenUsed/>
    <w:uiPriority w:val="99"/>
    <w:pPr>
      <w:tabs>
        <w:tab w:val="center" w:pos="4680"/>
        <w:tab w:val="right" w:pos="9360"/>
      </w:tabs>
      <w:spacing w:after="0" w:line="240" w:lineRule="auto"/>
    </w:pPr>
    <w:rPr>
      <w:rFonts w:ascii="Hiragino Sans GB" w:hAnsi="Hiragino Sans GB" w:eastAsia="Hiragino Sans GB" w:cs="Hiragino Sans GB"/>
    </w:rPr>
  </w:style>
  <w:style w:type="paragraph" w:styleId="27">
    <w:name w:val="Subtitle"/>
    <w:basedOn w:val="1"/>
    <w:next w:val="1"/>
    <w:link w:val="143"/>
    <w:qFormat/>
    <w:uiPriority w:val="11"/>
    <w:rPr>
      <w:rFonts w:asciiTheme="majorHAnsi" w:hAnsiTheme="majorHAnsi" w:eastAsiaTheme="majorEastAsia" w:cstheme="majorBidi" w:ascii="Hiragino Sans GB" w:hAnsi="Hiragino Sans GB" w:eastAsia="Hiragino Sans GB" w:cs="Hiragino Sans GB"/>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rPr>
      <w:rFonts w:ascii="Hiragino Sans GB" w:hAnsi="Hiragino Sans GB" w:eastAsia="Hiragino Sans GB" w:cs="Hiragino Sans GB"/>
    </w:rPr>
  </w:style>
  <w:style w:type="paragraph" w:styleId="29">
    <w:name w:val="Body Text 2"/>
    <w:basedOn w:val="1"/>
    <w:link w:val="146"/>
    <w:unhideWhenUsed/>
    <w:uiPriority w:val="99"/>
    <w:pPr>
      <w:spacing w:after="120" w:line="480" w:lineRule="auto"/>
    </w:pPr>
    <w:rPr>
      <w:rFonts w:ascii="Hiragino Sans GB" w:hAnsi="Hiragino Sans GB" w:eastAsia="Hiragino Sans GB" w:cs="Hiragino Sans GB"/>
    </w:rPr>
  </w:style>
  <w:style w:type="paragraph" w:styleId="30">
    <w:name w:val="List Continue 2"/>
    <w:basedOn w:val="1"/>
    <w:unhideWhenUsed/>
    <w:uiPriority w:val="99"/>
    <w:pPr>
      <w:spacing w:after="120"/>
      <w:ind w:left="720"/>
      <w:contextualSpacing/>
    </w:pPr>
    <w:rPr>
      <w:rFonts w:ascii="Hiragino Sans GB" w:hAnsi="Hiragino Sans GB" w:eastAsia="Hiragino Sans GB" w:cs="Hiragino Sans GB"/>
    </w:rPr>
  </w:style>
  <w:style w:type="paragraph" w:styleId="31">
    <w:name w:val="List Continue 3"/>
    <w:basedOn w:val="1"/>
    <w:unhideWhenUsed/>
    <w:uiPriority w:val="99"/>
    <w:pPr>
      <w:spacing w:after="120"/>
      <w:ind w:left="1080"/>
      <w:contextualSpacing/>
    </w:pPr>
    <w:rPr>
      <w:rFonts w:ascii="Hiragino Sans GB" w:hAnsi="Hiragino Sans GB" w:eastAsia="Hiragino Sans GB" w:cs="Hiragino Sans GB"/>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ascii="Hiragino Sans GB" w:hAnsi="Hiragino Sans GB" w:eastAsia="Hiragino Sans GB" w:cs="Hiragino Sans GB"/>
      <w:color w:val="17375E" w:themeColor="text2" w:themeShade="BF"/>
      <w:spacing w:val="5"/>
      <w:kern w:val="28"/>
      <w:sz w:val="52"/>
      <w:szCs w:val="52"/>
    </w:rPr>
  </w:style>
  <w:style w:type="table" w:styleId="34">
    <w:name w:val="Table Grid"/>
    <w:basedOn w:val="33"/>
    <w:uiPriority w:val="59"/>
    <w:pPr>
      <w:spacing w:after="0" w:line="240" w:lineRule="auto"/>
    </w:pPr>
    <w:rPr>
      <w:rFonts w:ascii="Hiragino Sans GB" w:hAnsi="Hiragino Sans GB" w:eastAsia="Hiragino Sans GB" w:cs="Hiragino Sans 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rFonts w:ascii="Hiragino Sans GB" w:hAnsi="Hiragino Sans GB" w:eastAsia="Hiragino Sans GB" w:cs="Hiragino Sans GB"/>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rFonts w:ascii="Hiragino Sans GB" w:hAnsi="Hiragino Sans GB" w:eastAsia="Hiragino Sans GB" w:cs="Hiragino Sans GB"/>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rFonts w:ascii="Hiragino Sans GB" w:hAnsi="Hiragino Sans GB" w:eastAsia="Hiragino Sans GB" w:cs="Hiragino Sans GB"/>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rFonts w:ascii="Hiragino Sans GB" w:hAnsi="Hiragino Sans GB" w:eastAsia="Hiragino Sans GB" w:cs="Hiragino Sans GB"/>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rFonts w:ascii="Hiragino Sans GB" w:hAnsi="Hiragino Sans GB" w:eastAsia="Hiragino Sans GB" w:cs="Hiragino Sans GB"/>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rFonts w:ascii="Hiragino Sans GB" w:hAnsi="Hiragino Sans GB" w:eastAsia="Hiragino Sans GB" w:cs="Hiragino Sans GB"/>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rFonts w:ascii="Hiragino Sans GB" w:hAnsi="Hiragino Sans GB" w:eastAsia="Hiragino Sans GB" w:cs="Hiragino Sans GB"/>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rPr>
      <w:rFonts w:ascii="Hiragino Sans GB" w:hAnsi="Hiragino Sans GB" w:eastAsia="Hiragino Sans GB" w:cs="Hiragino Sans GB"/>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rPr>
      <w:rFonts w:ascii="Hiragino Sans GB" w:hAnsi="Hiragino Sans GB" w:eastAsia="Hiragino Sans GB" w:cs="Hiragino Sans GB"/>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rPr>
      <w:rFonts w:ascii="Hiragino Sans GB" w:hAnsi="Hiragino Sans GB" w:eastAsia="Hiragino Sans GB" w:cs="Hiragino Sans GB"/>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rPr>
      <w:rFonts w:ascii="Hiragino Sans GB" w:hAnsi="Hiragino Sans GB" w:eastAsia="Hiragino Sans GB" w:cs="Hiragino Sans GB"/>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rPr>
      <w:rFonts w:ascii="Hiragino Sans GB" w:hAnsi="Hiragino Sans GB" w:eastAsia="Hiragino Sans GB" w:cs="Hiragino Sans GB"/>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rPr>
      <w:rFonts w:ascii="Hiragino Sans GB" w:hAnsi="Hiragino Sans GB" w:eastAsia="Hiragino Sans GB" w:cs="Hiragino Sans GB"/>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rPr>
      <w:rFonts w:ascii="Hiragino Sans GB" w:hAnsi="Hiragino Sans GB" w:eastAsia="Hiragino Sans GB" w:cs="Hiragino Sans GB"/>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rPr>
      <w:rFonts w:ascii="Hiragino Sans GB" w:hAnsi="Hiragino Sans GB" w:eastAsia="Hiragino Sans GB" w:cs="Hiragino Sans GB"/>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rPr>
      <w:rFonts w:ascii="Hiragino Sans GB" w:hAnsi="Hiragino Sans GB" w:eastAsia="Hiragino Sans GB" w:cs="Hiragino Sans GB"/>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rPr>
      <w:rFonts w:ascii="Hiragino Sans GB" w:hAnsi="Hiragino Sans GB" w:eastAsia="Hiragino Sans GB" w:cs="Hiragino Sans GB"/>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rPr>
      <w:rFonts w:ascii="Hiragino Sans GB" w:hAnsi="Hiragino Sans GB" w:eastAsia="Hiragino Sans GB" w:cs="Hiragino Sans GB"/>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rPr>
      <w:rFonts w:ascii="Hiragino Sans GB" w:hAnsi="Hiragino Sans GB" w:eastAsia="Hiragino Sans GB" w:cs="Hiragino Sans GB"/>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rPr>
      <w:rFonts w:ascii="Hiragino Sans GB" w:hAnsi="Hiragino Sans GB" w:eastAsia="Hiragino Sans GB" w:cs="Hiragino Sans GB"/>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rPr>
      <w:rFonts w:ascii="Hiragino Sans GB" w:hAnsi="Hiragino Sans GB" w:eastAsia="Hiragino Sans GB" w:cs="Hiragino Sans GB"/>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rPr>
      <w:rFonts w:ascii="Hiragino Sans GB" w:hAnsi="Hiragino Sans GB" w:eastAsia="Hiragino Sans GB" w:cs="Hiragino Sans GB"/>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rPr>
      <w:rFonts w:ascii="Hiragino Sans GB" w:hAnsi="Hiragino Sans GB" w:eastAsia="Hiragino Sans GB" w:cs="Hiragino Sans GB"/>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rPr>
      <w:rFonts w:ascii="Hiragino Sans GB" w:hAnsi="Hiragino Sans GB" w:eastAsia="Hiragino Sans GB" w:cs="Hiragino Sans GB"/>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rPr>
      <w:rFonts w:ascii="Hiragino Sans GB" w:hAnsi="Hiragino Sans GB" w:eastAsia="Hiragino Sans GB" w:cs="Hiragino Sans GB"/>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rPr>
      <w:rFonts w:ascii="Hiragino Sans GB" w:hAnsi="Hiragino Sans GB" w:eastAsia="Hiragino Sans GB" w:cs="Hiragino Sans GB"/>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rPr>
      <w:rFonts w:ascii="Hiragino Sans GB" w:hAnsi="Hiragino Sans GB" w:eastAsia="Hiragino Sans GB" w:cs="Hiragino Sans GB"/>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rPr>
      <w:rFonts w:ascii="Hiragino Sans GB" w:hAnsi="Hiragino Sans GB" w:eastAsia="Hiragino Sans GB" w:cs="Hiragino Sans GB"/>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rPr>
      <w:rFonts w:ascii="Hiragino Sans GB" w:hAnsi="Hiragino Sans GB" w:eastAsia="Hiragino Sans GB" w:cs="Hiragino Sans GB"/>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rPr>
      <w:rFonts w:ascii="Hiragino Sans GB" w:hAnsi="Hiragino Sans GB" w:eastAsia="Hiragino Sans GB" w:cs="Hiragino Sans GB"/>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rPr>
      <w:rFonts w:ascii="Hiragino Sans GB" w:hAnsi="Hiragino Sans GB" w:eastAsia="Hiragino Sans GB" w:cs="Hiragino Sans GB"/>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rPr>
      <w:rFonts w:ascii="Hiragino Sans GB" w:hAnsi="Hiragino Sans GB" w:eastAsia="Hiragino Sans GB" w:cs="Hiragino Sans GB"/>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rPr>
      <w:rFonts w:ascii="Hiragino Sans GB" w:hAnsi="Hiragino Sans GB" w:eastAsia="Hiragino Sans GB" w:cs="Hiragino Sans GB"/>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rPr>
      <w:rFonts w:ascii="Hiragino Sans GB" w:hAnsi="Hiragino Sans GB" w:eastAsia="Hiragino Sans GB" w:cs="Hiragino Sans GB"/>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rPr>
      <w:rFonts w:ascii="Hiragino Sans GB" w:hAnsi="Hiragino Sans GB" w:eastAsia="Hiragino Sans GB" w:cs="Hiragino Sans GB"/>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rPr>
      <w:rFonts w:ascii="Hiragino Sans GB" w:hAnsi="Hiragino Sans GB" w:eastAsia="Hiragino Sans GB" w:cs="Hiragino Sans GB"/>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rPr>
      <w:rFonts w:ascii="Hiragino Sans GB" w:hAnsi="Hiragino Sans GB" w:eastAsia="Hiragino Sans GB" w:cs="Hiragino Sans GB"/>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rPr>
      <w:rFonts w:ascii="Hiragino Sans GB" w:hAnsi="Hiragino Sans GB" w:eastAsia="Hiragino Sans GB" w:cs="Hiragino Sans GB"/>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rPr>
      <w:rFonts w:ascii="Hiragino Sans GB" w:hAnsi="Hiragino Sans GB" w:eastAsia="Hiragino Sans GB" w:cs="Hiragino Sans GB"/>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rPr>
      <w:rFonts w:ascii="Hiragino Sans GB" w:hAnsi="Hiragino Sans GB" w:eastAsia="Hiragino Sans GB" w:cs="Hiragino Sans GB"/>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rPr>
      <w:rFonts w:ascii="Hiragino Sans GB" w:hAnsi="Hiragino Sans GB" w:eastAsia="Hiragino Sans GB" w:cs="Hiragino Sans GB"/>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rPr>
      <w:rFonts w:ascii="Hiragino Sans GB" w:hAnsi="Hiragino Sans GB" w:eastAsia="Hiragino Sans GB" w:cs="Hiragino Sans GB"/>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ascii="Hiragino Sans GB" w:hAnsi="Hiragino Sans GB" w:eastAsia="Hiragino Sans GB" w:cs="Hiragino Sans GB"/>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rPr>
      <w:rFonts w:ascii="Hiragino Sans GB" w:hAnsi="Hiragino Sans GB" w:eastAsia="Hiragino Sans GB" w:cs="Hiragino Sans GB"/>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rPr>
      <w:rFonts w:ascii="Hiragino Sans GB" w:hAnsi="Hiragino Sans GB" w:eastAsia="Hiragino Sans GB" w:cs="Hiragino Sans GB"/>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rPr>
      <w:rFonts w:ascii="Hiragino Sans GB" w:hAnsi="Hiragino Sans GB" w:eastAsia="Hiragino Sans GB" w:cs="Hiragino Sans GB"/>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rPr>
      <w:rFonts w:ascii="Hiragino Sans GB" w:hAnsi="Hiragino Sans GB" w:eastAsia="Hiragino Sans GB" w:cs="Hiragino Sans GB"/>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rPr>
      <w:rFonts w:ascii="Hiragino Sans GB" w:hAnsi="Hiragino Sans GB" w:eastAsia="Hiragino Sans GB" w:cs="Hiragino Sans GB"/>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rPr>
      <w:rFonts w:ascii="Hiragino Sans GB" w:hAnsi="Hiragino Sans GB" w:eastAsia="Hiragino Sans GB" w:cs="Hiragino Sans GB"/>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rPr>
      <w:rFonts w:ascii="Hiragino Sans GB" w:hAnsi="Hiragino Sans GB" w:eastAsia="Hiragino Sans GB" w:cs="Hiragino Sans GB"/>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rFonts w:ascii="Hiragino Sans GB" w:hAnsi="Hiragino Sans GB" w:eastAsia="Hiragino Sans GB" w:cs="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rFonts w:ascii="Hiragino Sans GB" w:hAnsi="Hiragino Sans GB" w:eastAsia="Hiragino Sans GB" w:cs="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rFonts w:ascii="Hiragino Sans GB" w:hAnsi="Hiragino Sans GB" w:eastAsia="Hiragino Sans GB" w:cs="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rFonts w:ascii="Hiragino Sans GB" w:hAnsi="Hiragino Sans GB" w:eastAsia="Hiragino Sans GB" w:cs="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rFonts w:ascii="Hiragino Sans GB" w:hAnsi="Hiragino Sans GB" w:eastAsia="Hiragino Sans GB" w:cs="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rFonts w:ascii="Hiragino Sans GB" w:hAnsi="Hiragino Sans GB" w:eastAsia="Hiragino Sans GB" w:cs="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rFonts w:ascii="Hiragino Sans GB" w:hAnsi="Hiragino Sans GB" w:eastAsia="Hiragino Sans GB" w:cs="Hiragino Sans GB"/>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rFonts w:ascii="Hiragino Sans GB" w:hAnsi="Hiragino Sans GB" w:eastAsia="Hiragino Sans GB" w:cs="Hiragino Sans GB"/>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rFonts w:ascii="Hiragino Sans GB" w:hAnsi="Hiragino Sans GB" w:eastAsia="Hiragino Sans GB" w:cs="Hiragino Sans GB"/>
      <w:b/>
      <w:bCs/>
    </w:rPr>
  </w:style>
  <w:style w:type="character" w:styleId="135">
    <w:name w:val="Emphasis"/>
    <w:basedOn w:val="133"/>
    <w:qFormat/>
    <w:uiPriority w:val="20"/>
    <w:rPr>
      <w:rFonts w:ascii="Hiragino Sans GB" w:hAnsi="Hiragino Sans GB" w:eastAsia="Hiragino Sans GB" w:cs="Hiragino Sans GB"/>
      <w:i/>
      <w:iCs/>
    </w:rPr>
  </w:style>
  <w:style w:type="character" w:customStyle="1" w:styleId="136">
    <w:name w:val="Header Char"/>
    <w:basedOn w:val="133"/>
    <w:link w:val="26"/>
    <w:uiPriority w:val="99"/>
    <w:rPr>
      <w:rFonts w:ascii="Hiragino Sans GB" w:hAnsi="Hiragino Sans GB" w:eastAsia="Hiragino Sans GB" w:cs="Hiragino Sans GB"/>
    </w:rPr>
  </w:style>
  <w:style w:type="character" w:customStyle="1" w:styleId="137">
    <w:name w:val="Footer Char"/>
    <w:basedOn w:val="133"/>
    <w:link w:val="25"/>
    <w:uiPriority w:val="99"/>
    <w:rPr>
      <w:rFonts w:ascii="Hiragino Sans GB" w:hAnsi="Hiragino Sans GB" w:eastAsia="Hiragino Sans GB" w:cs="Hiragino Sans GB"/>
    </w:rPr>
  </w:style>
  <w:style w:type="paragraph" w:styleId="138">
    <w:name w:val="No Spacing"/>
    <w:qFormat/>
    <w:uiPriority w:val="1"/>
    <w:pPr>
      <w:spacing w:after="0" w:line="240" w:lineRule="auto"/>
    </w:pPr>
    <w:rPr>
      <w:rFonts w:asciiTheme="minorHAnsi" w:hAnsiTheme="minorHAnsi" w:eastAsiaTheme="minorEastAsia" w:cstheme="minorBidi" w:ascii="Hiragino Sans GB" w:hAnsi="Hiragino Sans GB" w:eastAsia="Hiragino Sans GB" w:cs="Hiragino Sans GB"/>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ascii="Hiragino Sans GB" w:hAnsi="Hiragino Sans GB" w:eastAsia="Hiragino Sans GB" w:cs="Hiragino Sans GB"/>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ascii="Hiragino Sans GB" w:hAnsi="Hiragino Sans GB" w:eastAsia="Hiragino Sans GB" w:cs="Hiragino Sans GB"/>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ascii="Hiragino Sans GB" w:hAnsi="Hiragino Sans GB" w:eastAsia="Hiragino Sans GB" w:cs="Hiragino Sans GB"/>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ascii="Hiragino Sans GB" w:hAnsi="Hiragino Sans GB" w:eastAsia="Hiragino Sans GB" w:cs="Hiragino Sans GB"/>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ascii="Hiragino Sans GB" w:hAnsi="Hiragino Sans GB" w:eastAsia="Hiragino Sans GB" w:cs="Hiragino Sans GB"/>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rPr>
      <w:rFonts w:ascii="Hiragino Sans GB" w:hAnsi="Hiragino Sans GB" w:eastAsia="Hiragino Sans GB" w:cs="Hiragino Sans GB"/>
    </w:rPr>
  </w:style>
  <w:style w:type="character" w:customStyle="1" w:styleId="145">
    <w:name w:val="Body Text Char"/>
    <w:basedOn w:val="133"/>
    <w:link w:val="20"/>
    <w:uiPriority w:val="99"/>
    <w:rPr>
      <w:rFonts w:ascii="Hiragino Sans GB" w:hAnsi="Hiragino Sans GB" w:eastAsia="Hiragino Sans GB" w:cs="Hiragino Sans GB"/>
    </w:rPr>
  </w:style>
  <w:style w:type="character" w:customStyle="1" w:styleId="146">
    <w:name w:val="Body Text 2 Char"/>
    <w:basedOn w:val="133"/>
    <w:link w:val="29"/>
    <w:uiPriority w:val="99"/>
    <w:rPr>
      <w:rFonts w:ascii="Hiragino Sans GB" w:hAnsi="Hiragino Sans GB" w:eastAsia="Hiragino Sans GB" w:cs="Hiragino Sans GB"/>
    </w:rPr>
  </w:style>
  <w:style w:type="character" w:customStyle="1" w:styleId="147">
    <w:name w:val="Body Text 3 Char"/>
    <w:basedOn w:val="133"/>
    <w:link w:val="18"/>
    <w:uiPriority w:val="99"/>
    <w:rPr>
      <w:rFonts w:ascii="Hiragino Sans GB" w:hAnsi="Hiragino Sans GB" w:eastAsia="Hiragino Sans GB" w:cs="Hiragino Sans GB"/>
      <w:sz w:val="16"/>
      <w:szCs w:val="16"/>
    </w:rPr>
  </w:style>
  <w:style w:type="character" w:customStyle="1" w:styleId="148">
    <w:name w:val="Macro Text Char"/>
    <w:basedOn w:val="133"/>
    <w:link w:val="2"/>
    <w:uiPriority w:val="99"/>
    <w:rPr>
      <w:rFonts w:ascii="Hiragino Sans GB" w:hAnsi="Hiragino Sans GB" w:eastAsia="Hiragino Sans GB" w:cs="Hiragino Sans GB"/>
      <w:sz w:val="20"/>
      <w:szCs w:val="20"/>
    </w:rPr>
  </w:style>
  <w:style w:type="paragraph" w:styleId="149">
    <w:name w:val="Quote"/>
    <w:basedOn w:val="1"/>
    <w:next w:val="1"/>
    <w:link w:val="150"/>
    <w:qFormat/>
    <w:uiPriority w:val="29"/>
    <w:rPr>
      <w:rFonts w:ascii="Hiragino Sans GB" w:hAnsi="Hiragino Sans GB" w:eastAsia="Hiragino Sans GB" w:cs="Hiragino Sans GB"/>
      <w:i/>
      <w:iCs/>
      <w:color w:val="000000" w:themeColor="text1"/>
      <w14:textFill>
        <w14:solidFill>
          <w14:schemeClr w14:val="tx1"/>
        </w14:solidFill>
      </w14:textFill>
    </w:rPr>
  </w:style>
  <w:style w:type="character" w:customStyle="1" w:styleId="150">
    <w:name w:val="Quote Char"/>
    <w:basedOn w:val="133"/>
    <w:link w:val="149"/>
    <w:uiPriority w:val="29"/>
    <w:rPr>
      <w:rFonts w:ascii="Hiragino Sans GB" w:hAnsi="Hiragino Sans GB" w:eastAsia="Hiragino Sans GB" w:cs="Hiragino Sans GB"/>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ascii="Hiragino Sans GB" w:hAnsi="Hiragino Sans GB" w:eastAsia="Hiragino Sans GB" w:cs="Hiragino Sans GB"/>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ascii="Hiragino Sans GB" w:hAnsi="Hiragino Sans GB" w:eastAsia="Hiragino Sans GB" w:cs="Hiragino Sans GB"/>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ascii="Hiragino Sans GB" w:hAnsi="Hiragino Sans GB" w:eastAsia="Hiragino Sans GB" w:cs="Hiragino Sans GB"/>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ascii="Hiragino Sans GB" w:hAnsi="Hiragino Sans GB" w:eastAsia="Hiragino Sans GB" w:cs="Hiragino Sans GB"/>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ascii="Hiragino Sans GB" w:hAnsi="Hiragino Sans GB" w:eastAsia="Hiragino Sans GB" w:cs="Hiragino Sans GB"/>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ascii="Hiragino Sans GB" w:hAnsi="Hiragino Sans GB" w:eastAsia="Hiragino Sans GB" w:cs="Hiragino Sans GB"/>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rFonts w:ascii="Hiragino Sans GB" w:hAnsi="Hiragino Sans GB" w:eastAsia="Hiragino Sans GB" w:cs="Hiragino Sans GB"/>
      <w:b/>
      <w:bCs/>
      <w:i/>
      <w:iCs/>
      <w:color w:val="4F81BD" w:themeColor="accent1"/>
      <w14:textFill>
        <w14:solidFill>
          <w14:schemeClr w14:val="accent1"/>
        </w14:solidFill>
      </w14:textFill>
    </w:rPr>
  </w:style>
  <w:style w:type="character" w:customStyle="1" w:styleId="158">
    <w:name w:val="Intense Quote Char"/>
    <w:basedOn w:val="133"/>
    <w:link w:val="157"/>
    <w:uiPriority w:val="30"/>
    <w:rPr>
      <w:rFonts w:ascii="Hiragino Sans GB" w:hAnsi="Hiragino Sans GB" w:eastAsia="Hiragino Sans GB" w:cs="Hiragino Sans GB"/>
      <w:b/>
      <w:bCs/>
      <w:i/>
      <w:iCs/>
      <w:color w:val="4F81BD" w:themeColor="accent1"/>
      <w14:textFill>
        <w14:solidFill>
          <w14:schemeClr w14:val="accent1"/>
        </w14:solidFill>
      </w14:textFill>
    </w:rPr>
  </w:style>
  <w:style w:type="character" w:customStyle="1" w:styleId="159">
    <w:name w:val="Subtle Emphasis"/>
    <w:basedOn w:val="133"/>
    <w:qFormat/>
    <w:uiPriority w:val="19"/>
    <w:rPr>
      <w:rFonts w:ascii="Hiragino Sans GB" w:hAnsi="Hiragino Sans GB" w:eastAsia="Hiragino Sans GB" w:cs="Hiragino Sans GB"/>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rFonts w:ascii="Hiragino Sans GB" w:hAnsi="Hiragino Sans GB" w:eastAsia="Hiragino Sans GB" w:cs="Hiragino Sans GB"/>
      <w:b/>
      <w:bCs/>
      <w:i/>
      <w:iCs/>
      <w:color w:val="4F81BD" w:themeColor="accent1"/>
      <w14:textFill>
        <w14:solidFill>
          <w14:schemeClr w14:val="accent1"/>
        </w14:solidFill>
      </w14:textFill>
    </w:rPr>
  </w:style>
  <w:style w:type="character" w:customStyle="1" w:styleId="161">
    <w:name w:val="Subtle Reference"/>
    <w:basedOn w:val="133"/>
    <w:qFormat/>
    <w:uiPriority w:val="31"/>
    <w:rPr>
      <w:rFonts w:ascii="Hiragino Sans GB" w:hAnsi="Hiragino Sans GB" w:eastAsia="Hiragino Sans GB" w:cs="Hiragino Sans GB"/>
      <w:smallCaps/>
      <w:color w:val="C0504D" w:themeColor="accent2"/>
      <w:u w:val="single"/>
      <w14:textFill>
        <w14:solidFill>
          <w14:schemeClr w14:val="accent2"/>
        </w14:solidFill>
      </w14:textFill>
    </w:rPr>
  </w:style>
  <w:style w:type="character" w:customStyle="1" w:styleId="162">
    <w:name w:val="Intense Reference"/>
    <w:basedOn w:val="133"/>
    <w:qFormat/>
    <w:uiPriority w:val="32"/>
    <w:rPr>
      <w:rFonts w:ascii="Hiragino Sans GB" w:hAnsi="Hiragino Sans GB" w:eastAsia="Hiragino Sans GB" w:cs="Hiragino Sans GB"/>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rFonts w:ascii="Hiragino Sans GB" w:hAnsi="Hiragino Sans GB" w:eastAsia="Hiragino Sans GB" w:cs="Hiragino Sans GB"/>
      <w:b/>
      <w:bCs/>
      <w:smallCaps/>
      <w:spacing w:val="5"/>
    </w:rPr>
  </w:style>
  <w:style w:type="paragraph" w:customStyle="1" w:styleId="164">
    <w:name w:val="TOC Heading"/>
    <w:basedOn w:val="3"/>
    <w:next w:val="1"/>
    <w:semiHidden/>
    <w:unhideWhenUsed/>
    <w:qFormat/>
    <w:uiPriority w:val="39"/>
    <w:pPr>
      <w:outlineLvl w:val="9"/>
    </w:pPr>
    <w:rPr>
      <w:rFonts w:ascii="Hiragino Sans GB" w:hAnsi="Hiragino Sans GB" w:eastAsia="Hiragino Sans GB" w:cs="Hiragino Sans G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38</TotalTime>
  <ScaleCrop>false</ScaleCrop>
  <LinksUpToDate>false</LinksUpToDate>
  <CharactersWithSpaces>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产品团队</dc:creator>
  <dc:description>Updated 2026-06-30: add developer space switch, testing and operations workload.</dc:description>
  <cp:lastModifiedBy>hanyy</cp:lastModifiedBy>
  <dcterms:modified xsi:type="dcterms:W3CDTF">2026-04-29T18:38:58Z</dcterms:modified>
  <cp:revision>1</cp:revision>
  <dc:title>CANNLab 运营管理功能产品需求规格说明书</dc:title>
  <dc:subject>镜像管理、模板管理、白名单账号管理</dc:subject>
  <cp:version>V1.1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73A2F195E10167603BC0F169B9929EB1_42</vt:lpwstr>
  </property>
</Properties>
</file>