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评分与优先级细化标准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>一、评分框架概述</w:t>
      </w:r>
      <w:bookmarkEnd w:id="0"/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本评分体系以麦肯锡「战略价值—执行可行性」双轴模型为核心，融合 BCG 优先级矩阵与 Gartner IT 价值评估方法，设计了适配跨境电商软体家居行业数字化特点的6维度加权评分模型。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六维度权重分配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权重设计逻辑：战略价值维度（战略对齐+业务价值）合计占50%，反映麦肯锡「以价值为先」原则；执行可行性维度（技术+组织）占30%；风险与速度各10%，作为调节因子。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1110"/>
        <w:gridCol w:w="3315"/>
        <w:gridCol w:w="238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权重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核心问题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麦肯锡对应概念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 战略对齐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该项目是否直接支撑公司3年战略目标？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Strategic Fit（战略契合度）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 业务价值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该项目能带来多大可量化的商业收益？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 at Stake（价值规模）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 技术可行性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技术方案是否成熟、集成风险是否可控？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Feasibility（可行性）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D4 组织就绪度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团队能力、变革意愿是否支撑项目落地？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Organizational Readiness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 风险等级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项目整体风险暴露程度如何？（反向）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 Exposure（风险敞口）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D6 价值速度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项目能多快产生可感知的业务价值？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Time-to-Value（价值兑现速度）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1.3 四象限优先级判定规则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判定逻辑参考麦肯锡战略价值-执行可行性矩阵：横轴为「战略价值」（D1+D2均值），纵轴为「加权总分」，形成四个优先象限。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4230"/>
        <w:gridCol w:w="238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优先象限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判定条件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建议动作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⭐ 战略下注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加权总分 ≥ 3.5  AND  (D1+D2)/2 ≥ 4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优先资源，全力加速推进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⚡ 速赢项目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加权总分 ≥ 3.5  AND  (D1+D2)/2 &lt; 4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快速交付，积累信心与能力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📋 低优先级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加权总分 &lt; 3.5  AND  (D1+D2)/2 ≥ 3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维持投入，择机推进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🔄 重新评估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加权总分 &lt; 3.5  AND  (D1+D2)/2 &lt; 3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暂缓/终止，重新论证必要性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>二、六维度评分标准详解</w:t>
      </w:r>
      <w:bookmarkEnd w:id="3"/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以下为每个维度的完整评分量表，每个分值均配有「评分标准」（判断依据）与「行业典型案例」（跨境电商软体家居场景），便于评审委员会统一标准、减少主观偏差。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D1  战略对齐度</w:t>
      </w:r>
      <w:r>
        <w:rPr>
          <w:rFonts w:eastAsia="等线" w:ascii="Arial" w:cs="Arial" w:hAnsi="Arial"/>
          <w:b w:val="true"/>
          <w:sz w:val="32"/>
        </w:rPr>
        <w:t>（业务打分）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该项目是否直接驱动公司核心战略目标的实现？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【评分理论依据】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麦肯锡研究表明，数字化转型失败的首要原因是「项目与战略脱节」。战略对齐度高的项目，高管支持力度强、资源获取容易、组织阻力小。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005"/>
        <w:gridCol w:w="4425"/>
        <w:gridCol w:w="211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分值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等级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评分标准（判断依据）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跨境电商软体家居典型案例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完全对齐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完全对齐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直接对应公司3年战略优先事项TOP3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有明确的战略KPI挂钩（如GMV增长、成本降低10%+）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高管层在战略会议中明确点名支持该项目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项目成果可直接体现于年度战略述职报告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多平台ERP中台（DIG-004）：直接解决多平台运营核心痛点，是「跨境规模化」战略的基础设施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高度对齐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高度对齐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支撑公司战略重点领域，但非最核心议题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对战略目标有明显贡献，但贡献路径需1-2步传导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业务VP级别明确表态支持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海外仓WMS（DIG-006）：支撑库存效率战略目标，非首要项但明显相关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中度对齐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中度对齐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与战略方向一致，但优先级在战略规划中属于第二梯队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业务价值可量化，但战略必要性存在争议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项目负责人层面有共识，高管层尚未明确表态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智能广告投放（DIG-005）：支撑营销效率，但运营类项目战略优先级低于平台基建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弱对齐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弱对齐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与战略方向相关，但关联较为间接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更多是「有则更好」而非「必须有」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缺乏明确的战略KPI支撑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某内部HR系统升级：与跨境电商战略关联较弱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不对齐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不对齐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项目目标与当前战略方向无明确关联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属于技术部门自发提出，缺乏业务战略背书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即使项目成功，也无法体现在战略业绩报告中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某历史遗留系统维护项目：纯技术债务，无战略价值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D2  业务价值</w:t>
      </w:r>
      <w:r>
        <w:rPr>
          <w:rFonts w:eastAsia="等线" w:ascii="Arial" w:cs="Arial" w:hAnsi="Arial"/>
          <w:b w:val="true"/>
          <w:sz w:val="32"/>
        </w:rPr>
        <w:t>（业务打分）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项目能带来多大可量化的商业收益？ROI是否清晰？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【评分理论依据】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麦肯锡「Value at Stake」框架要求业务价值必须可量化。软体家居跨境电商业务收益主要体现在：营收增长（GMV/ACOS/转化率）、成本降低（人效/库存/退货）、资产周转（库存周转天数）三类。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005"/>
        <w:gridCol w:w="4425"/>
        <w:gridCol w:w="211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分值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等级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评分标准（判断依据）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跨境电商软体家居典型案例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价值卓越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价值卓越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3年累计收益 &gt; 投资额3倍（ROI &gt; 300%）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收益已有历史数据或标杆可参照，可信度高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同时覆盖营收增长 + 成本降低两类价值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价值实现周期 ≤ 12个月见到首个里程碑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智能排产APS（DIG-001）：产能利用率+2%即覆盖全部投资，ROI测算超400%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价值明确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价值明确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3年累计ROI在150%~300%之间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主要覆盖一类价值（营收 OR 成本），有具体KPI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收益测算有业务部门确认的基线数据支撑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MES生产执行（DIG-002）：工序效率提升15%，TCO回收期约2.5年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价值可见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价值可见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3年ROI在80%~150%之间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价值逻辑清晰，但量化测算存在较大假设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有1-2项可跟踪的KPI，但基线数据不完整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智能质检（DIG-003）：退货率降低预估价值可观，但模型精度存在不确定性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价值模糊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价值模糊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收益主要为「效率提升」等难以量化的软性价值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ROI测算高度依赖假设，业务部门认可度低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无法提供具体KPI基线与目标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某流程可视化项目：提升透明度但无直接财务收益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价值不明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价值不明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无法量化商业价值，或价值仅存在于IT部门视角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业务部门对该项目的必要性持怀疑态度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项目成功失败对业务结果没有可感知的影响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某内部工具替换项目：仅降低IT运维复杂度，业务无感知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D3  技术可行性</w:t>
      </w:r>
      <w:r>
        <w:rPr>
          <w:rFonts w:eastAsia="等线" w:ascii="Arial" w:cs="Arial" w:hAnsi="Arial"/>
          <w:b w:val="true"/>
          <w:sz w:val="32"/>
        </w:rPr>
        <w:t>（it打分）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技术方案是否成熟可靠？系统集成复杂度是否在可控范围内？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【评分理论依据】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005"/>
        <w:gridCol w:w="4425"/>
        <w:gridCol w:w="211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分值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等级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评分标准（判断依据）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跨境电商软体家居典型案例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高度可行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高度可行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采用成熟商业SaaS产品，供应商有同行业3个以上成功案例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集成接口数量 ≤ 3个，且均为标准REST/webhook协议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技术团队已有类似项目实施经验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无需对现有核心系统（ERP/WMS）进行大幅改造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智能广告投放（DIG-005）：Pacvue成熟SaaS，Amazon官方API，集成复杂度低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较高可行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较高可行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技术方案经过PoC验证，核心技术风险已识别并有应对方案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集成接口4-6个，部分为非标准接口但有历史改造经验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需要对现有系统做小幅配置调整（非核心逻辑改动）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海外仓WMS（DIG-006）：旺店通产品成熟，补货引擎需自研但技术路径清晰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中等可行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中等可行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技术方案理论可行，但尚未经过本公司场景验证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集成接口7-10个，存在部分遗留系统改造需求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需要引入新技术栈，团队有一定学习成本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供应商在行业内有案例，但非完全匹配场景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多平台ERP中台（DIG-004）：Temu等平台API频繁变更，集成稳定性存挑战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可行性低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可行性低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核心技术尚处于行业探索阶段，无成熟产品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集成接口数量 &gt; 10个，多个核心系统需深度改造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技术团队缺乏关键能力，需大量外部资源支撑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智能质检（DIG-003）：面料疵点AI模型精度目标&gt;95%，行业内尚无稳定案例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难以实现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难以实现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技术路径存在根本性障碍（如数据质量、硬件基础设施缺失）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依赖的外部技术或供应商存在不可控风险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团队能力与项目要求差距极大，短期无法弥补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某需要完整MES数据但工厂尚无任何数字化基础的AI项目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D4  组织就绪度</w:t>
      </w:r>
      <w:r>
        <w:rPr>
          <w:rFonts w:eastAsia="等线" w:ascii="Arial" w:cs="Arial" w:hAnsi="Arial"/>
          <w:b w:val="true"/>
          <w:sz w:val="32"/>
        </w:rPr>
        <w:t>（业务打分）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人员能力、变革意愿与组织流程是否支撑项目成功落地？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【评分理论依据】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麦肯锡变革管理研究：数字化转型中70%的失败与「技术」无关，而与「人」有关——变革阻力、技能缺口、管理层承诺不足是三大核心障碍。软体家居行业工厂一线员工数字化接受度尤为关键。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005"/>
        <w:gridCol w:w="4425"/>
        <w:gridCol w:w="211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分值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等级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评分标准（判断依据）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跨境电商软体家居典型案例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充分就绪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充分就绪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业务部门主动提出需求，Sponsor承诺配合变革管理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已有专职数字化团队或指定核心业务骨干参与项目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相关业务流程已完成梳理并有文档化SOP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历史上有类似变革成功经历，员工接受度预期高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多平台ERP中台（DIG-004）：运营团队主导提出，骨干已参与需求评审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基本就绪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基本就绪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业务部门支持，但参与积极性有待提升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核心业务骨干已识别，但尚未正式纳入项目团队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流程有初步梳理，存在部分灰色地带待厘清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需要一定的培训投入，但不存在根本性技能缺口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海外仓WMS（DIG-006）：物流团队配合度良好，补货逻辑需与业务对齐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部分就绪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部分就绪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业务部门态度中立，需要PMO主动推动参与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存在明显的技能缺口，需招聘或大规模培训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流程标准化程度低，项目实施前需要专项优化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相关部门有一定的变革疲劳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智能排产APS（DIG-001）：生产部门接受度中等，需专项变革管理计划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就绪度不足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就绪度不足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业务部门明确表示抵触或有顾虑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缺乏有能力的业务Sponsor推动跨部门协调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相关部门正处于组织调整期，重点精力不在此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员工技能与项目要求差距超过6个月培养周期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MES生产执行（DIG-002）：车间员工对电子工票抵触风险高，需强力变革管理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尚未就绪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尚未就绪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无业务Sponsor，项目完全由IT部门主导推动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关键决策者尚未就该议题达成共识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基础管理能力（如生产数据收集）尚不具备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强行推进极可能导致项目名义上线、实际弃用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某要求工厂精确工序数据但工厂尚无工序记录习惯的系统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D5  风险等级</w:t>
      </w:r>
      <w:r>
        <w:rPr>
          <w:rFonts w:eastAsia="等线" w:ascii="Arial" w:cs="Arial" w:hAnsi="Arial"/>
          <w:b w:val="true"/>
          <w:sz w:val="32"/>
        </w:rPr>
        <w:t>（it打分）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项目整体风险暴露程度如何？（分数越高=风险越大=贡献越低）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【评分理论依据】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风险评分为反向指标，计入公式时取「6 − D5」。综合评估技术风险、供应商风险、组织变革风险、合规风险和财务风险五类。使用「概率×影响」的风险矩阵进行综合判断。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005"/>
        <w:gridCol w:w="4425"/>
        <w:gridCol w:w="211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分值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等级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评分标准（判断依据）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跨境电商软体家居典型案例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极低风险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极低风险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所有主要风险类别（技术/供应商/组织/合规/财务）均为低风险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风险矩阵最高分 ≤ 2（低概率×低影响）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有成熟的风险缓解机制，历史类似项目无重大风险事件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智能广告投放（DIG-005）：SaaS产品+成熟API，供应商稳定，合规风险低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低风险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低风险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1-2个中等风险项，但均有明确缓解计划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风险矩阵最高分为4（中概率×中影响或高概率×低影响）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风险责任人明确，缓解措施已落地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海外仓WMS（DIG-006）：FBA仓储费波动风险，有动态安全库存策略应对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中等风险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中等风险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存在2-3个高风险项（概率×影响 ≥ 6），缓解计划尚在制定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存在关键路径上的依赖风险，依赖项目进度不确定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供应商稳定性或技术成熟度存在一定不确定性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多平台ERP中台（DIG-004）：Temu API不稳定（RSK-005），影响高、概率高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高风险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高风险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存在多个高风险项（风险分值=9），部分缓解措施不确定有效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依赖多个外部资源（供应商/平台API/合作伙伴），控制力弱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法规合规风险存在，且各国标准差异大、变化频繁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MES生产执行（DIG-002）：组织变革风险9分（RSK-002）+ 关键路径依赖风险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极高风险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极高风险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存在根本性技术或业务风险，当前无有效缓解路径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项目失败可能对核心业务运营产生重大负面影响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多个高风险项叠加，风险传导效应明显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智能质检（DIG-003）：AI模型精度风险（RSK-004）+ 尚未启动，整体风险敞口大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D6  价值速度</w:t>
      </w:r>
      <w:r>
        <w:rPr>
          <w:rFonts w:eastAsia="等线" w:ascii="Arial" w:cs="Arial" w:hAnsi="Arial"/>
          <w:b w:val="true"/>
          <w:sz w:val="32"/>
        </w:rPr>
        <w:t>（业务打分）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项目能多快产生可感知的业务价值？上线周期与价值兑现节奏如何？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【评分理论依据】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麦肯锡「快赢积累动能」原则：数字化转型初期，快速交付可感知的价值对于维持组织变革信心至关重要。价值速度评估「首个可量化成果」的时间窗口，而非项目完整上线时间。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005"/>
        <w:gridCol w:w="4425"/>
        <w:gridCol w:w="211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分值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等级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评分标准（判断依据）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跨境电商软体家居典型案例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极快（即时）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极快（即时）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 1≤ 半个月即可看到可量化的KPI改善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项目已接近上线或处于测试验收阶段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价值实现不依赖其他项目，独立可交付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业务用户可在日常工作中立即感知到变化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智能广告投放（DIG-005）：已上线部署，ACOS指标每周可见改善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较快（1-3个月）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较快（1-3个月）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上线后1-3个月内产生首批可量化业务价值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项目采用MVP/分阶段交付策略，有中间里程碑价值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核心功能上线后可独立产生价值，不依赖全功能完成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海外仓WMS（DIG-006）：测试验收阶段，补货精度改善3个月内可见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中速（3-6个月）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中速（3-6个月）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项目需3-6个月完成核心功能交付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价值实现依赖一定的数据积累或流程磨合期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中间阶段有效率类价值，但财务价值需更长周期体现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多平台ERP中台（DIG-004）：开发构建阶段，预计6月底完整上线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较慢（6-12个月）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较慢（6-12个月）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从启动到首个可量化价值需要6-12个月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项目本身是更大系统的基础依赖，无法单独产生价值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价值路径需要多个前置条件同时满足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智能排产APS（DIG-001）：需完成ERP集成后才能验证排产优化效果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极慢（&gt;12个月）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极慢（&gt;12个月）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从启动到首个可量化价值预计超过12个月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项目处于早期调研/探索阶段，路径高度不确定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价值实现依赖多个先行项目的成功落地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属于「播种型」投资，价值兑现在3年以上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智能质检（DIG-003）：尚未启动，AI模型训练+工程化落地预计18个月+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color w:val="245bdb"/>
          <w:sz w:val="36"/>
        </w:rPr>
        <w:t>三、现有项目评分汇总</w:t>
      </w:r>
      <w:bookmarkEnd w:id="10"/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基于当前6个项目（DIG-001 ～ DIG-006）的实际情况，按照上述6维度标准进行评分，结果如下：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665"/>
        <w:gridCol w:w="735"/>
        <w:gridCol w:w="735"/>
        <w:gridCol w:w="735"/>
        <w:gridCol w:w="735"/>
        <w:gridCol w:w="735"/>
        <w:gridCol w:w="735"/>
        <w:gridCol w:w="129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编号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项目名称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D1战略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D2价值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D3技术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D4组织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D5风险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D6速度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加权总分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DIG-001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智能排产APS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4.00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加速推进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DIG-002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MES生产执行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3.50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持续投入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DIG-003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智能质检系统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3.00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持续投入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DIG-004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多平台ERP中台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4.60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加速推进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DIG-005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智能广告投放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4.35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加速推进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DIG-006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海外仓WMS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4.35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加速推进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D5（风险等级）评分越高表示风险越大，公式中取「6−D5」转换为正向贡献，因此5分高风险项目在总分中贡献仅1分。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优先级排序结论</w:t>
      </w:r>
      <w:bookmarkEnd w:id="11"/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915"/>
        <w:gridCol w:w="1665"/>
        <w:gridCol w:w="1110"/>
        <w:gridCol w:w="1110"/>
        <w:gridCol w:w="2940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排名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编号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项目名称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加权总分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优先象限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核心理由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DIG-004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多平台ERP中台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4.25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 战略下注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战略+价值双满分，技术/组织就绪度高，速度快，即将完成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DIG-005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智能广告投放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4.25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 战略下注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与DIG-004并列，已上线，ROAS改善即时可见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DIG-006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海外仓WMS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 战略下注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库存效率核心，战略价值高，测试验收阶段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DIG-001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智能排产APS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 战略下注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核心痛点，但组织就绪度待提升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DIG-002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MES生产执行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⚡ 速赢项目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组织变革风险高，需变革管理先行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DIG-003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智能质检系统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⚡ 速赢项目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技术可行性低+组织就绪不足，建议先做能力建设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color w:val="245bdb"/>
          <w:sz w:val="36"/>
        </w:rPr>
        <w:t>四、评分治理机制</w:t>
      </w:r>
      <w:bookmarkEnd w:id="12"/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评审委员会构成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为确保评分客观性，建议采用「多方独立评分 → 汇总 → 共识会」机制：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1665"/>
        <w:gridCol w:w="2205"/>
        <w:gridCol w:w="294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角色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参与人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评分权重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评分维度偏重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业务评审官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各业务VP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D1战略对齐、D2业务价值为主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技术评审官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CTO/技术总监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D3技术可行性、D5风险等级为主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PMO主持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数字化项目负责人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D4组织就绪度、D6价值速度为主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财务代表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CFO/财务BP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D2业务价值（财务测算核实）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评分操作流程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建议采用「三步走」评分流程，防止「锚定偏差」和「光环效应」：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 · 独立评分（30分钟）：各评审官根据项目资料独立打分，不互相讨论，填写飞书多维表格评分表单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 · 汇总对齐（20分钟）：PMO汇总各方评分，标记分差超过2分的维度，列为讨论重点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 · 共识讨论（30分钟）：针对分歧点逐一讨论，重新评分或记录保留意见，最终取平均值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评分复评触发条件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以下情形发生时，应触发项目重新评分：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公司战略方向发生重大调整（每年度规划后必评）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项目实际进展与计划偏差超过3个月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新竞品/新技术出现，显著改变某维度的判断基础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项目预算变化超过原批准金额的±30%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关键业务Sponsor或项目负责人发生变更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常见评分偏差与校正</w:t>
      </w:r>
      <w:bookmarkEnd w:id="16"/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205"/>
        <w:gridCol w:w="441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偏差类型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表现形式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校正方法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光环效应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因项目由高层提出，所有维度都给高分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要求每个维度独立评分，不可跨维度参考；引入外部视角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沉没成本偏差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已投入大量资源的项目被高估价值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重置思维：若今天是新项目，是否仍会立项？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技术乐观主义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技术负责人对D3可行性过度乐观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要求引用同行业3个可类比参照案例才可评4-5分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战略泡沫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所有项目都声称与战略强相关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D1评5分须提供：对应战略文件章节+CEO/战略委认可证据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— 评分标准文档结束 —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本标准每年度评审委员会年会时复审更新，当前版本适用于2026年度项目组合评审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75608">
    <w:lvl>
      <w:numFmt w:val="bullet"/>
      <w:suff w:val="tab"/>
      <w:lvlText w:val="•"/>
      <w:rPr>
        <w:color w:val="3370ff"/>
      </w:rPr>
    </w:lvl>
  </w:abstractNum>
  <w:abstractNum w:abstractNumId="1275609">
    <w:lvl>
      <w:numFmt w:val="bullet"/>
      <w:suff w:val="tab"/>
      <w:lvlText w:val="•"/>
      <w:rPr>
        <w:color w:val="3370ff"/>
      </w:rPr>
    </w:lvl>
  </w:abstractNum>
  <w:abstractNum w:abstractNumId="1275610">
    <w:lvl>
      <w:numFmt w:val="bullet"/>
      <w:suff w:val="tab"/>
      <w:lvlText w:val="•"/>
      <w:rPr>
        <w:color w:val="3370ff"/>
      </w:rPr>
    </w:lvl>
  </w:abstractNum>
  <w:abstractNum w:abstractNumId="1275611">
    <w:lvl>
      <w:numFmt w:val="bullet"/>
      <w:suff w:val="tab"/>
      <w:lvlText w:val="•"/>
      <w:rPr>
        <w:color w:val="3370ff"/>
      </w:rPr>
    </w:lvl>
  </w:abstractNum>
  <w:abstractNum w:abstractNumId="1275612">
    <w:lvl>
      <w:numFmt w:val="bullet"/>
      <w:suff w:val="tab"/>
      <w:lvlText w:val="•"/>
      <w:rPr>
        <w:color w:val="3370ff"/>
      </w:rPr>
    </w:lvl>
  </w:abstractNum>
  <w:abstractNum w:abstractNumId="1275613">
    <w:lvl>
      <w:numFmt w:val="bullet"/>
      <w:suff w:val="tab"/>
      <w:lvlText w:val="•"/>
      <w:rPr>
        <w:color w:val="3370ff"/>
      </w:rPr>
    </w:lvl>
  </w:abstractNum>
  <w:abstractNum w:abstractNumId="1275614">
    <w:lvl>
      <w:numFmt w:val="bullet"/>
      <w:suff w:val="tab"/>
      <w:lvlText w:val="•"/>
      <w:rPr>
        <w:color w:val="3370ff"/>
      </w:rPr>
    </w:lvl>
  </w:abstractNum>
  <w:abstractNum w:abstractNumId="1275615">
    <w:lvl>
      <w:numFmt w:val="bullet"/>
      <w:suff w:val="tab"/>
      <w:lvlText w:val="•"/>
      <w:rPr>
        <w:color w:val="3370ff"/>
      </w:rPr>
    </w:lvl>
  </w:abstractNum>
  <w:num w:numId="1">
    <w:abstractNumId w:val="1275608"/>
  </w:num>
  <w:num w:numId="2">
    <w:abstractNumId w:val="1275609"/>
  </w:num>
  <w:num w:numId="3">
    <w:abstractNumId w:val="1275610"/>
  </w:num>
  <w:num w:numId="4">
    <w:abstractNumId w:val="1275611"/>
  </w:num>
  <w:num w:numId="5">
    <w:abstractNumId w:val="1275612"/>
  </w:num>
  <w:num w:numId="6">
    <w:abstractNumId w:val="1275613"/>
  </w:num>
  <w:num w:numId="7">
    <w:abstractNumId w:val="1275614"/>
  </w:num>
  <w:num w:numId="8">
    <w:abstractNumId w:val="12756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2026-07-13T10:22:26Z</dcterms:created>
  <dc:creator>Apache POI</dc:creator>
</cp:coreProperties>
</file>