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settings.xml" ContentType="application/vnd.openxmlformats-officedocument.wordprocessingml.setting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14="http://schemas.microsoft.com/office/word/2010/wordml" xmlns:r="http://schemas.openxmlformats.org/officeDocument/2006/relationships" xmlns:w="http://schemas.openxmlformats.org/wordprocessingml/2006/main" xmlns:mc="http://schemas.openxmlformats.org/markup-compatibility/2006" mc:Ignorable="w14">
  <w:body>
    <w:p w14:paraId="00000001">
      <w:pPr>
        <w:pBdr>
          <w:bottom w:val="single" w:color="1a237e" w:sz="12"/>
        </w:pBdr>
        <w:spacing w:before="0" w:after="384" w:line="360"/>
        <w:ind w:left="0" w:right="0"/>
        <w:rPr>
          <w:color w:val="1a1a1a"/>
        </w:rPr>
      </w:pPr>
      <w:r>
        <w:rPr>
          <w:rFonts w:hint="eastAsia" w:ascii="黑体" w:hAnsi="黑体" w:eastAsia="黑体" w:cs="黑体"/>
          <w:b w:val="1"/>
          <w:color w:val="1a237e"/>
          <w:spacing w:val="12"/>
          <w:sz w:val="28"/>
        </w:rPr>
        <w:t>AI产业研究团队</w:t>
      </w:r>
    </w:p>
    <w:p w14:paraId="00000002">
      <w:pPr>
        <w:spacing w:before="0" w:after="144" w:line="360"/>
        <w:ind w:left="0" w:right="0"/>
        <w:jc w:val="left"/>
        <w:rPr>
          <w:color w:val="808080"/>
        </w:rPr>
      </w:pPr>
      <w:r>
        <w:rPr>
          <w:rFonts w:hint="eastAsia" w:ascii="黑体" w:hAnsi="黑体" w:eastAsia="黑体" w:cs="黑体"/>
          <w:color w:val="808080"/>
          <w:spacing w:val="19"/>
          <w:sz w:val="28"/>
        </w:rPr>
        <w:t>行业深度 | 市场占有率专题</w:t>
      </w:r>
    </w:p>
    <w:p w14:paraId="00000003">
      <w:pPr>
        <w:spacing w:before="0" w:after="120" w:line="360"/>
        <w:ind w:left="0" w:right="0"/>
        <w:jc w:val="left"/>
        <w:rPr>
          <w:color w:val="1a1a1a"/>
        </w:rPr>
      </w:pPr>
      <w:r>
        <w:rPr>
          <w:rFonts w:hint="eastAsia" w:ascii="黑体" w:hAnsi="黑体" w:eastAsia="黑体" w:cs="黑体"/>
          <w:b w:val="1"/>
          <w:color w:val="1a1a1a"/>
          <w:sz w:val="28"/>
        </w:rPr>
        <w:t>AI 智能体（AI Agent）产业</w:t>
      </w:r>
    </w:p>
    <w:p w14:paraId="00000004">
      <w:pPr>
        <w:spacing w:before="0" w:after="336" w:line="360"/>
        <w:ind w:left="0" w:right="0"/>
        <w:jc w:val="left"/>
        <w:rPr>
          <w:color w:val="9c8b6a"/>
        </w:rPr>
      </w:pPr>
      <w:r>
        <w:rPr>
          <w:rFonts w:hint="eastAsia" w:ascii="黑体" w:hAnsi="黑体" w:eastAsia="黑体" w:cs="黑体"/>
          <w:b w:val="1"/>
          <w:color w:val="9c8b6a"/>
          <w:sz w:val="26"/>
        </w:rPr>
        <w:t>2026E 全球市场规模 412 亿美元 · 同比 +108.1%</w:t>
      </w:r>
    </w:p>
    <w:p w14:paraId="00000005">
      <w:pPr>
        <w:spacing w:before="0" w:after="192" w:line="312"/>
        <w:ind w:left="0" w:right="0"/>
        <w:jc w:val="left"/>
        <w:rPr>
          <w:color w:val="1a237e"/>
        </w:rPr>
      </w:pPr>
      <w:r>
        <w:rPr>
          <w:rFonts w:hint="eastAsia" w:ascii="黑体" w:hAnsi="黑体" w:eastAsia="黑体" w:cs="黑体"/>
          <w:b w:val="1"/>
          <w:color w:val="1a237e"/>
          <w:sz w:val="48"/>
        </w:rPr>
        <w:t>AI智能体市场占有率研究报告</w:t>
      </w:r>
    </w:p>
    <w:p w14:paraId="00000006">
      <w:pPr>
        <w:spacing w:before="0" w:after="384" w:line="360"/>
        <w:ind w:left="0" w:right="0"/>
        <w:jc w:val="left"/>
        <w:rPr>
          <w:color w:val="808080"/>
        </w:rPr>
      </w:pPr>
      <w:r>
        <w:rPr>
          <w:rFonts w:hint="eastAsia" w:ascii="黑体" w:hAnsi="黑体" w:eastAsia="黑体" w:cs="黑体"/>
          <w:color w:val="808080"/>
          <w:sz w:val="24"/>
        </w:rPr>
        <w:t>—— 全球与中国市场竞争格局深度剖析（2026）</w:t>
      </w:r>
    </w:p>
    <w:tbl>
      <w:tblPr>
        <w:tblW w:w="8306" w:type="dxa"/>
        <w:tblBorders>
          <w:top w:val="single" w:color="cccccc" w:sz="6"/>
          <w:bottom w:val="single" w:color="cccccc" w:sz="6"/>
        </w:tblBorders>
        <w:shd w:color="1a1a1a"/>
        <w:tblLayout w:type="autofit"/>
        <w:tblCellMar>
          <w:top w:w="0" w:type="dxa"/>
          <w:left w:w="0" w:type="dxa"/>
          <w:bottom w:w="0" w:type="dxa"/>
          <w:right w:w="0" w:type="dxa"/>
        </w:tblCellMar>
      </w:tblPr>
      <w:tblGrid>
        <w:gridCol w:w="2076"/>
        <w:gridCol w:w="2076"/>
        <w:gridCol w:w="2076"/>
        <w:gridCol w:w="2076"/>
      </w:tblGrid>
      <w:tr>
        <w:trPr>
          <w:tblHeader w:val="1"/>
        </w:trPr>
        <w:tc>
          <w:tcPr>
            <w:tcW w:w="2076" w:type="dxa"/>
            <w:tcMar>
              <w:top w:w="120" w:type="dxa"/>
              <w:left w:w="144" w:type="dxa"/>
              <w:bottom w:w="120" w:type="dxa"/>
              <w:right w:w="144" w:type="dxa"/>
            </w:tcMar>
            <w:vAlign w:val="center"/>
          </w:tcPr>
          <w:p w14:paraId="00000007">
            <w:pPr>
              <w:jc w:val="left"/>
              <w:rPr>
                <w:b w:val="1"/>
                <w:bCs w:val="1"/>
                <w:color w:val="808080"/>
              </w:rPr>
            </w:pPr>
            <w:r>
              <w:rPr>
                <w:rFonts w:hint="eastAsia" w:ascii="黑体" w:hAnsi="黑体" w:eastAsia="黑体" w:cs="黑体"/>
                <w:b w:val="1"/>
                <w:color w:val="808080"/>
                <w:sz w:val="16"/>
              </w:rPr>
              <w:t>全球市场规模（2025）</w:t>
            </w:r>
          </w:p>
        </w:tc>
        <w:tc>
          <w:tcPr>
            <w:tcW w:w="2076" w:type="dxa"/>
            <w:tcMar>
              <w:top w:w="120" w:type="dxa"/>
              <w:left w:w="144" w:type="dxa"/>
              <w:bottom w:w="120" w:type="dxa"/>
              <w:right w:w="144" w:type="dxa"/>
            </w:tcMar>
            <w:vAlign w:val="center"/>
          </w:tcPr>
          <w:p w14:paraId="00000008">
            <w:pPr>
              <w:jc w:val="left"/>
              <w:rPr>
                <w:b w:val="1"/>
                <w:bCs w:val="1"/>
                <w:color w:val="808080"/>
              </w:rPr>
            </w:pPr>
            <w:r>
              <w:rPr>
                <w:rFonts w:hint="eastAsia" w:ascii="黑体" w:hAnsi="黑体" w:eastAsia="黑体" w:cs="黑体"/>
                <w:b w:val="1"/>
                <w:color w:val="808080"/>
                <w:sz w:val="16"/>
              </w:rPr>
              <w:t>全球市场规模（2026E）</w:t>
            </w:r>
          </w:p>
        </w:tc>
        <w:tc>
          <w:tcPr>
            <w:tcW w:w="2076" w:type="dxa"/>
            <w:tcMar>
              <w:top w:w="120" w:type="dxa"/>
              <w:left w:w="144" w:type="dxa"/>
              <w:bottom w:w="120" w:type="dxa"/>
              <w:right w:w="144" w:type="dxa"/>
            </w:tcMar>
            <w:vAlign w:val="center"/>
          </w:tcPr>
          <w:p w14:paraId="00000009">
            <w:pPr>
              <w:jc w:val="left"/>
              <w:rPr>
                <w:b w:val="1"/>
                <w:bCs w:val="1"/>
                <w:color w:val="808080"/>
              </w:rPr>
            </w:pPr>
            <w:r>
              <w:rPr>
                <w:rFonts w:hint="eastAsia" w:ascii="黑体" w:hAnsi="黑体" w:eastAsia="黑体" w:cs="黑体"/>
                <w:b w:val="1"/>
                <w:color w:val="808080"/>
                <w:sz w:val="16"/>
              </w:rPr>
              <w:t>2030E（窄口径）</w:t>
            </w:r>
          </w:p>
        </w:tc>
        <w:tc>
          <w:tcPr>
            <w:tcW w:w="2076" w:type="dxa"/>
            <w:tcMar>
              <w:top w:w="120" w:type="dxa"/>
              <w:left w:w="144" w:type="dxa"/>
              <w:bottom w:w="120" w:type="dxa"/>
              <w:right w:w="144" w:type="dxa"/>
            </w:tcMar>
            <w:vAlign w:val="center"/>
          </w:tcPr>
          <w:p w14:paraId="0000000A">
            <w:pPr>
              <w:jc w:val="left"/>
              <w:rPr>
                <w:b w:val="1"/>
                <w:bCs w:val="1"/>
                <w:color w:val="808080"/>
              </w:rPr>
            </w:pPr>
            <w:r>
              <w:rPr>
                <w:rFonts w:hint="eastAsia" w:ascii="黑体" w:hAnsi="黑体" w:eastAsia="黑体" w:cs="黑体"/>
                <w:b w:val="1"/>
                <w:color w:val="808080"/>
                <w:sz w:val="16"/>
              </w:rPr>
              <w:t>CAGR（2025-2030）</w:t>
            </w:r>
          </w:p>
        </w:tc>
      </w:tr>
      <w:tr>
        <w:trPr/>
        <w:tc>
          <w:tcPr>
            <w:tcW w:w="2076" w:type="dxa"/>
            <w:tcMar>
              <w:top w:w="120" w:type="dxa"/>
              <w:left w:w="144" w:type="dxa"/>
              <w:bottom w:w="120" w:type="dxa"/>
              <w:right w:w="144" w:type="dxa"/>
            </w:tcMar>
            <w:vAlign w:val="center"/>
          </w:tcPr>
          <w:p w14:paraId="0000000B">
            <w:pPr>
              <w:jc w:val="left"/>
              <w:rPr>
                <w:color w:val="1a237e"/>
              </w:rPr>
            </w:pPr>
            <w:r>
              <w:rPr>
                <w:rFonts w:hint="eastAsia" w:ascii="Calibri" w:hAnsi="Calibri" w:eastAsia="Calibri" w:cs="Calibri"/>
                <w:b w:val="1"/>
                <w:color w:val="1a237e"/>
                <w:sz w:val="16"/>
              </w:rPr>
              <w:t>198亿美元</w:t>
            </w:r>
          </w:p>
        </w:tc>
        <w:tc>
          <w:tcPr>
            <w:tcW w:w="2076" w:type="dxa"/>
            <w:tcMar>
              <w:top w:w="120" w:type="dxa"/>
              <w:left w:w="144" w:type="dxa"/>
              <w:bottom w:w="120" w:type="dxa"/>
              <w:right w:w="144" w:type="dxa"/>
            </w:tcMar>
            <w:vAlign w:val="center"/>
          </w:tcPr>
          <w:p w14:paraId="0000000C">
            <w:pPr>
              <w:jc w:val="left"/>
              <w:rPr>
                <w:color w:val="1a237e"/>
              </w:rPr>
            </w:pPr>
            <w:r>
              <w:rPr>
                <w:rFonts w:hint="eastAsia" w:ascii="Calibri" w:hAnsi="Calibri" w:eastAsia="Calibri" w:cs="Calibri"/>
                <w:b w:val="1"/>
                <w:color w:val="1a237e"/>
                <w:sz w:val="16"/>
              </w:rPr>
              <w:t>412亿美元</w:t>
            </w:r>
          </w:p>
        </w:tc>
        <w:tc>
          <w:tcPr>
            <w:tcW w:w="2076" w:type="dxa"/>
            <w:tcMar>
              <w:top w:w="120" w:type="dxa"/>
              <w:left w:w="144" w:type="dxa"/>
              <w:bottom w:w="120" w:type="dxa"/>
              <w:right w:w="144" w:type="dxa"/>
            </w:tcMar>
            <w:vAlign w:val="center"/>
          </w:tcPr>
          <w:p w14:paraId="0000000D">
            <w:pPr>
              <w:jc w:val="left"/>
              <w:rPr>
                <w:color w:val="1a237e"/>
              </w:rPr>
            </w:pPr>
            <w:r>
              <w:rPr>
                <w:rFonts w:hint="eastAsia" w:ascii="Calibri" w:hAnsi="Calibri" w:eastAsia="Calibri" w:cs="Calibri"/>
                <w:b w:val="1"/>
                <w:color w:val="1a237e"/>
                <w:sz w:val="16"/>
              </w:rPr>
              <w:t>526亿美元</w:t>
            </w:r>
          </w:p>
        </w:tc>
        <w:tc>
          <w:tcPr>
            <w:tcW w:w="2076" w:type="dxa"/>
            <w:tcMar>
              <w:top w:w="120" w:type="dxa"/>
              <w:left w:w="144" w:type="dxa"/>
              <w:bottom w:w="120" w:type="dxa"/>
              <w:right w:w="144" w:type="dxa"/>
            </w:tcMar>
            <w:vAlign w:val="center"/>
          </w:tcPr>
          <w:p w14:paraId="0000000E">
            <w:pPr>
              <w:jc w:val="left"/>
              <w:rPr>
                <w:color w:val="1a237e"/>
              </w:rPr>
            </w:pPr>
            <w:r>
              <w:rPr>
                <w:rFonts w:ascii="Calibri" w:hAnsi="Calibri" w:eastAsia="Calibri" w:cs="Calibri"/>
                <w:b w:val="1"/>
                <w:color w:val="1a237e"/>
                <w:sz w:val="16"/>
              </w:rPr>
              <w:t>46.3%</w:t>
            </w:r>
          </w:p>
        </w:tc>
      </w:tr>
    </w:tbl>
    <w:p w14:paraId="0000000F">
      <w:pPr>
        <w:spacing w:before="0" w:after="288" w:line="240"/>
        <w:ind w:left="0" w:right="0"/>
        <w:rPr>
          <w:color w:val="1a1a1a"/>
        </w:rPr>
      </w:pPr>
      <w:r>
        <w:rPr>
          <w:sz w:val="4"/>
        </w:rPr>
        <w:t xml:space="preserve"> </w:t>
      </w:r>
    </w:p>
    <w:tbl>
      <w:tblPr>
        <w:tblW w:w="8306" w:type="dxa"/>
        <w:tblBorders>
          <w:top w:val="single" w:color="cccccc" w:sz="6"/>
          <w:bottom w:val="single" w:color="cccccc" w:sz="6"/>
        </w:tblBorders>
        <w:shd w:color="1a1a1a"/>
        <w:tblLayout w:type="autofit"/>
        <w:tblCellMar>
          <w:top w:w="0" w:type="dxa"/>
          <w:left w:w="0" w:type="dxa"/>
          <w:bottom w:w="0" w:type="dxa"/>
          <w:right w:w="0" w:type="dxa"/>
        </w:tblCellMar>
      </w:tblPr>
      <w:tblGrid>
        <w:gridCol w:w="2076"/>
        <w:gridCol w:w="2076"/>
        <w:gridCol w:w="2076"/>
        <w:gridCol w:w="2076"/>
      </w:tblGrid>
      <w:tr>
        <w:trPr>
          <w:tblHeader w:val="1"/>
        </w:trPr>
        <w:tc>
          <w:tcPr>
            <w:tcW w:w="2076" w:type="dxa"/>
            <w:tcMar>
              <w:top w:w="120" w:type="dxa"/>
              <w:left w:w="144" w:type="dxa"/>
              <w:bottom w:w="120" w:type="dxa"/>
              <w:right w:w="144" w:type="dxa"/>
            </w:tcMar>
            <w:vAlign w:val="center"/>
          </w:tcPr>
          <w:p w14:paraId="00000010">
            <w:pPr>
              <w:jc w:val="left"/>
              <w:rPr>
                <w:b w:val="1"/>
                <w:bCs w:val="1"/>
                <w:color w:val="808080"/>
              </w:rPr>
            </w:pPr>
            <w:r>
              <w:rPr>
                <w:rFonts w:hint="eastAsia" w:ascii="黑体" w:hAnsi="黑体" w:eastAsia="黑体" w:cs="黑体"/>
                <w:b w:val="1"/>
                <w:color w:val="808080"/>
                <w:sz w:val="16"/>
              </w:rPr>
              <w:t>中国市场规模（2025）</w:t>
            </w:r>
          </w:p>
        </w:tc>
        <w:tc>
          <w:tcPr>
            <w:tcW w:w="2076" w:type="dxa"/>
            <w:tcMar>
              <w:top w:w="120" w:type="dxa"/>
              <w:left w:w="144" w:type="dxa"/>
              <w:bottom w:w="120" w:type="dxa"/>
              <w:right w:w="144" w:type="dxa"/>
            </w:tcMar>
            <w:vAlign w:val="center"/>
          </w:tcPr>
          <w:p w14:paraId="00000011">
            <w:pPr>
              <w:jc w:val="left"/>
              <w:rPr>
                <w:b w:val="1"/>
                <w:bCs w:val="1"/>
                <w:color w:val="808080"/>
              </w:rPr>
            </w:pPr>
            <w:r>
              <w:rPr>
                <w:rFonts w:hint="eastAsia" w:ascii="黑体" w:hAnsi="黑体" w:eastAsia="黑体" w:cs="黑体"/>
                <w:b w:val="1"/>
                <w:color w:val="808080"/>
                <w:sz w:val="16"/>
              </w:rPr>
              <w:t>中国市场规模（2026E）</w:t>
            </w:r>
          </w:p>
        </w:tc>
        <w:tc>
          <w:tcPr>
            <w:tcW w:w="2076" w:type="dxa"/>
            <w:tcMar>
              <w:top w:w="120" w:type="dxa"/>
              <w:left w:w="144" w:type="dxa"/>
              <w:bottom w:w="120" w:type="dxa"/>
              <w:right w:w="144" w:type="dxa"/>
            </w:tcMar>
            <w:vAlign w:val="center"/>
          </w:tcPr>
          <w:p w14:paraId="00000012">
            <w:pPr>
              <w:jc w:val="left"/>
              <w:rPr>
                <w:b w:val="1"/>
                <w:bCs w:val="1"/>
                <w:color w:val="808080"/>
              </w:rPr>
            </w:pPr>
            <w:r>
              <w:rPr>
                <w:rFonts w:hint="eastAsia" w:ascii="黑体" w:hAnsi="黑体" w:eastAsia="黑体" w:cs="黑体"/>
                <w:b w:val="1"/>
                <w:color w:val="808080"/>
                <w:sz w:val="16"/>
              </w:rPr>
              <w:t>全球第一厂商份额</w:t>
            </w:r>
          </w:p>
        </w:tc>
        <w:tc>
          <w:tcPr>
            <w:tcW w:w="2076" w:type="dxa"/>
            <w:tcMar>
              <w:top w:w="120" w:type="dxa"/>
              <w:left w:w="144" w:type="dxa"/>
              <w:bottom w:w="120" w:type="dxa"/>
              <w:right w:w="144" w:type="dxa"/>
            </w:tcMar>
            <w:vAlign w:val="center"/>
          </w:tcPr>
          <w:p w14:paraId="00000013">
            <w:pPr>
              <w:jc w:val="left"/>
              <w:rPr>
                <w:b w:val="1"/>
                <w:bCs w:val="1"/>
                <w:color w:val="808080"/>
              </w:rPr>
            </w:pPr>
            <w:r>
              <w:rPr>
                <w:rFonts w:hint="eastAsia" w:ascii="黑体" w:hAnsi="黑体" w:eastAsia="黑体" w:cs="黑体"/>
                <w:b w:val="1"/>
                <w:color w:val="808080"/>
                <w:sz w:val="16"/>
              </w:rPr>
              <w:t>中国CR5（IDC口径）</w:t>
            </w:r>
          </w:p>
        </w:tc>
      </w:tr>
      <w:tr>
        <w:trPr/>
        <w:tc>
          <w:tcPr>
            <w:tcW w:w="2076" w:type="dxa"/>
            <w:tcMar>
              <w:top w:w="120" w:type="dxa"/>
              <w:left w:w="144" w:type="dxa"/>
              <w:bottom w:w="120" w:type="dxa"/>
              <w:right w:w="144" w:type="dxa"/>
            </w:tcMar>
            <w:vAlign w:val="center"/>
          </w:tcPr>
          <w:p w14:paraId="00000014">
            <w:pPr>
              <w:jc w:val="left"/>
              <w:rPr>
                <w:color w:val="1a237e"/>
              </w:rPr>
            </w:pPr>
            <w:r>
              <w:rPr>
                <w:rFonts w:hint="eastAsia" w:ascii="Calibri" w:hAnsi="Calibri" w:eastAsia="Calibri" w:cs="Calibri"/>
                <w:b w:val="1"/>
                <w:color w:val="1a237e"/>
                <w:sz w:val="16"/>
              </w:rPr>
              <w:t>212亿元</w:t>
            </w:r>
          </w:p>
        </w:tc>
        <w:tc>
          <w:tcPr>
            <w:tcW w:w="2076" w:type="dxa"/>
            <w:tcMar>
              <w:top w:w="120" w:type="dxa"/>
              <w:left w:w="144" w:type="dxa"/>
              <w:bottom w:w="120" w:type="dxa"/>
              <w:right w:w="144" w:type="dxa"/>
            </w:tcMar>
            <w:vAlign w:val="center"/>
          </w:tcPr>
          <w:p w14:paraId="00000015">
            <w:pPr>
              <w:jc w:val="left"/>
              <w:rPr>
                <w:color w:val="1a237e"/>
              </w:rPr>
            </w:pPr>
            <w:r>
              <w:rPr>
                <w:rFonts w:hint="eastAsia" w:ascii="Calibri" w:hAnsi="Calibri" w:eastAsia="Calibri" w:cs="Calibri"/>
                <w:b w:val="1"/>
                <w:color w:val="1a237e"/>
                <w:sz w:val="16"/>
              </w:rPr>
              <w:t>449亿元</w:t>
            </w:r>
          </w:p>
        </w:tc>
        <w:tc>
          <w:tcPr>
            <w:tcW w:w="2076" w:type="dxa"/>
            <w:tcMar>
              <w:top w:w="120" w:type="dxa"/>
              <w:left w:w="144" w:type="dxa"/>
              <w:bottom w:w="120" w:type="dxa"/>
              <w:right w:w="144" w:type="dxa"/>
            </w:tcMar>
            <w:vAlign w:val="center"/>
          </w:tcPr>
          <w:p w14:paraId="00000016">
            <w:pPr>
              <w:jc w:val="left"/>
              <w:rPr>
                <w:color w:val="1a237e"/>
              </w:rPr>
            </w:pPr>
            <w:r>
              <w:rPr>
                <w:rFonts w:hint="eastAsia" w:ascii="Calibri" w:hAnsi="Calibri" w:eastAsia="Calibri" w:cs="Calibri"/>
                <w:b w:val="1"/>
                <w:color w:val="1a237e"/>
                <w:sz w:val="16"/>
              </w:rPr>
              <w:t>微软 17.2%</w:t>
            </w:r>
          </w:p>
        </w:tc>
        <w:tc>
          <w:tcPr>
            <w:tcW w:w="2076" w:type="dxa"/>
            <w:tcMar>
              <w:top w:w="120" w:type="dxa"/>
              <w:left w:w="144" w:type="dxa"/>
              <w:bottom w:w="120" w:type="dxa"/>
              <w:right w:w="144" w:type="dxa"/>
            </w:tcMar>
            <w:vAlign w:val="center"/>
          </w:tcPr>
          <w:p w14:paraId="00000017">
            <w:pPr>
              <w:jc w:val="left"/>
              <w:rPr>
                <w:color w:val="1a237e"/>
              </w:rPr>
            </w:pPr>
            <w:r>
              <w:rPr>
                <w:rFonts w:ascii="Calibri" w:hAnsi="Calibri" w:eastAsia="Calibri" w:cs="Calibri"/>
                <w:b w:val="1"/>
                <w:color w:val="1a237e"/>
                <w:sz w:val="16"/>
              </w:rPr>
              <w:t>55%</w:t>
            </w:r>
          </w:p>
        </w:tc>
      </w:tr>
    </w:tbl>
    <w:p w14:paraId="00000018">
      <w:pPr>
        <w:pBdr>
          <w:top w:val="single" w:color="cccccc" w:sz="6"/>
        </w:pBdr>
        <w:spacing w:before="0" w:after="72" w:line="360"/>
        <w:ind w:left="0" w:right="0"/>
        <w:jc w:val="left"/>
        <w:rPr>
          <w:color w:val="1a1a1a"/>
        </w:rPr>
      </w:pPr>
      <w:r>
        <w:rPr>
          <w:rFonts w:hint="eastAsia" w:ascii="宋体" w:hAnsi="宋体" w:eastAsia="宋体" w:cs="宋体"/>
          <w:b w:val="1"/>
          <w:color w:val="1a1a1a"/>
          <w:sz w:val="16"/>
        </w:rPr>
        <w:t>编制：AI产业研究团队</w:t>
      </w:r>
    </w:p>
    <w:p w14:paraId="00000019">
      <w:pPr>
        <w:pBdr>
          <w:top w:val="single" w:color="cccccc" w:sz="6"/>
        </w:pBdr>
        <w:spacing w:before="0" w:after="48" w:line="360"/>
        <w:ind w:left="0" w:right="0"/>
        <w:jc w:val="left"/>
        <w:rPr>
          <w:color w:val="808080"/>
        </w:rPr>
      </w:pPr>
      <w:r>
        <w:rPr>
          <w:rFonts w:hint="eastAsia" w:ascii="宋体" w:hAnsi="宋体" w:eastAsia="宋体" w:cs="宋体"/>
          <w:color w:val="808080"/>
          <w:sz w:val="16"/>
        </w:rPr>
        <w:t>数据截至：2026年10月24日（公开渠道检索，非实时数据）</w:t>
      </w:r>
    </w:p>
    <w:p w14:paraId="0000001A">
      <w:pPr>
        <w:pBdr>
          <w:top w:val="single" w:color="cccccc" w:sz="6"/>
        </w:pBdr>
        <w:spacing w:before="0" w:after="48" w:line="360"/>
        <w:ind w:left="0" w:right="0"/>
        <w:jc w:val="left"/>
        <w:rPr>
          <w:color w:val="808080"/>
        </w:rPr>
      </w:pPr>
      <w:r>
        <w:rPr>
          <w:rFonts w:hint="eastAsia" w:ascii="宋体" w:hAnsi="宋体" w:eastAsia="宋体" w:cs="宋体"/>
          <w:color w:val="808080"/>
          <w:sz w:val="16"/>
        </w:rPr>
        <w:t>报告类别：行业深度研究 · 专题：市场占有率</w:t>
      </w:r>
    </w:p>
    <w:p w14:paraId="0000001B">
      <w:pPr>
        <w:pBdr>
          <w:top w:val="single" w:color="cccccc" w:sz="6"/>
        </w:pBdr>
        <w:spacing w:before="0" w:after="48" w:line="360"/>
        <w:ind w:left="0" w:right="0"/>
        <w:jc w:val="left"/>
        <w:rPr>
          <w:color w:val="808080"/>
        </w:rPr>
        <w:sectPr>
          <w:type w:val="nextPage"/>
          <w:pgSz w:w="11906" w:h="16838"/>
          <w:pgMar w:top="1440" w:right="1800" w:bottom="1440" w:left="1800" w:header="851" w:footer="992" w:gutter="0"/>
        </w:sectPr>
      </w:pPr>
      <w:r>
        <w:rPr>
          <w:rFonts w:hint="eastAsia" w:ascii="宋体" w:hAnsi="宋体" w:eastAsia="宋体" w:cs="宋体"/>
          <w:color w:val="808080"/>
          <w:sz w:val="16"/>
        </w:rPr>
        <w:t>2026年10月</w:t>
      </w:r>
    </w:p>
    <w:p w14:paraId="0000001C">
      <w:pPr>
        <w:spacing w:before="240" w:after="120"/>
      </w:pPr>
      <w:r>
        <w:rPr>
          <w:rFonts w:hint="eastAsia"/>
          <w:b w:val="1"/>
        </w:rPr>
        <w:t>目录</w:t>
      </w:r>
    </w:p>
    <w:p w14:paraId="0000001D">
      <w:pPr>
        <w:pStyle w:val="000007"/>
        <w:tabs>
          <w:tab w:val="right" w:leader="dot" w:pos="9072"/>
        </w:tabs>
        <w:ind w:left="0"/>
      </w:pPr>
      <w:r>
        <w:fldChar w:fldCharType="begin" w:fldLock="0" w:dirty="0"/>
      </w:r>
      <w:r>
        <w:instrText xml:space="preserve"> TOC \o "1-2" \h \z \u </w:instrText>
      </w:r>
      <w:r>
        <w:fldChar w:fldCharType="separate" w:fldLock="0" w:dirty="0"/>
      </w:r>
      <w:r>
        <w:fldChar w:fldCharType="begin" w:fldLock="0" w:dirty="0"/>
      </w:r>
      <w:r>
        <w:instrText xml:space="preserve"> HYPERLINK \l "section-1" </w:instrText>
      </w:r>
      <w:r>
        <w:fldChar w:fldCharType="separate" w:fldLock="0" w:dirty="0"/>
      </w:r>
      <w:r>
        <w:rPr>
          <w:rFonts w:hint="eastAsia"/>
        </w:rPr>
        <w:t>1. 执行摘要</w:t>
      </w:r>
      <w:r>
        <w:fldChar w:fldCharType="end" w:fldLock="0" w:dirty="0"/>
      </w:r>
      <w:r>
        <w:tab/>
      </w:r>
      <w:r>
        <w:fldChar w:fldCharType="begin" w:fldLock="0" w:dirty="0"/>
      </w:r>
      <w:r>
        <w:instrText xml:space="preserve"> PAGEREF section-1 \h </w:instrText>
      </w:r>
      <w:r>
        <w:fldChar w:fldCharType="separate" w:fldLock="0" w:dirty="0"/>
      </w:r>
      <w:r>
        <w:t>1</w:t>
      </w:r>
      <w:r>
        <w:fldChar w:fldCharType="end" w:fldLock="0" w:dirty="0"/>
      </w:r>
    </w:p>
    <w:p w14:paraId="0000001E">
      <w:pPr>
        <w:pStyle w:val="000007"/>
        <w:tabs>
          <w:tab w:val="right" w:leader="dot" w:pos="9072"/>
        </w:tabs>
        <w:ind w:left="0"/>
      </w:pPr>
      <w:r>
        <w:fldChar w:fldCharType="begin" w:fldLock="0" w:dirty="0"/>
      </w:r>
      <w:r>
        <w:instrText xml:space="preserve"> HYPERLINK \l "section-2" </w:instrText>
      </w:r>
      <w:r>
        <w:fldChar w:fldCharType="separate" w:fldLock="0" w:dirty="0"/>
      </w:r>
      <w:r>
        <w:rPr>
          <w:rFonts w:hint="eastAsia"/>
        </w:rPr>
        <w:t>2. 研究范围与方法论</w:t>
      </w:r>
      <w:r>
        <w:fldChar w:fldCharType="end" w:fldLock="0" w:dirty="0"/>
      </w:r>
      <w:r>
        <w:tab/>
      </w:r>
      <w:r>
        <w:fldChar w:fldCharType="begin" w:fldLock="0" w:dirty="0"/>
      </w:r>
      <w:r>
        <w:instrText xml:space="preserve"> PAGEREF section-2 \h </w:instrText>
      </w:r>
      <w:r>
        <w:fldChar w:fldCharType="separate" w:fldLock="0" w:dirty="0"/>
      </w:r>
      <w:r>
        <w:t>1</w:t>
      </w:r>
      <w:r>
        <w:fldChar w:fldCharType="end" w:fldLock="0" w:dirty="0"/>
      </w:r>
    </w:p>
    <w:p w14:paraId="0000001F">
      <w:pPr>
        <w:pStyle w:val="000004"/>
        <w:tabs>
          <w:tab w:val="right" w:leader="dot" w:pos="9072"/>
        </w:tabs>
        <w:ind w:left="200"/>
      </w:pPr>
      <w:r>
        <w:fldChar w:fldCharType="begin" w:fldLock="0" w:dirty="0"/>
      </w:r>
      <w:r>
        <w:instrText xml:space="preserve"> HYPERLINK \l "section-2-1" </w:instrText>
      </w:r>
      <w:r>
        <w:fldChar w:fldCharType="separate" w:fldLock="0" w:dirty="0"/>
      </w:r>
      <w:r>
        <w:rPr>
          <w:rFonts w:hint="eastAsia"/>
        </w:rPr>
        <w:t>2.1 研究范围界定</w:t>
      </w:r>
      <w:r>
        <w:fldChar w:fldCharType="end" w:fldLock="0" w:dirty="0"/>
      </w:r>
      <w:r>
        <w:tab/>
      </w:r>
      <w:r>
        <w:fldChar w:fldCharType="begin" w:fldLock="0" w:dirty="0"/>
      </w:r>
      <w:r>
        <w:instrText xml:space="preserve"> PAGEREF section-2-1 \h </w:instrText>
      </w:r>
      <w:r>
        <w:fldChar w:fldCharType="separate" w:fldLock="0" w:dirty="0"/>
      </w:r>
      <w:r>
        <w:t>1</w:t>
      </w:r>
      <w:r>
        <w:fldChar w:fldCharType="end" w:fldLock="0" w:dirty="0"/>
      </w:r>
    </w:p>
    <w:p w14:paraId="00000020">
      <w:pPr>
        <w:pStyle w:val="000004"/>
        <w:tabs>
          <w:tab w:val="right" w:leader="dot" w:pos="9072"/>
        </w:tabs>
        <w:ind w:left="200"/>
      </w:pPr>
      <w:r>
        <w:fldChar w:fldCharType="begin" w:fldLock="0" w:dirty="0"/>
      </w:r>
      <w:r>
        <w:instrText xml:space="preserve"> HYPERLINK \l "section-2-2" </w:instrText>
      </w:r>
      <w:r>
        <w:fldChar w:fldCharType="separate" w:fldLock="0" w:dirty="0"/>
      </w:r>
      <w:r>
        <w:rPr>
          <w:rFonts w:hint="eastAsia"/>
        </w:rPr>
        <w:t>2.2 数据来源与口径说明</w:t>
      </w:r>
      <w:r>
        <w:fldChar w:fldCharType="end" w:fldLock="0" w:dirty="0"/>
      </w:r>
      <w:r>
        <w:tab/>
      </w:r>
      <w:r>
        <w:fldChar w:fldCharType="begin" w:fldLock="0" w:dirty="0"/>
      </w:r>
      <w:r>
        <w:instrText xml:space="preserve"> PAGEREF section-2-2 \h </w:instrText>
      </w:r>
      <w:r>
        <w:fldChar w:fldCharType="separate" w:fldLock="0" w:dirty="0"/>
      </w:r>
      <w:r>
        <w:t>1</w:t>
      </w:r>
      <w:r>
        <w:fldChar w:fldCharType="end" w:fldLock="0" w:dirty="0"/>
      </w:r>
    </w:p>
    <w:p w14:paraId="00000021">
      <w:pPr>
        <w:pStyle w:val="000004"/>
        <w:tabs>
          <w:tab w:val="right" w:leader="dot" w:pos="9072"/>
        </w:tabs>
        <w:ind w:left="200"/>
      </w:pPr>
      <w:r>
        <w:fldChar w:fldCharType="begin" w:fldLock="0" w:dirty="0"/>
      </w:r>
      <w:r>
        <w:instrText xml:space="preserve"> HYPERLINK \l "section-2-3" </w:instrText>
      </w:r>
      <w:r>
        <w:fldChar w:fldCharType="separate" w:fldLock="0" w:dirty="0"/>
      </w:r>
      <w:r>
        <w:rPr>
          <w:rFonts w:hint="eastAsia"/>
        </w:rPr>
        <w:t>2.3 分析方法</w:t>
      </w:r>
      <w:r>
        <w:fldChar w:fldCharType="end" w:fldLock="0" w:dirty="0"/>
      </w:r>
      <w:r>
        <w:tab/>
      </w:r>
      <w:r>
        <w:fldChar w:fldCharType="begin" w:fldLock="0" w:dirty="0"/>
      </w:r>
      <w:r>
        <w:instrText xml:space="preserve"> PAGEREF section-2-3 \h </w:instrText>
      </w:r>
      <w:r>
        <w:fldChar w:fldCharType="separate" w:fldLock="0" w:dirty="0"/>
      </w:r>
      <w:r>
        <w:t>1</w:t>
      </w:r>
      <w:r>
        <w:fldChar w:fldCharType="end" w:fldLock="0" w:dirty="0"/>
      </w:r>
    </w:p>
    <w:p w14:paraId="00000022">
      <w:pPr>
        <w:pStyle w:val="000007"/>
        <w:tabs>
          <w:tab w:val="right" w:leader="dot" w:pos="9072"/>
        </w:tabs>
        <w:ind w:left="0"/>
      </w:pPr>
      <w:r>
        <w:fldChar w:fldCharType="begin" w:fldLock="0" w:dirty="0"/>
      </w:r>
      <w:r>
        <w:instrText xml:space="preserve"> HYPERLINK \l "section-3" </w:instrText>
      </w:r>
      <w:r>
        <w:fldChar w:fldCharType="separate" w:fldLock="0" w:dirty="0"/>
      </w:r>
      <w:r>
        <w:rPr>
          <w:rFonts w:hint="eastAsia"/>
        </w:rPr>
        <w:t>3. 市场全景：规模、增速与渗透率</w:t>
      </w:r>
      <w:r>
        <w:fldChar w:fldCharType="end" w:fldLock="0" w:dirty="0"/>
      </w:r>
      <w:r>
        <w:tab/>
      </w:r>
      <w:r>
        <w:fldChar w:fldCharType="begin" w:fldLock="0" w:dirty="0"/>
      </w:r>
      <w:r>
        <w:instrText xml:space="preserve"> PAGEREF section-3 \h </w:instrText>
      </w:r>
      <w:r>
        <w:fldChar w:fldCharType="separate" w:fldLock="0" w:dirty="0"/>
      </w:r>
      <w:r>
        <w:t>1</w:t>
      </w:r>
      <w:r>
        <w:fldChar w:fldCharType="end" w:fldLock="0" w:dirty="0"/>
      </w:r>
    </w:p>
    <w:p w14:paraId="00000023">
      <w:pPr>
        <w:pStyle w:val="000004"/>
        <w:tabs>
          <w:tab w:val="right" w:leader="dot" w:pos="9072"/>
        </w:tabs>
        <w:ind w:left="200"/>
      </w:pPr>
      <w:r>
        <w:fldChar w:fldCharType="begin" w:fldLock="0" w:dirty="0"/>
      </w:r>
      <w:r>
        <w:instrText xml:space="preserve"> HYPERLINK \l "section-3-1" </w:instrText>
      </w:r>
      <w:r>
        <w:fldChar w:fldCharType="separate" w:fldLock="0" w:dirty="0"/>
      </w:r>
      <w:r>
        <w:rPr>
          <w:rFonts w:hint="eastAsia"/>
        </w:rPr>
        <w:t>3.1 总量与增速：多机构预测的方向性共识</w:t>
      </w:r>
      <w:r>
        <w:fldChar w:fldCharType="end" w:fldLock="0" w:dirty="0"/>
      </w:r>
      <w:r>
        <w:tab/>
      </w:r>
      <w:r>
        <w:fldChar w:fldCharType="begin" w:fldLock="0" w:dirty="0"/>
      </w:r>
      <w:r>
        <w:instrText xml:space="preserve"> PAGEREF section-3-1 \h </w:instrText>
      </w:r>
      <w:r>
        <w:fldChar w:fldCharType="separate" w:fldLock="0" w:dirty="0"/>
      </w:r>
      <w:r>
        <w:t>1</w:t>
      </w:r>
      <w:r>
        <w:fldChar w:fldCharType="end" w:fldLock="0" w:dirty="0"/>
      </w:r>
    </w:p>
    <w:p w14:paraId="00000024">
      <w:pPr>
        <w:pStyle w:val="000004"/>
        <w:tabs>
          <w:tab w:val="right" w:leader="dot" w:pos="9072"/>
        </w:tabs>
        <w:ind w:left="200"/>
      </w:pPr>
      <w:r>
        <w:fldChar w:fldCharType="begin" w:fldLock="0" w:dirty="0"/>
      </w:r>
      <w:r>
        <w:instrText xml:space="preserve"> HYPERLINK \l "section-3-2" </w:instrText>
      </w:r>
      <w:r>
        <w:fldChar w:fldCharType="separate" w:fldLock="0" w:dirty="0"/>
      </w:r>
      <w:r>
        <w:rPr>
          <w:rFonts w:hint="eastAsia"/>
        </w:rPr>
        <w:t>3.2 企业部署率：从试点迈向规模化的关键一跃</w:t>
      </w:r>
      <w:r>
        <w:fldChar w:fldCharType="end" w:fldLock="0" w:dirty="0"/>
      </w:r>
      <w:r>
        <w:tab/>
      </w:r>
      <w:r>
        <w:fldChar w:fldCharType="begin" w:fldLock="0" w:dirty="0"/>
      </w:r>
      <w:r>
        <w:instrText xml:space="preserve"> PAGEREF section-3-2 \h </w:instrText>
      </w:r>
      <w:r>
        <w:fldChar w:fldCharType="separate" w:fldLock="0" w:dirty="0"/>
      </w:r>
      <w:r>
        <w:t>1</w:t>
      </w:r>
      <w:r>
        <w:fldChar w:fldCharType="end" w:fldLock="0" w:dirty="0"/>
      </w:r>
    </w:p>
    <w:p w14:paraId="00000025">
      <w:pPr>
        <w:pStyle w:val="000007"/>
        <w:tabs>
          <w:tab w:val="right" w:leader="dot" w:pos="9072"/>
        </w:tabs>
        <w:ind w:left="0"/>
      </w:pPr>
      <w:r>
        <w:fldChar w:fldCharType="begin" w:fldLock="0" w:dirty="0"/>
      </w:r>
      <w:r>
        <w:instrText xml:space="preserve"> HYPERLINK \l "section-4" </w:instrText>
      </w:r>
      <w:r>
        <w:fldChar w:fldCharType="separate" w:fldLock="0" w:dirty="0"/>
      </w:r>
      <w:r>
        <w:rPr>
          <w:rFonts w:hint="eastAsia"/>
        </w:rPr>
        <w:t>4. 全球厂商竞争格局：市场份额排名</w:t>
      </w:r>
      <w:r>
        <w:fldChar w:fldCharType="end" w:fldLock="0" w:dirty="0"/>
      </w:r>
      <w:r>
        <w:tab/>
      </w:r>
      <w:r>
        <w:fldChar w:fldCharType="begin" w:fldLock="0" w:dirty="0"/>
      </w:r>
      <w:r>
        <w:instrText xml:space="preserve"> PAGEREF section-4 \h </w:instrText>
      </w:r>
      <w:r>
        <w:fldChar w:fldCharType="separate" w:fldLock="0" w:dirty="0"/>
      </w:r>
      <w:r>
        <w:t>1</w:t>
      </w:r>
      <w:r>
        <w:fldChar w:fldCharType="end" w:fldLock="0" w:dirty="0"/>
      </w:r>
    </w:p>
    <w:p w14:paraId="00000026">
      <w:pPr>
        <w:pStyle w:val="000004"/>
        <w:tabs>
          <w:tab w:val="right" w:leader="dot" w:pos="9072"/>
        </w:tabs>
        <w:ind w:left="200"/>
      </w:pPr>
      <w:r>
        <w:fldChar w:fldCharType="begin" w:fldLock="0" w:dirty="0"/>
      </w:r>
      <w:r>
        <w:instrText xml:space="preserve"> HYPERLINK \l "section-4-1" </w:instrText>
      </w:r>
      <w:r>
        <w:fldChar w:fldCharType="separate" w:fldLock="0" w:dirty="0"/>
      </w:r>
      <w:r>
        <w:rPr>
          <w:rFonts w:hint="eastAsia"/>
        </w:rPr>
        <w:t>4.1 总体格局：一超多强，CR5约六成</w:t>
      </w:r>
      <w:r>
        <w:fldChar w:fldCharType="end" w:fldLock="0" w:dirty="0"/>
      </w:r>
      <w:r>
        <w:tab/>
      </w:r>
      <w:r>
        <w:fldChar w:fldCharType="begin" w:fldLock="0" w:dirty="0"/>
      </w:r>
      <w:r>
        <w:instrText xml:space="preserve"> PAGEREF section-4-1 \h </w:instrText>
      </w:r>
      <w:r>
        <w:fldChar w:fldCharType="separate" w:fldLock="0" w:dirty="0"/>
      </w:r>
      <w:r>
        <w:t>1</w:t>
      </w:r>
      <w:r>
        <w:fldChar w:fldCharType="end" w:fldLock="0" w:dirty="0"/>
      </w:r>
    </w:p>
    <w:p w14:paraId="00000027">
      <w:pPr>
        <w:pStyle w:val="000004"/>
        <w:tabs>
          <w:tab w:val="right" w:leader="dot" w:pos="9072"/>
        </w:tabs>
        <w:ind w:left="200"/>
      </w:pPr>
      <w:r>
        <w:fldChar w:fldCharType="begin" w:fldLock="0" w:dirty="0"/>
      </w:r>
      <w:r>
        <w:instrText xml:space="preserve"> HYPERLINK \l "section-4-2" </w:instrText>
      </w:r>
      <w:r>
        <w:fldChar w:fldCharType="separate" w:fldLock="0" w:dirty="0"/>
      </w:r>
      <w:r>
        <w:rPr>
          <w:rFonts w:hint="eastAsia"/>
        </w:rPr>
        <w:t>4.2 企业实际部署口径：三大平台占据73%</w:t>
      </w:r>
      <w:r>
        <w:fldChar w:fldCharType="end" w:fldLock="0" w:dirty="0"/>
      </w:r>
      <w:r>
        <w:tab/>
      </w:r>
      <w:r>
        <w:fldChar w:fldCharType="begin" w:fldLock="0" w:dirty="0"/>
      </w:r>
      <w:r>
        <w:instrText xml:space="preserve"> PAGEREF section-4-2 \h </w:instrText>
      </w:r>
      <w:r>
        <w:fldChar w:fldCharType="separate" w:fldLock="0" w:dirty="0"/>
      </w:r>
      <w:r>
        <w:t>1</w:t>
      </w:r>
      <w:r>
        <w:fldChar w:fldCharType="end" w:fldLock="0" w:dirty="0"/>
      </w:r>
    </w:p>
    <w:p w14:paraId="00000028">
      <w:pPr>
        <w:pStyle w:val="000004"/>
        <w:tabs>
          <w:tab w:val="right" w:leader="dot" w:pos="9072"/>
        </w:tabs>
        <w:ind w:left="200"/>
      </w:pPr>
      <w:r>
        <w:fldChar w:fldCharType="begin" w:fldLock="0" w:dirty="0"/>
      </w:r>
      <w:r>
        <w:instrText xml:space="preserve"> HYPERLINK \l "section-4-3" </w:instrText>
      </w:r>
      <w:r>
        <w:fldChar w:fldCharType="separate" w:fldLock="0" w:dirty="0"/>
      </w:r>
      <w:r>
        <w:rPr>
          <w:rFonts w:hint="eastAsia"/>
        </w:rPr>
        <w:t>4.3 集中度趋势：巨头主导下的边际松动</w:t>
      </w:r>
      <w:r>
        <w:fldChar w:fldCharType="end" w:fldLock="0" w:dirty="0"/>
      </w:r>
      <w:r>
        <w:tab/>
      </w:r>
      <w:r>
        <w:fldChar w:fldCharType="begin" w:fldLock="0" w:dirty="0"/>
      </w:r>
      <w:r>
        <w:instrText xml:space="preserve"> PAGEREF section-4-3 \h </w:instrText>
      </w:r>
      <w:r>
        <w:fldChar w:fldCharType="separate" w:fldLock="0" w:dirty="0"/>
      </w:r>
      <w:r>
        <w:t>1</w:t>
      </w:r>
      <w:r>
        <w:fldChar w:fldCharType="end" w:fldLock="0" w:dirty="0"/>
      </w:r>
    </w:p>
    <w:p w14:paraId="00000029">
      <w:pPr>
        <w:pStyle w:val="000007"/>
        <w:tabs>
          <w:tab w:val="right" w:leader="dot" w:pos="9072"/>
        </w:tabs>
        <w:ind w:left="0"/>
      </w:pPr>
      <w:r>
        <w:fldChar w:fldCharType="begin" w:fldLock="0" w:dirty="0"/>
      </w:r>
      <w:r>
        <w:instrText xml:space="preserve"> HYPERLINK \l "section-5" </w:instrText>
      </w:r>
      <w:r>
        <w:fldChar w:fldCharType="separate" w:fldLock="0" w:dirty="0"/>
      </w:r>
      <w:r>
        <w:rPr>
          <w:rFonts w:hint="eastAsia"/>
        </w:rPr>
        <w:t>5. 区域市场格局</w:t>
      </w:r>
      <w:r>
        <w:fldChar w:fldCharType="end" w:fldLock="0" w:dirty="0"/>
      </w:r>
      <w:r>
        <w:tab/>
      </w:r>
      <w:r>
        <w:fldChar w:fldCharType="begin" w:fldLock="0" w:dirty="0"/>
      </w:r>
      <w:r>
        <w:instrText xml:space="preserve"> PAGEREF section-5 \h </w:instrText>
      </w:r>
      <w:r>
        <w:fldChar w:fldCharType="separate" w:fldLock="0" w:dirty="0"/>
      </w:r>
      <w:r>
        <w:t>1</w:t>
      </w:r>
      <w:r>
        <w:fldChar w:fldCharType="end" w:fldLock="0" w:dirty="0"/>
      </w:r>
    </w:p>
    <w:p w14:paraId="0000002A">
      <w:pPr>
        <w:pStyle w:val="000004"/>
        <w:tabs>
          <w:tab w:val="right" w:leader="dot" w:pos="9072"/>
        </w:tabs>
        <w:ind w:left="200"/>
      </w:pPr>
      <w:r>
        <w:fldChar w:fldCharType="begin" w:fldLock="0" w:dirty="0"/>
      </w:r>
      <w:r>
        <w:instrText xml:space="preserve"> HYPERLINK \l "section-5-1" </w:instrText>
      </w:r>
      <w:r>
        <w:fldChar w:fldCharType="separate" w:fldLock="0" w:dirty="0"/>
      </w:r>
      <w:r>
        <w:rPr>
          <w:rFonts w:hint="eastAsia"/>
        </w:rPr>
        <w:t>5.1 三大区域份额分层</w:t>
      </w:r>
      <w:r>
        <w:fldChar w:fldCharType="end" w:fldLock="0" w:dirty="0"/>
      </w:r>
      <w:r>
        <w:tab/>
      </w:r>
      <w:r>
        <w:fldChar w:fldCharType="begin" w:fldLock="0" w:dirty="0"/>
      </w:r>
      <w:r>
        <w:instrText xml:space="preserve"> PAGEREF section-5-1 \h </w:instrText>
      </w:r>
      <w:r>
        <w:fldChar w:fldCharType="separate" w:fldLock="0" w:dirty="0"/>
      </w:r>
      <w:r>
        <w:t>1</w:t>
      </w:r>
      <w:r>
        <w:fldChar w:fldCharType="end" w:fldLock="0" w:dirty="0"/>
      </w:r>
    </w:p>
    <w:p w14:paraId="0000002B">
      <w:pPr>
        <w:pStyle w:val="000004"/>
        <w:tabs>
          <w:tab w:val="right" w:leader="dot" w:pos="9072"/>
        </w:tabs>
        <w:ind w:left="200"/>
      </w:pPr>
      <w:r>
        <w:fldChar w:fldCharType="begin" w:fldLock="0" w:dirty="0"/>
      </w:r>
      <w:r>
        <w:instrText xml:space="preserve"> HYPERLINK \l "section-5-2" </w:instrText>
      </w:r>
      <w:r>
        <w:fldChar w:fldCharType="separate" w:fldLock="0" w:dirty="0"/>
      </w:r>
      <w:r>
        <w:rPr>
          <w:rFonts w:hint="eastAsia"/>
        </w:rPr>
        <w:t>5.2 区域格局的三个判断</w:t>
      </w:r>
      <w:r>
        <w:fldChar w:fldCharType="end" w:fldLock="0" w:dirty="0"/>
      </w:r>
      <w:r>
        <w:tab/>
      </w:r>
      <w:r>
        <w:fldChar w:fldCharType="begin" w:fldLock="0" w:dirty="0"/>
      </w:r>
      <w:r>
        <w:instrText xml:space="preserve"> PAGEREF section-5-2 \h </w:instrText>
      </w:r>
      <w:r>
        <w:fldChar w:fldCharType="separate" w:fldLock="0" w:dirty="0"/>
      </w:r>
      <w:r>
        <w:t>1</w:t>
      </w:r>
      <w:r>
        <w:fldChar w:fldCharType="end" w:fldLock="0" w:dirty="0"/>
      </w:r>
    </w:p>
    <w:p w14:paraId="0000002C">
      <w:pPr>
        <w:pStyle w:val="000007"/>
        <w:tabs>
          <w:tab w:val="right" w:leader="dot" w:pos="9072"/>
        </w:tabs>
        <w:ind w:left="0"/>
      </w:pPr>
      <w:r>
        <w:fldChar w:fldCharType="begin" w:fldLock="0" w:dirty="0"/>
      </w:r>
      <w:r>
        <w:instrText xml:space="preserve"> HYPERLINK \l "section-6" </w:instrText>
      </w:r>
      <w:r>
        <w:fldChar w:fldCharType="separate" w:fldLock="0" w:dirty="0"/>
      </w:r>
      <w:r>
        <w:rPr>
          <w:rFonts w:hint="eastAsia"/>
        </w:rPr>
        <w:t>6. 细分赛道格局</w:t>
      </w:r>
      <w:r>
        <w:fldChar w:fldCharType="end" w:fldLock="0" w:dirty="0"/>
      </w:r>
      <w:r>
        <w:tab/>
      </w:r>
      <w:r>
        <w:fldChar w:fldCharType="begin" w:fldLock="0" w:dirty="0"/>
      </w:r>
      <w:r>
        <w:instrText xml:space="preserve"> PAGEREF section-6 \h </w:instrText>
      </w:r>
      <w:r>
        <w:fldChar w:fldCharType="separate" w:fldLock="0" w:dirty="0"/>
      </w:r>
      <w:r>
        <w:t>1</w:t>
      </w:r>
      <w:r>
        <w:fldChar w:fldCharType="end" w:fldLock="0" w:dirty="0"/>
      </w:r>
    </w:p>
    <w:p w14:paraId="0000002D">
      <w:pPr>
        <w:pStyle w:val="000004"/>
        <w:tabs>
          <w:tab w:val="right" w:leader="dot" w:pos="9072"/>
        </w:tabs>
        <w:ind w:left="200"/>
      </w:pPr>
      <w:r>
        <w:fldChar w:fldCharType="begin" w:fldLock="0" w:dirty="0"/>
      </w:r>
      <w:r>
        <w:instrText xml:space="preserve"> HYPERLINK \l "section-6-1" </w:instrText>
      </w:r>
      <w:r>
        <w:fldChar w:fldCharType="separate" w:fldLock="0" w:dirty="0"/>
      </w:r>
      <w:r>
        <w:rPr>
          <w:rFonts w:hint="eastAsia"/>
        </w:rPr>
        <w:t>6.1 按产品形态：通用平台占近四成，工具中间件增速最快</w:t>
      </w:r>
      <w:r>
        <w:fldChar w:fldCharType="end" w:fldLock="0" w:dirty="0"/>
      </w:r>
      <w:r>
        <w:tab/>
      </w:r>
      <w:r>
        <w:fldChar w:fldCharType="begin" w:fldLock="0" w:dirty="0"/>
      </w:r>
      <w:r>
        <w:instrText xml:space="preserve"> PAGEREF section-6-1 \h </w:instrText>
      </w:r>
      <w:r>
        <w:fldChar w:fldCharType="separate" w:fldLock="0" w:dirty="0"/>
      </w:r>
      <w:r>
        <w:t>1</w:t>
      </w:r>
      <w:r>
        <w:fldChar w:fldCharType="end" w:fldLock="0" w:dirty="0"/>
      </w:r>
    </w:p>
    <w:p w14:paraId="0000002E">
      <w:pPr>
        <w:pStyle w:val="000004"/>
        <w:tabs>
          <w:tab w:val="right" w:leader="dot" w:pos="9072"/>
        </w:tabs>
        <w:ind w:left="200"/>
      </w:pPr>
      <w:r>
        <w:fldChar w:fldCharType="begin" w:fldLock="0" w:dirty="0"/>
      </w:r>
      <w:r>
        <w:instrText xml:space="preserve"> HYPERLINK \l "section-6-2" </w:instrText>
      </w:r>
      <w:r>
        <w:fldChar w:fldCharType="separate" w:fldLock="0" w:dirty="0"/>
      </w:r>
      <w:r>
        <w:rPr>
          <w:rFonts w:hint="eastAsia"/>
        </w:rPr>
        <w:t>6.2 按应用场景：客服最成熟，代码生成增速最猛</w:t>
      </w:r>
      <w:r>
        <w:fldChar w:fldCharType="end" w:fldLock="0" w:dirty="0"/>
      </w:r>
      <w:r>
        <w:tab/>
      </w:r>
      <w:r>
        <w:fldChar w:fldCharType="begin" w:fldLock="0" w:dirty="0"/>
      </w:r>
      <w:r>
        <w:instrText xml:space="preserve"> PAGEREF section-6-2 \h </w:instrText>
      </w:r>
      <w:r>
        <w:fldChar w:fldCharType="separate" w:fldLock="0" w:dirty="0"/>
      </w:r>
      <w:r>
        <w:t>1</w:t>
      </w:r>
      <w:r>
        <w:fldChar w:fldCharType="end" w:fldLock="0" w:dirty="0"/>
      </w:r>
    </w:p>
    <w:p w14:paraId="0000002F">
      <w:pPr>
        <w:pStyle w:val="000004"/>
        <w:tabs>
          <w:tab w:val="right" w:leader="dot" w:pos="9072"/>
        </w:tabs>
        <w:ind w:left="200"/>
      </w:pPr>
      <w:r>
        <w:fldChar w:fldCharType="begin" w:fldLock="0" w:dirty="0"/>
      </w:r>
      <w:r>
        <w:instrText xml:space="preserve"> HYPERLINK \l "section-6-3" </w:instrText>
      </w:r>
      <w:r>
        <w:fldChar w:fldCharType="separate" w:fldLock="0" w:dirty="0"/>
      </w:r>
      <w:r>
        <w:rPr>
          <w:rFonts w:hint="eastAsia"/>
        </w:rPr>
        <w:t>6.3 按产品与部署模式</w:t>
      </w:r>
      <w:r>
        <w:fldChar w:fldCharType="end" w:fldLock="0" w:dirty="0"/>
      </w:r>
      <w:r>
        <w:tab/>
      </w:r>
      <w:r>
        <w:fldChar w:fldCharType="begin" w:fldLock="0" w:dirty="0"/>
      </w:r>
      <w:r>
        <w:instrText xml:space="preserve"> PAGEREF section-6-3 \h </w:instrText>
      </w:r>
      <w:r>
        <w:fldChar w:fldCharType="separate" w:fldLock="0" w:dirty="0"/>
      </w:r>
      <w:r>
        <w:t>1</w:t>
      </w:r>
      <w:r>
        <w:fldChar w:fldCharType="end" w:fldLock="0" w:dirty="0"/>
      </w:r>
    </w:p>
    <w:p w14:paraId="00000030">
      <w:pPr>
        <w:pStyle w:val="000007"/>
        <w:tabs>
          <w:tab w:val="right" w:leader="dot" w:pos="9072"/>
        </w:tabs>
        <w:ind w:left="0"/>
      </w:pPr>
      <w:r>
        <w:fldChar w:fldCharType="begin" w:fldLock="0" w:dirty="0"/>
      </w:r>
      <w:r>
        <w:instrText xml:space="preserve"> HYPERLINK \l "section-7" </w:instrText>
      </w:r>
      <w:r>
        <w:fldChar w:fldCharType="separate" w:fldLock="0" w:dirty="0"/>
      </w:r>
      <w:r>
        <w:rPr>
          <w:rFonts w:hint="eastAsia"/>
        </w:rPr>
        <w:t>7. 中国市场格局</w:t>
      </w:r>
      <w:r>
        <w:fldChar w:fldCharType="end" w:fldLock="0" w:dirty="0"/>
      </w:r>
      <w:r>
        <w:tab/>
      </w:r>
      <w:r>
        <w:fldChar w:fldCharType="begin" w:fldLock="0" w:dirty="0"/>
      </w:r>
      <w:r>
        <w:instrText xml:space="preserve"> PAGEREF section-7 \h </w:instrText>
      </w:r>
      <w:r>
        <w:fldChar w:fldCharType="separate" w:fldLock="0" w:dirty="0"/>
      </w:r>
      <w:r>
        <w:t>1</w:t>
      </w:r>
      <w:r>
        <w:fldChar w:fldCharType="end" w:fldLock="0" w:dirty="0"/>
      </w:r>
    </w:p>
    <w:p w14:paraId="00000031">
      <w:pPr>
        <w:pStyle w:val="000004"/>
        <w:tabs>
          <w:tab w:val="right" w:leader="dot" w:pos="9072"/>
        </w:tabs>
        <w:ind w:left="200"/>
      </w:pPr>
      <w:r>
        <w:fldChar w:fldCharType="begin" w:fldLock="0" w:dirty="0"/>
      </w:r>
      <w:r>
        <w:instrText xml:space="preserve"> HYPERLINK \l "section-7-1" </w:instrText>
      </w:r>
      <w:r>
        <w:fldChar w:fldCharType="separate" w:fldLock="0" w:dirty="0"/>
      </w:r>
      <w:r>
        <w:rPr>
          <w:rFonts w:hint="eastAsia"/>
        </w:rPr>
        <w:t>7.1 市场规模：增速领先全球</w:t>
      </w:r>
      <w:r>
        <w:fldChar w:fldCharType="end" w:fldLock="0" w:dirty="0"/>
      </w:r>
      <w:r>
        <w:tab/>
      </w:r>
      <w:r>
        <w:fldChar w:fldCharType="begin" w:fldLock="0" w:dirty="0"/>
      </w:r>
      <w:r>
        <w:instrText xml:space="preserve"> PAGEREF section-7-1 \h </w:instrText>
      </w:r>
      <w:r>
        <w:fldChar w:fldCharType="separate" w:fldLock="0" w:dirty="0"/>
      </w:r>
      <w:r>
        <w:t>1</w:t>
      </w:r>
      <w:r>
        <w:fldChar w:fldCharType="end" w:fldLock="0" w:dirty="0"/>
      </w:r>
    </w:p>
    <w:p w14:paraId="00000032">
      <w:pPr>
        <w:pStyle w:val="000004"/>
        <w:tabs>
          <w:tab w:val="right" w:leader="dot" w:pos="9072"/>
        </w:tabs>
        <w:ind w:left="200"/>
      </w:pPr>
      <w:r>
        <w:fldChar w:fldCharType="begin" w:fldLock="0" w:dirty="0"/>
      </w:r>
      <w:r>
        <w:instrText xml:space="preserve"> HYPERLINK \l "section-7-2" </w:instrText>
      </w:r>
      <w:r>
        <w:fldChar w:fldCharType="separate" w:fldLock="0" w:dirty="0"/>
      </w:r>
      <w:r>
        <w:rPr>
          <w:rFonts w:hint="eastAsia"/>
        </w:rPr>
        <w:t>7.2 综合平台份额：五大巨头分食半壁江山</w:t>
      </w:r>
      <w:r>
        <w:fldChar w:fldCharType="end" w:fldLock="0" w:dirty="0"/>
      </w:r>
      <w:r>
        <w:tab/>
      </w:r>
      <w:r>
        <w:fldChar w:fldCharType="begin" w:fldLock="0" w:dirty="0"/>
      </w:r>
      <w:r>
        <w:instrText xml:space="preserve"> PAGEREF section-7-2 \h </w:instrText>
      </w:r>
      <w:r>
        <w:fldChar w:fldCharType="separate" w:fldLock="0" w:dirty="0"/>
      </w:r>
      <w:r>
        <w:t>1</w:t>
      </w:r>
      <w:r>
        <w:fldChar w:fldCharType="end" w:fldLock="0" w:dirty="0"/>
      </w:r>
    </w:p>
    <w:p w14:paraId="00000033">
      <w:pPr>
        <w:pStyle w:val="000004"/>
        <w:tabs>
          <w:tab w:val="right" w:leader="dot" w:pos="9072"/>
        </w:tabs>
        <w:ind w:left="200"/>
      </w:pPr>
      <w:r>
        <w:fldChar w:fldCharType="begin" w:fldLock="0" w:dirty="0"/>
      </w:r>
      <w:r>
        <w:instrText xml:space="preserve"> HYPERLINK \l "section-7-3" </w:instrText>
      </w:r>
      <w:r>
        <w:fldChar w:fldCharType="separate" w:fldLock="0" w:dirty="0"/>
      </w:r>
      <w:r>
        <w:rPr>
          <w:rFonts w:hint="eastAsia"/>
        </w:rPr>
        <w:t>7.3 细分赛道：办公Agent三强格局</w:t>
      </w:r>
      <w:r>
        <w:fldChar w:fldCharType="end" w:fldLock="0" w:dirty="0"/>
      </w:r>
      <w:r>
        <w:tab/>
      </w:r>
      <w:r>
        <w:fldChar w:fldCharType="begin" w:fldLock="0" w:dirty="0"/>
      </w:r>
      <w:r>
        <w:instrText xml:space="preserve"> PAGEREF section-7-3 \h </w:instrText>
      </w:r>
      <w:r>
        <w:fldChar w:fldCharType="separate" w:fldLock="0" w:dirty="0"/>
      </w:r>
      <w:r>
        <w:t>1</w:t>
      </w:r>
      <w:r>
        <w:fldChar w:fldCharType="end" w:fldLock="0" w:dirty="0"/>
      </w:r>
    </w:p>
    <w:p w14:paraId="00000034">
      <w:pPr>
        <w:pStyle w:val="000004"/>
        <w:tabs>
          <w:tab w:val="right" w:leader="dot" w:pos="9072"/>
        </w:tabs>
        <w:ind w:left="200"/>
      </w:pPr>
      <w:r>
        <w:fldChar w:fldCharType="begin" w:fldLock="0" w:dirty="0"/>
      </w:r>
      <w:r>
        <w:instrText xml:space="preserve"> HYPERLINK \l "section-7-4" </w:instrText>
      </w:r>
      <w:r>
        <w:fldChar w:fldCharType="separate" w:fldLock="0" w:dirty="0"/>
      </w:r>
      <w:r>
        <w:rPr>
          <w:rFonts w:hint="eastAsia"/>
        </w:rPr>
        <w:t>7.4 细分赛道：私有化部署市场</w:t>
      </w:r>
      <w:r>
        <w:fldChar w:fldCharType="end" w:fldLock="0" w:dirty="0"/>
      </w:r>
      <w:r>
        <w:tab/>
      </w:r>
      <w:r>
        <w:fldChar w:fldCharType="begin" w:fldLock="0" w:dirty="0"/>
      </w:r>
      <w:r>
        <w:instrText xml:space="preserve"> PAGEREF section-7-4 \h </w:instrText>
      </w:r>
      <w:r>
        <w:fldChar w:fldCharType="separate" w:fldLock="0" w:dirty="0"/>
      </w:r>
      <w:r>
        <w:t>1</w:t>
      </w:r>
      <w:r>
        <w:fldChar w:fldCharType="end" w:fldLock="0" w:dirty="0"/>
      </w:r>
    </w:p>
    <w:p w14:paraId="00000035">
      <w:pPr>
        <w:pStyle w:val="000004"/>
        <w:tabs>
          <w:tab w:val="right" w:leader="dot" w:pos="9072"/>
        </w:tabs>
        <w:ind w:left="200"/>
      </w:pPr>
      <w:r>
        <w:fldChar w:fldCharType="begin" w:fldLock="0" w:dirty="0"/>
      </w:r>
      <w:r>
        <w:instrText xml:space="preserve"> HYPERLINK \l "section-7-5" </w:instrText>
      </w:r>
      <w:r>
        <w:fldChar w:fldCharType="separate" w:fldLock="0" w:dirty="0"/>
      </w:r>
      <w:r>
        <w:rPr>
          <w:rFonts w:hint="eastAsia"/>
        </w:rPr>
        <w:t>7.5 中国市场的结构性特征</w:t>
      </w:r>
      <w:r>
        <w:fldChar w:fldCharType="end" w:fldLock="0" w:dirty="0"/>
      </w:r>
      <w:r>
        <w:tab/>
      </w:r>
      <w:r>
        <w:fldChar w:fldCharType="begin" w:fldLock="0" w:dirty="0"/>
      </w:r>
      <w:r>
        <w:instrText xml:space="preserve"> PAGEREF section-7-5 \h </w:instrText>
      </w:r>
      <w:r>
        <w:fldChar w:fldCharType="separate" w:fldLock="0" w:dirty="0"/>
      </w:r>
      <w:r>
        <w:t>1</w:t>
      </w:r>
      <w:r>
        <w:fldChar w:fldCharType="end" w:fldLock="0" w:dirty="0"/>
      </w:r>
    </w:p>
    <w:p w14:paraId="00000036">
      <w:pPr>
        <w:pStyle w:val="000007"/>
        <w:tabs>
          <w:tab w:val="right" w:leader="dot" w:pos="9072"/>
        </w:tabs>
        <w:ind w:left="0"/>
      </w:pPr>
      <w:r>
        <w:fldChar w:fldCharType="begin" w:fldLock="0" w:dirty="0"/>
      </w:r>
      <w:r>
        <w:instrText xml:space="preserve"> HYPERLINK \l "section-8" </w:instrText>
      </w:r>
      <w:r>
        <w:fldChar w:fldCharType="separate" w:fldLock="0" w:dirty="0"/>
      </w:r>
      <w:r>
        <w:rPr>
          <w:rFonts w:hint="eastAsia"/>
        </w:rPr>
        <w:t>8. 产业链价值分布</w:t>
      </w:r>
      <w:r>
        <w:fldChar w:fldCharType="end" w:fldLock="0" w:dirty="0"/>
      </w:r>
      <w:r>
        <w:tab/>
      </w:r>
      <w:r>
        <w:fldChar w:fldCharType="begin" w:fldLock="0" w:dirty="0"/>
      </w:r>
      <w:r>
        <w:instrText xml:space="preserve"> PAGEREF section-8 \h </w:instrText>
      </w:r>
      <w:r>
        <w:fldChar w:fldCharType="separate" w:fldLock="0" w:dirty="0"/>
      </w:r>
      <w:r>
        <w:t>1</w:t>
      </w:r>
      <w:r>
        <w:fldChar w:fldCharType="end" w:fldLock="0" w:dirty="0"/>
      </w:r>
    </w:p>
    <w:p w14:paraId="00000037">
      <w:pPr>
        <w:pStyle w:val="000007"/>
        <w:tabs>
          <w:tab w:val="right" w:leader="dot" w:pos="9072"/>
        </w:tabs>
        <w:ind w:left="0"/>
      </w:pPr>
      <w:r>
        <w:fldChar w:fldCharType="begin" w:fldLock="0" w:dirty="0"/>
      </w:r>
      <w:r>
        <w:instrText xml:space="preserve"> HYPERLINK \l "section-9" </w:instrText>
      </w:r>
      <w:r>
        <w:fldChar w:fldCharType="separate" w:fldLock="0" w:dirty="0"/>
      </w:r>
      <w:r>
        <w:rPr>
          <w:rFonts w:hint="eastAsia"/>
        </w:rPr>
        <w:t>9. 趋势预判（2026-2030）</w:t>
      </w:r>
      <w:r>
        <w:fldChar w:fldCharType="end" w:fldLock="0" w:dirty="0"/>
      </w:r>
      <w:r>
        <w:tab/>
      </w:r>
      <w:r>
        <w:fldChar w:fldCharType="begin" w:fldLock="0" w:dirty="0"/>
      </w:r>
      <w:r>
        <w:instrText xml:space="preserve"> PAGEREF section-9 \h </w:instrText>
      </w:r>
      <w:r>
        <w:fldChar w:fldCharType="separate" w:fldLock="0" w:dirty="0"/>
      </w:r>
      <w:r>
        <w:t>1</w:t>
      </w:r>
      <w:r>
        <w:fldChar w:fldCharType="end" w:fldLock="0" w:dirty="0"/>
      </w:r>
    </w:p>
    <w:p w14:paraId="00000038">
      <w:pPr>
        <w:pStyle w:val="000007"/>
        <w:tabs>
          <w:tab w:val="right" w:leader="dot" w:pos="9072"/>
        </w:tabs>
        <w:ind w:left="0"/>
      </w:pPr>
      <w:r>
        <w:fldChar w:fldCharType="begin" w:fldLock="0" w:dirty="0"/>
      </w:r>
      <w:r>
        <w:instrText xml:space="preserve"> HYPERLINK \l "section-10" </w:instrText>
      </w:r>
      <w:r>
        <w:fldChar w:fldCharType="separate" w:fldLock="0" w:dirty="0"/>
      </w:r>
      <w:r>
        <w:rPr>
          <w:rFonts w:hint="eastAsia"/>
        </w:rPr>
        <w:t>10. 结论与建议</w:t>
      </w:r>
      <w:r>
        <w:fldChar w:fldCharType="end" w:fldLock="0" w:dirty="0"/>
      </w:r>
      <w:r>
        <w:tab/>
      </w:r>
      <w:r>
        <w:fldChar w:fldCharType="begin" w:fldLock="0" w:dirty="0"/>
      </w:r>
      <w:r>
        <w:instrText xml:space="preserve"> PAGEREF section-10 \h </w:instrText>
      </w:r>
      <w:r>
        <w:fldChar w:fldCharType="separate" w:fldLock="0" w:dirty="0"/>
      </w:r>
      <w:r>
        <w:t>1</w:t>
      </w:r>
      <w:r>
        <w:fldChar w:fldCharType="end" w:fldLock="0" w:dirty="0"/>
      </w:r>
    </w:p>
    <w:p w14:paraId="00000039">
      <w:pPr>
        <w:pStyle w:val="000004"/>
        <w:tabs>
          <w:tab w:val="right" w:leader="dot" w:pos="9072"/>
        </w:tabs>
        <w:ind w:left="200"/>
      </w:pPr>
      <w:r>
        <w:fldChar w:fldCharType="begin" w:fldLock="0" w:dirty="0"/>
      </w:r>
      <w:r>
        <w:instrText xml:space="preserve"> HYPERLINK \l "section-10-1" </w:instrText>
      </w:r>
      <w:r>
        <w:fldChar w:fldCharType="separate" w:fldLock="0" w:dirty="0"/>
      </w:r>
      <w:r>
        <w:rPr>
          <w:rFonts w:hint="eastAsia"/>
        </w:rPr>
        <w:t>10.1 核心结论</w:t>
      </w:r>
      <w:r>
        <w:fldChar w:fldCharType="end" w:fldLock="0" w:dirty="0"/>
      </w:r>
      <w:r>
        <w:tab/>
      </w:r>
      <w:r>
        <w:fldChar w:fldCharType="begin" w:fldLock="0" w:dirty="0"/>
      </w:r>
      <w:r>
        <w:instrText xml:space="preserve"> PAGEREF section-10-1 \h </w:instrText>
      </w:r>
      <w:r>
        <w:fldChar w:fldCharType="separate" w:fldLock="0" w:dirty="0"/>
      </w:r>
      <w:r>
        <w:t>1</w:t>
      </w:r>
      <w:r>
        <w:fldChar w:fldCharType="end" w:fldLock="0" w:dirty="0"/>
      </w:r>
    </w:p>
    <w:p w14:paraId="0000003A">
      <w:pPr>
        <w:pStyle w:val="000004"/>
        <w:tabs>
          <w:tab w:val="right" w:leader="dot" w:pos="9072"/>
        </w:tabs>
        <w:ind w:left="200"/>
      </w:pPr>
      <w:r>
        <w:fldChar w:fldCharType="begin" w:fldLock="0" w:dirty="0"/>
      </w:r>
      <w:r>
        <w:instrText xml:space="preserve"> HYPERLINK \l "section-10-2" </w:instrText>
      </w:r>
      <w:r>
        <w:fldChar w:fldCharType="separate" w:fldLock="0" w:dirty="0"/>
      </w:r>
      <w:r>
        <w:rPr>
          <w:rFonts w:hint="eastAsia"/>
        </w:rPr>
        <w:t>10.2 对不同类型读者的建议</w:t>
      </w:r>
      <w:r>
        <w:fldChar w:fldCharType="end" w:fldLock="0" w:dirty="0"/>
      </w:r>
      <w:r>
        <w:tab/>
      </w:r>
      <w:r>
        <w:fldChar w:fldCharType="begin" w:fldLock="0" w:dirty="0"/>
      </w:r>
      <w:r>
        <w:instrText xml:space="preserve"> PAGEREF section-10-2 \h </w:instrText>
      </w:r>
      <w:r>
        <w:fldChar w:fldCharType="separate" w:fldLock="0" w:dirty="0"/>
      </w:r>
      <w:r>
        <w:t>1</w:t>
      </w:r>
      <w:r>
        <w:fldChar w:fldCharType="end" w:fldLock="0" w:dirty="0"/>
      </w:r>
    </w:p>
    <w:p w14:paraId="0000003B">
      <w:pPr>
        <w:pStyle w:val="000007"/>
        <w:tabs>
          <w:tab w:val="right" w:leader="dot" w:pos="9072"/>
        </w:tabs>
        <w:ind w:left="0"/>
      </w:pPr>
      <w:r>
        <w:fldChar w:fldCharType="begin" w:fldLock="0" w:dirty="0"/>
      </w:r>
      <w:r>
        <w:instrText xml:space="preserve"> HYPERLINK \l "section-11" </w:instrText>
      </w:r>
      <w:r>
        <w:fldChar w:fldCharType="separate" w:fldLock="0" w:dirty="0"/>
      </w:r>
      <w:r>
        <w:rPr>
          <w:rFonts w:hint="eastAsia"/>
        </w:rPr>
        <w:t>11. 风险提示</w:t>
      </w:r>
      <w:r>
        <w:fldChar w:fldCharType="end" w:fldLock="0" w:dirty="0"/>
      </w:r>
      <w:r>
        <w:tab/>
      </w:r>
      <w:r>
        <w:fldChar w:fldCharType="begin" w:fldLock="0" w:dirty="0"/>
      </w:r>
      <w:r>
        <w:instrText xml:space="preserve"> PAGEREF section-11 \h </w:instrText>
      </w:r>
      <w:r>
        <w:fldChar w:fldCharType="separate" w:fldLock="0" w:dirty="0"/>
      </w:r>
      <w:r>
        <w:t>1</w:t>
      </w:r>
      <w:r>
        <w:fldChar w:fldCharType="end" w:fldLock="0" w:dirty="0"/>
      </w:r>
    </w:p>
    <w:p w14:paraId="0000003C">
      <w:pPr>
        <w:pStyle w:val="000007"/>
        <w:tabs>
          <w:tab w:val="right" w:leader="dot" w:pos="9072"/>
        </w:tabs>
        <w:ind w:left="0"/>
      </w:pPr>
      <w:r>
        <w:fldChar w:fldCharType="begin" w:fldLock="0" w:dirty="0"/>
      </w:r>
      <w:r>
        <w:instrText xml:space="preserve"> HYPERLINK \l "section-12" </w:instrText>
      </w:r>
      <w:r>
        <w:fldChar w:fldCharType="separate" w:fldLock="0" w:dirty="0"/>
      </w:r>
      <w:r>
        <w:rPr>
          <w:rFonts w:hint="eastAsia"/>
        </w:rPr>
        <w:t>附录A：主要数据来源与口径对照</w:t>
      </w:r>
      <w:r>
        <w:fldChar w:fldCharType="end" w:fldLock="0" w:dirty="0"/>
      </w:r>
      <w:r>
        <w:tab/>
      </w:r>
      <w:r>
        <w:fldChar w:fldCharType="begin" w:fldLock="0" w:dirty="0"/>
      </w:r>
      <w:r>
        <w:instrText xml:space="preserve"> PAGEREF section-12 \h </w:instrText>
      </w:r>
      <w:r>
        <w:fldChar w:fldCharType="separate" w:fldLock="0" w:dirty="0"/>
      </w:r>
      <w:r>
        <w:t>1</w:t>
      </w:r>
      <w:r>
        <w:fldChar w:fldCharType="end" w:fldLock="0" w:dirty="0"/>
      </w:r>
    </w:p>
    <w:p w14:paraId="0000003D">
      <w:pPr>
        <w:pStyle w:val="000007"/>
        <w:tabs>
          <w:tab w:val="right" w:leader="dot" w:pos="9072"/>
        </w:tabs>
        <w:ind w:left="0"/>
      </w:pPr>
      <w:r>
        <w:fldChar w:fldCharType="begin" w:fldLock="0" w:dirty="0"/>
      </w:r>
      <w:r>
        <w:instrText xml:space="preserve"> HYPERLINK \l "section-13" </w:instrText>
      </w:r>
      <w:r>
        <w:fldChar w:fldCharType="separate" w:fldLock="0" w:dirty="0"/>
      </w:r>
      <w:r>
        <w:rPr>
          <w:rFonts w:hint="eastAsia"/>
        </w:rPr>
        <w:t>附录B：术语表</w:t>
      </w:r>
      <w:r>
        <w:fldChar w:fldCharType="end" w:fldLock="0" w:dirty="0"/>
      </w:r>
      <w:r>
        <w:tab/>
      </w:r>
      <w:r>
        <w:fldChar w:fldCharType="begin" w:fldLock="0" w:dirty="0"/>
      </w:r>
      <w:r>
        <w:instrText xml:space="preserve"> PAGEREF section-13 \h </w:instrText>
      </w:r>
      <w:r>
        <w:fldChar w:fldCharType="separate" w:fldLock="0" w:dirty="0"/>
      </w:r>
      <w:r>
        <w:t>1</w:t>
      </w:r>
      <w:r>
        <w:fldChar w:fldCharType="end" w:fldLock="0" w:dirty="0"/>
      </w:r>
      <w:r>
        <w:fldChar w:fldCharType="end" w:fldLock="0" w:dirty="0"/>
      </w:r>
    </w:p>
    <w:p w14:paraId="0000003E">
      <w:pPr>
        <w:sectPr>
          <w:type w:val="nextPage"/>
          <w:pgSz w:w="11906" w:h="16838"/>
          <w:pgMar w:top="1440" w:right="1800" w:bottom="1440" w:left="1800" w:header="851" w:footer="992" w:gutter="0"/>
        </w:sectPr>
      </w:pPr>
    </w:p>
    <w:p w14:paraId="0000003F">
      <w:pPr>
        <w:pStyle w:val="000008"/>
        <w:keepNext w:val="1"/>
        <w:keepLines w:val="1"/>
        <w:shd w:val="clear" w:fill="1a237e"/>
        <w:spacing w:before="288" w:beforeAutospacing="1" w:after="216" w:afterAutospacing="1" w:line="360"/>
        <w:ind w:left="0" w:right="0"/>
        <w:jc w:val="left"/>
        <w:outlineLvl w:val="0"/>
        <w:rPr>
          <w:color w:val="ffffff"/>
          <w:kern w:val="44"/>
          <w:sz w:val="44"/>
          <w:szCs w:val="44"/>
        </w:rPr>
      </w:pPr>
      <w:bookmarkStart w:id="1" w:name="section-1"/>
      <w:r>
        <w:rPr>
          <w:rFonts w:hint="eastAsia" w:ascii="黑体" w:hAnsi="黑体" w:eastAsia="黑体" w:cs="黑体"/>
          <w:b w:val="1"/>
          <w:color w:val="ffffff"/>
          <w:sz w:val="26"/>
        </w:rPr>
        <w:t>1. 执行摘要</w:t>
      </w:r>
      <w:bookmarkEnd w:id="1"/>
    </w:p>
    <w:tbl>
      <w:tblPr>
        <w:tblW w:w="8306" w:type="dxa"/>
        <w:shd w:color="1a1a1a"/>
        <w:tblLayout w:type="autofit"/>
        <w:tblCellMar>
          <w:top w:w="0" w:type="dxa"/>
          <w:left w:w="0" w:type="dxa"/>
          <w:bottom w:w="0" w:type="dxa"/>
          <w:right w:w="0" w:type="dxa"/>
        </w:tblCellMar>
      </w:tblPr>
      <w:tblGrid>
        <w:gridCol w:w="8306"/>
      </w:tblGrid>
      <w:tr>
        <w:trPr>
          <w:tblHeader w:val="1"/>
        </w:trPr>
        <w:tc>
          <w:tcPr>
            <w:tcW w:w="8306" w:type="dxa"/>
            <w:tcBorders>
              <w:left w:val="single" w:color="1a237e" w:sz="18"/>
            </w:tcBorders>
            <w:shd w:val="clear" w:fill="eef2f9"/>
            <w:tcMar>
              <w:top w:w="192" w:type="dxa"/>
              <w:left w:w="192" w:type="dxa"/>
              <w:bottom w:w="0" w:type="dxa"/>
              <w:right w:w="192" w:type="dxa"/>
            </w:tcMar>
            <w:vAlign w:val="center"/>
          </w:tcPr>
          <w:p w14:paraId="00000040">
            <w:pPr>
              <w:jc w:val="left"/>
              <w:rPr>
                <w:b w:val="1"/>
                <w:bCs w:val="1"/>
                <w:color w:val="1a237e"/>
              </w:rPr>
            </w:pPr>
            <w:r>
              <w:rPr>
                <w:rFonts w:hint="eastAsia" w:ascii="黑体" w:hAnsi="黑体" w:eastAsia="黑体" w:cs="黑体"/>
                <w:b w:val="1"/>
                <w:color w:val="1a237e"/>
                <w:sz w:val="20"/>
              </w:rPr>
              <w:t>核心观点</w:t>
            </w:r>
          </w:p>
        </w:tc>
      </w:tr>
      <w:tr>
        <w:trPr/>
        <w:tc>
          <w:tcPr>
            <w:tcW w:w="8306" w:type="dxa"/>
            <w:tcBorders>
              <w:left w:val="single" w:color="1a237e" w:sz="18"/>
            </w:tcBorders>
            <w:shd w:val="clear" w:fill="eef2f9"/>
            <w:tcMar>
              <w:top w:w="120" w:type="dxa"/>
              <w:left w:w="192" w:type="dxa"/>
              <w:bottom w:w="192" w:type="dxa"/>
              <w:right w:w="192" w:type="dxa"/>
            </w:tcMar>
            <w:vAlign w:val="center"/>
          </w:tcPr>
          <w:p w14:paraId="00000041">
            <w:pPr>
              <w:spacing w:before="45" w:after="45"/>
              <w:ind w:left="0" w:right="0" w:firstLine="480"/>
              <w:jc w:val="both"/>
              <w:rPr>
                <w:color w:val="1a1a1a"/>
              </w:rPr>
            </w:pPr>
            <w:r>
              <w:rPr>
                <w:rFonts w:hint="eastAsia" w:ascii="宋体" w:hAnsi="宋体" w:eastAsia="宋体" w:cs="宋体"/>
                <w:b w:val="1"/>
                <w:color w:val="1a1a1a"/>
                <w:sz w:val="18"/>
              </w:rPr>
              <w:t>第一，市场规模高速膨胀，但统计口径分歧巨大。</w:t>
            </w:r>
            <w:r>
              <w:rPr>
                <w:rFonts w:hint="eastAsia" w:ascii="宋体" w:hAnsi="宋体" w:eastAsia="宋体" w:cs="宋体"/>
                <w:color w:val="1a1a1a"/>
                <w:sz w:val="18"/>
              </w:rPr>
              <w:t>据 MarketsandMarkets（2025年4月），全球 AI Agents 软件市场 2025 年规模约 78.4 亿美元，预计 2030 年达 526.2 亿美元，复合增速 46.3%；而据 IIM（2026年）的宽口径测算（含应用层服务收入），2025 年全球 Agentic AI 应用市场约 198 亿美元，2026 年预计达 412 亿美元，同比增长 108.1%。窄口径与宽口径之间的差距可达 3-5 倍，引用市场份额数据时必须首先明确口径。</w:t>
            </w:r>
          </w:p>
          <w:p w14:paraId="00000042">
            <w:pPr>
              <w:spacing w:before="45" w:after="45"/>
              <w:ind w:left="0" w:right="0" w:firstLine="480"/>
              <w:jc w:val="both"/>
              <w:rPr>
                <w:color w:val="1a1a1a"/>
              </w:rPr>
            </w:pPr>
            <w:r>
              <w:rPr>
                <w:rFonts w:hint="eastAsia" w:ascii="宋体" w:hAnsi="宋体" w:eastAsia="宋体" w:cs="宋体"/>
                <w:b w:val="1"/>
                <w:color w:val="1a1a1a"/>
                <w:sz w:val="18"/>
              </w:rPr>
              <w:t>第二，全球竞争格局呈"一超多强"，巨头主导但集中度开始松动。</w:t>
            </w:r>
            <w:r>
              <w:rPr>
                <w:rFonts w:hint="eastAsia" w:ascii="宋体" w:hAnsi="宋体" w:eastAsia="宋体" w:cs="宋体"/>
                <w:color w:val="1a1a1a"/>
                <w:sz w:val="18"/>
              </w:rPr>
              <w:t>据 IIM（2026年），2026 年全球前十大 Agentic AI 应用供应商合计占据 68.9% 份额，其中微软以 17.2% 居首，Salesforce（14.5%）、ServiceNow（11.8%）、亚马逊云科技（9.6%）、谷歌云（7.3%）分列二至五位，CR5 约 60.4%。另据 Digital Applied（2026年）的企业实际部署口径，微软 Copilot Studio、Salesforce Agentforce 与 Anthropic Claude API 三家合计占企业部署量的 73%。值得注意的是，CR5 较 2025 年下降约 4 个百分点，垂直领域专业厂商正在快速侵蚀综合巨头的份额。</w:t>
            </w:r>
          </w:p>
          <w:p w14:paraId="00000043">
            <w:pPr>
              <w:spacing w:before="45" w:after="45"/>
              <w:ind w:left="0" w:right="0" w:firstLine="480"/>
              <w:jc w:val="both"/>
              <w:rPr>
                <w:color w:val="1a1a1a"/>
              </w:rPr>
            </w:pPr>
            <w:r>
              <w:rPr>
                <w:rFonts w:hint="eastAsia" w:ascii="宋体" w:hAnsi="宋体" w:eastAsia="宋体" w:cs="宋体"/>
                <w:b w:val="1"/>
                <w:color w:val="1a1a1a"/>
                <w:sz w:val="18"/>
              </w:rPr>
              <w:t>第三，区域格局"北美领跑、亚太提速"，中国是全球增长极。</w:t>
            </w:r>
            <w:r>
              <w:rPr>
                <w:rFonts w:hint="eastAsia" w:ascii="宋体" w:hAnsi="宋体" w:eastAsia="宋体" w:cs="宋体"/>
                <w:color w:val="1a1a1a"/>
                <w:sz w:val="18"/>
              </w:rPr>
              <w:t>2026 年北美预计贡献全球营收的 44.7%，亚太以 30.6% 紧随其后（IIM 口径）。中国企业级智能体市场 2025 年约 212 亿元人民币，2026 年预计增至 449 亿元，工业企业智能体渗透率从 9.6% 飙升至 47.5%，增速显著领先全球。</w:t>
            </w:r>
          </w:p>
          <w:p w14:paraId="00000044">
            <w:pPr>
              <w:spacing w:before="45" w:after="45"/>
              <w:ind w:left="0" w:right="0" w:firstLine="480"/>
              <w:jc w:val="both"/>
              <w:rPr>
                <w:color w:val="1a1a1a"/>
              </w:rPr>
            </w:pPr>
            <w:r>
              <w:rPr>
                <w:rFonts w:hint="eastAsia" w:ascii="宋体" w:hAnsi="宋体" w:eastAsia="宋体" w:cs="宋体"/>
                <w:b w:val="1"/>
                <w:color w:val="1a1a1a"/>
                <w:sz w:val="18"/>
              </w:rPr>
              <w:t>第四，中国市场形成"五大巨头 + 垂直厂商"的分层结构。</w:t>
            </w:r>
            <w:r>
              <w:rPr>
                <w:rFonts w:hint="eastAsia" w:ascii="宋体" w:hAnsi="宋体" w:eastAsia="宋体" w:cs="宋体"/>
                <w:color w:val="1a1a1a"/>
                <w:sz w:val="18"/>
              </w:rPr>
              <w:t>据 IDC（2026年3月），字节跳动以 18% 的综合份额居国内第一，百度（12%）、阿里（10%）、腾讯（10%）、华为（5%）分列其后，五大巨头合计约 55%。在办公 Agent 细分赛道，据易观分析（2026年6月），腾讯系以约 53.8% 的桌面端访问量份额领先，字节系（23.8%）、阿里系（15.2%）位列二三位。</w:t>
            </w:r>
          </w:p>
          <w:p w14:paraId="00000045">
            <w:pPr>
              <w:spacing w:before="45" w:after="45"/>
              <w:ind w:left="0" w:right="0" w:firstLine="480"/>
              <w:jc w:val="both"/>
              <w:rPr>
                <w:color w:val="1a1a1a"/>
              </w:rPr>
            </w:pPr>
            <w:r>
              <w:rPr>
                <w:rFonts w:hint="eastAsia" w:ascii="宋体" w:hAnsi="宋体" w:eastAsia="宋体" w:cs="宋体"/>
                <w:b w:val="1"/>
                <w:color w:val="1a1a1a"/>
                <w:sz w:val="18"/>
              </w:rPr>
              <w:t>第五，规模膨胀与落地脆弱性并存，是当前市场的核心矛盾。</w:t>
            </w:r>
            <w:r>
              <w:rPr>
                <w:rFonts w:hint="eastAsia" w:ascii="宋体" w:hAnsi="宋体" w:eastAsia="宋体" w:cs="宋体"/>
                <w:color w:val="1a1a1a"/>
                <w:sz w:val="18"/>
              </w:rPr>
              <w:t>据 Gartner（2026年），超过 40% 的 Agentic AI 项目将在 2027 年底前被取消；86%-89% 的企业 Agent 试点从未达到有意义的生产规模。市场份额的争夺只是表象，"从能演示到能算账"的规模化交付能力才是决定终局份额的关键变量。</w:t>
            </w:r>
          </w:p>
        </w:tc>
      </w:tr>
    </w:tbl>
    <w:p w14:paraId="00000046">
      <w:pPr>
        <w:spacing w:before="0" w:after="192" w:line="360"/>
        <w:ind w:left="0" w:right="0" w:firstLine="480"/>
        <w:jc w:val="both"/>
        <w:rPr>
          <w:color w:val="1a1a1a"/>
        </w:rPr>
      </w:pPr>
      <w:r>
        <w:rPr>
          <w:rFonts w:hint="eastAsia" w:ascii="宋体" w:hAnsi="宋体" w:eastAsia="宋体" w:cs="宋体"/>
          <w:color w:val="1a1a1a"/>
          <w:sz w:val="18"/>
        </w:rPr>
        <w:t>本报告基于 2026 年 10 月检索的公开行业数据，对全球及中国 AI 智能体市场的占有率格局进行系统梳理，从厂商、区域、细分赛道三个维度拆解市场份额结构，并结合部署率、集中度等指标研判竞争烈度与演化方向，为行业参与者与投资者提供决策参考。</w:t>
      </w:r>
    </w:p>
    <w:p w14:paraId="00000047">
      <w:pPr>
        <w:pStyle w:val="000008"/>
        <w:keepNext w:val="1"/>
        <w:keepLines w:val="1"/>
        <w:shd w:val="clear" w:fill="1a237e"/>
        <w:spacing w:before="288" w:beforeAutospacing="1" w:after="216" w:afterAutospacing="1" w:line="360"/>
        <w:ind w:left="0" w:right="0"/>
        <w:jc w:val="left"/>
        <w:outlineLvl w:val="0"/>
        <w:rPr>
          <w:color w:val="ffffff"/>
          <w:kern w:val="44"/>
          <w:sz w:val="44"/>
          <w:szCs w:val="44"/>
        </w:rPr>
      </w:pPr>
      <w:bookmarkStart w:id="2" w:name="section-2"/>
      <w:r>
        <w:rPr>
          <w:rFonts w:hint="eastAsia" w:ascii="黑体" w:hAnsi="黑体" w:eastAsia="黑体" w:cs="黑体"/>
          <w:b w:val="1"/>
          <w:color w:val="ffffff"/>
          <w:sz w:val="26"/>
        </w:rPr>
        <w:t>2. 研究范围与方法论</w:t>
      </w:r>
      <w:bookmarkEnd w:id="2"/>
    </w:p>
    <w:p w14:paraId="00000048">
      <w:pPr>
        <w:spacing w:before="0" w:after="192" w:line="360"/>
        <w:ind w:left="0" w:right="0" w:firstLine="480"/>
        <w:jc w:val="both"/>
        <w:rPr>
          <w:color w:val="1a1a1a"/>
        </w:rPr>
      </w:pPr>
      <w:r>
        <w:rPr>
          <w:rFonts w:hint="eastAsia" w:ascii="宋体" w:hAnsi="宋体" w:eastAsia="宋体" w:cs="宋体"/>
          <w:color w:val="1a1a1a"/>
          <w:sz w:val="18"/>
        </w:rPr>
        <w:t>本章界定研究对象与数据边界。智能体市场正处于口径快速演化的早期阶段，不同机构对"市场"的定义差异显著，直接影响份额读数的可比性，故需先行说明。</w:t>
      </w:r>
    </w:p>
    <w:p w14:paraId="00000049">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3" w:name="section-2-1"/>
      <w:r>
        <w:rPr>
          <w:rFonts w:hint="eastAsia" w:ascii="黑体" w:hAnsi="黑体" w:eastAsia="黑体" w:cs="黑体"/>
          <w:b w:val="1"/>
          <w:color w:val="1a237e"/>
          <w:sz w:val="22"/>
        </w:rPr>
        <w:t>2.1 研究范围界定</w:t>
      </w:r>
      <w:bookmarkEnd w:id="3"/>
    </w:p>
    <w:p w14:paraId="0000004A">
      <w:pPr>
        <w:spacing w:before="0" w:after="192" w:line="360"/>
        <w:ind w:left="0" w:right="0" w:firstLine="480"/>
        <w:jc w:val="both"/>
        <w:rPr>
          <w:color w:val="1a1a1a"/>
        </w:rPr>
      </w:pPr>
      <w:r>
        <w:rPr>
          <w:rFonts w:hint="eastAsia" w:ascii="宋体" w:hAnsi="宋体" w:eastAsia="宋体" w:cs="宋体"/>
          <w:color w:val="1a1a1a"/>
          <w:sz w:val="18"/>
        </w:rPr>
        <w:t>本报告所称"智能体"（AI Agent），指以大语言模型为核心决策引擎、具备任务规划、工具调用、记忆管理与多步骤自主执行能力的人工智能系统，涵盖通用 Agent 平台、垂直行业 Agent 套件、Agent 开发工具与中间件、以及 Agent 运营服务四大类。研究范围覆盖全球市场及中国市场，时间截面以 2025-2026 年数据为主，预测数据延伸至 2030 年。</w:t>
      </w:r>
    </w:p>
    <w:p w14:paraId="0000004B">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4" w:name="section-2-2"/>
      <w:r>
        <w:rPr>
          <w:rFonts w:hint="eastAsia" w:ascii="黑体" w:hAnsi="黑体" w:eastAsia="黑体" w:cs="黑体"/>
          <w:b w:val="1"/>
          <w:color w:val="1a237e"/>
          <w:sz w:val="22"/>
        </w:rPr>
        <w:t>2.2 数据来源与口径说明</w:t>
      </w:r>
      <w:bookmarkEnd w:id="4"/>
    </w:p>
    <w:p w14:paraId="0000004C">
      <w:pPr>
        <w:spacing w:before="0" w:after="192" w:line="360"/>
        <w:ind w:left="0" w:right="0" w:firstLine="480"/>
        <w:jc w:val="both"/>
        <w:rPr>
          <w:color w:val="1a1a1a"/>
        </w:rPr>
      </w:pPr>
      <w:r>
        <w:rPr>
          <w:rFonts w:hint="eastAsia" w:ascii="宋体" w:hAnsi="宋体" w:eastAsia="宋体" w:cs="宋体"/>
          <w:color w:val="1a1a1a"/>
          <w:sz w:val="18"/>
        </w:rPr>
        <w:t>本报告数据来自 2026 年 10 月 24 日对公开渠道的检索，主要来源包括 MarketsandMarkets、BCC Research、Grand View Research、Globe Market Research、Straits Research、IIM、IDC、易观分析、Gartner、Digital Applied 等机构发布的公开数据。</w:t>
      </w:r>
      <w:r>
        <w:rPr>
          <w:rFonts w:hint="eastAsia" w:ascii="宋体" w:hAnsi="宋体" w:eastAsia="宋体" w:cs="宋体"/>
          <w:b w:val="1"/>
          <w:color w:val="1a1a1a"/>
          <w:sz w:val="18"/>
        </w:rPr>
        <w:t>需要特别提示的是，各机构对"AI 智能体市场"的边界定义差异显著，直接对比绝对值会产生误导</w:t>
      </w:r>
      <w:r>
        <w:rPr>
          <w:rFonts w:hint="eastAsia" w:ascii="宋体" w:hAnsi="宋体" w:eastAsia="宋体" w:cs="宋体"/>
          <w:color w:val="1a1a1a"/>
          <w:sz w:val="18"/>
        </w:rPr>
        <w:t>。本报告将数据归纳为三类口径：</w:t>
      </w:r>
    </w:p>
    <w:p w14:paraId="0000004D">
      <w:pPr>
        <w:spacing w:before="0" w:after="192" w:line="360"/>
        <w:ind w:left="0" w:right="0" w:firstLine="480"/>
        <w:jc w:val="both"/>
        <w:rPr>
          <w:color w:val="1a1a1a"/>
        </w:rPr>
      </w:pPr>
      <w:r>
        <w:rPr>
          <w:rFonts w:hint="eastAsia" w:ascii="宋体" w:hAnsi="宋体" w:eastAsia="宋体" w:cs="宋体"/>
          <w:b w:val="1"/>
          <w:color w:val="1a1a1a"/>
          <w:sz w:val="18"/>
        </w:rPr>
        <w:t>表1：AI 智能体市场三类统计口径对照</w:t>
      </w:r>
    </w:p>
    <w:tbl>
      <w:tblPr>
        <w:tblW w:w="8306" w:type="dxa"/>
        <w:shd w:color="1a1a1a"/>
        <w:tblLayout w:type="autofit"/>
        <w:tblCellMar>
          <w:top w:w="0" w:type="dxa"/>
          <w:left w:w="0" w:type="dxa"/>
          <w:bottom w:w="0" w:type="dxa"/>
          <w:right w:w="0" w:type="dxa"/>
        </w:tblCellMar>
      </w:tblPr>
      <w:tblGrid>
        <w:gridCol w:w="2076"/>
        <w:gridCol w:w="2076"/>
        <w:gridCol w:w="2076"/>
        <w:gridCol w:w="2076"/>
      </w:tblGrid>
      <w:tr>
        <w:trPr>
          <w:tblHeader w:val="1"/>
        </w:trPr>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4E">
            <w:pPr>
              <w:jc w:val="left"/>
              <w:rPr>
                <w:b w:val="1"/>
                <w:bCs w:val="1"/>
                <w:color w:val="1a1a1a"/>
              </w:rPr>
            </w:pPr>
            <w:r>
              <w:rPr>
                <w:rFonts w:hint="eastAsia" w:ascii="宋体" w:hAnsi="宋体" w:eastAsia="宋体" w:cs="宋体"/>
                <w:b w:val="1"/>
                <w:color w:val="1a1a1a"/>
                <w:sz w:val="16"/>
              </w:rPr>
              <w:t>口径类型</w:t>
            </w:r>
          </w:p>
        </w:tc>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4F">
            <w:pPr>
              <w:jc w:val="left"/>
              <w:rPr>
                <w:b w:val="1"/>
                <w:bCs w:val="1"/>
                <w:color w:val="1a1a1a"/>
              </w:rPr>
            </w:pPr>
            <w:r>
              <w:rPr>
                <w:rFonts w:hint="eastAsia" w:ascii="宋体" w:hAnsi="宋体" w:eastAsia="宋体" w:cs="宋体"/>
                <w:b w:val="1"/>
                <w:color w:val="1a1a1a"/>
                <w:sz w:val="16"/>
              </w:rPr>
              <w:t>统计边界</w:t>
            </w:r>
          </w:p>
        </w:tc>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50">
            <w:pPr>
              <w:jc w:val="left"/>
              <w:rPr>
                <w:b w:val="1"/>
                <w:bCs w:val="1"/>
                <w:color w:val="1a1a1a"/>
              </w:rPr>
            </w:pPr>
            <w:r>
              <w:rPr>
                <w:rFonts w:hint="eastAsia" w:ascii="宋体" w:hAnsi="宋体" w:eastAsia="宋体" w:cs="宋体"/>
                <w:b w:val="1"/>
                <w:color w:val="1a1a1a"/>
                <w:sz w:val="16"/>
              </w:rPr>
              <w:t>2025年全球规模</w:t>
            </w:r>
          </w:p>
        </w:tc>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51">
            <w:pPr>
              <w:jc w:val="left"/>
              <w:rPr>
                <w:b w:val="1"/>
                <w:bCs w:val="1"/>
                <w:color w:val="1a1a1a"/>
              </w:rPr>
            </w:pPr>
            <w:r>
              <w:rPr>
                <w:rFonts w:hint="eastAsia" w:ascii="宋体" w:hAnsi="宋体" w:eastAsia="宋体" w:cs="宋体"/>
                <w:b w:val="1"/>
                <w:color w:val="1a1a1a"/>
                <w:sz w:val="16"/>
              </w:rPr>
              <w:t>主要采用机构</w:t>
            </w:r>
          </w:p>
        </w:tc>
      </w:tr>
      <w:tr>
        <w:trPr/>
        <w:tc>
          <w:tcPr>
            <w:tcW w:w="2076" w:type="dxa"/>
            <w:tcBorders>
              <w:left w:val="none" w:sz="8"/>
              <w:right w:val="none" w:sz="8"/>
            </w:tcBorders>
            <w:tcMar>
              <w:top w:w="72" w:type="dxa"/>
              <w:left w:w="144" w:type="dxa"/>
              <w:bottom w:w="72" w:type="dxa"/>
              <w:right w:w="144" w:type="dxa"/>
            </w:tcMar>
            <w:vAlign w:val="center"/>
          </w:tcPr>
          <w:p w14:paraId="00000052">
            <w:pPr>
              <w:jc w:val="left"/>
              <w:rPr>
                <w:color w:val="1a1a1a"/>
              </w:rPr>
            </w:pPr>
            <w:r>
              <w:rPr>
                <w:rFonts w:hint="eastAsia" w:ascii="宋体" w:hAnsi="宋体" w:eastAsia="宋体" w:cs="宋体"/>
                <w:color w:val="1a1a1a"/>
                <w:sz w:val="16"/>
              </w:rPr>
              <w:t>窄口径（软件产品）</w:t>
            </w:r>
          </w:p>
        </w:tc>
        <w:tc>
          <w:tcPr>
            <w:tcW w:w="2076" w:type="dxa"/>
            <w:tcBorders>
              <w:left w:val="none" w:sz="8"/>
              <w:right w:val="none" w:sz="8"/>
            </w:tcBorders>
            <w:tcMar>
              <w:top w:w="72" w:type="dxa"/>
              <w:left w:w="144" w:type="dxa"/>
              <w:bottom w:w="72" w:type="dxa"/>
              <w:right w:w="144" w:type="dxa"/>
            </w:tcMar>
            <w:vAlign w:val="center"/>
          </w:tcPr>
          <w:p w14:paraId="00000053">
            <w:pPr>
              <w:jc w:val="left"/>
              <w:rPr>
                <w:color w:val="1a1a1a"/>
              </w:rPr>
            </w:pPr>
            <w:r>
              <w:rPr>
                <w:rFonts w:hint="eastAsia" w:ascii="宋体" w:hAnsi="宋体" w:eastAsia="宋体" w:cs="宋体"/>
                <w:color w:val="1a1a1a"/>
                <w:sz w:val="16"/>
              </w:rPr>
              <w:t>仅统计终端用户可见的 Agent 软件产品收入</w:t>
            </w:r>
          </w:p>
        </w:tc>
        <w:tc>
          <w:tcPr>
            <w:tcW w:w="2076" w:type="dxa"/>
            <w:tcBorders>
              <w:left w:val="none" w:sz="8"/>
              <w:right w:val="none" w:sz="8"/>
            </w:tcBorders>
            <w:tcMar>
              <w:top w:w="72" w:type="dxa"/>
              <w:left w:w="144" w:type="dxa"/>
              <w:bottom w:w="72" w:type="dxa"/>
              <w:right w:w="144" w:type="dxa"/>
            </w:tcMar>
            <w:vAlign w:val="center"/>
          </w:tcPr>
          <w:p w14:paraId="00000054">
            <w:pPr>
              <w:jc w:val="right"/>
              <w:rPr>
                <w:color w:val="1a1a1a"/>
              </w:rPr>
            </w:pPr>
            <w:r>
              <w:rPr>
                <w:rFonts w:hint="eastAsia" w:ascii="Calibri" w:hAnsi="Calibri" w:eastAsia="Calibri" w:cs="Calibri"/>
                <w:color w:val="1a1a1a"/>
                <w:sz w:val="16"/>
              </w:rPr>
              <w:t>约 53-99 亿美元</w:t>
            </w:r>
          </w:p>
        </w:tc>
        <w:tc>
          <w:tcPr>
            <w:tcW w:w="2076" w:type="dxa"/>
            <w:tcBorders>
              <w:left w:val="none" w:sz="8"/>
              <w:right w:val="none" w:sz="8"/>
            </w:tcBorders>
            <w:tcMar>
              <w:top w:w="72" w:type="dxa"/>
              <w:left w:w="144" w:type="dxa"/>
              <w:bottom w:w="72" w:type="dxa"/>
              <w:right w:w="144" w:type="dxa"/>
            </w:tcMar>
            <w:vAlign w:val="center"/>
          </w:tcPr>
          <w:p w14:paraId="00000055">
            <w:pPr>
              <w:jc w:val="left"/>
              <w:rPr>
                <w:color w:val="1a1a1a"/>
              </w:rPr>
            </w:pPr>
            <w:r>
              <w:rPr>
                <w:rFonts w:hint="eastAsia" w:ascii="宋体" w:hAnsi="宋体" w:eastAsia="宋体" w:cs="宋体"/>
                <w:color w:val="1a1a1a"/>
                <w:sz w:val="16"/>
              </w:rPr>
              <w:t>MarketsandMarkets、MarkNtel、Grand View</w:t>
            </w:r>
          </w:p>
        </w:tc>
      </w:tr>
      <w:tr>
        <w:trPr/>
        <w:tc>
          <w:tcPr>
            <w:tcW w:w="2076" w:type="dxa"/>
            <w:tcBorders>
              <w:left w:val="none" w:sz="8"/>
              <w:right w:val="none" w:sz="8"/>
            </w:tcBorders>
            <w:tcMar>
              <w:top w:w="72" w:type="dxa"/>
              <w:left w:w="144" w:type="dxa"/>
              <w:bottom w:w="72" w:type="dxa"/>
              <w:right w:w="144" w:type="dxa"/>
            </w:tcMar>
            <w:vAlign w:val="center"/>
          </w:tcPr>
          <w:p w14:paraId="00000056">
            <w:pPr>
              <w:jc w:val="left"/>
              <w:rPr>
                <w:color w:val="1a1a1a"/>
              </w:rPr>
            </w:pPr>
            <w:r>
              <w:rPr>
                <w:rFonts w:hint="eastAsia" w:ascii="宋体" w:hAnsi="宋体" w:eastAsia="宋体" w:cs="宋体"/>
                <w:color w:val="1a1a1a"/>
                <w:sz w:val="16"/>
              </w:rPr>
              <w:t>宽口径（应用与服务）</w:t>
            </w:r>
          </w:p>
        </w:tc>
        <w:tc>
          <w:tcPr>
            <w:tcW w:w="2076" w:type="dxa"/>
            <w:tcBorders>
              <w:left w:val="none" w:sz="8"/>
              <w:right w:val="none" w:sz="8"/>
            </w:tcBorders>
            <w:tcMar>
              <w:top w:w="72" w:type="dxa"/>
              <w:left w:w="144" w:type="dxa"/>
              <w:bottom w:w="72" w:type="dxa"/>
              <w:right w:w="144" w:type="dxa"/>
            </w:tcMar>
            <w:vAlign w:val="center"/>
          </w:tcPr>
          <w:p w14:paraId="00000057">
            <w:pPr>
              <w:jc w:val="left"/>
              <w:rPr>
                <w:color w:val="1a1a1a"/>
              </w:rPr>
            </w:pPr>
            <w:r>
              <w:rPr>
                <w:rFonts w:hint="eastAsia" w:ascii="宋体" w:hAnsi="宋体" w:eastAsia="宋体" w:cs="宋体"/>
                <w:color w:val="1a1a1a"/>
                <w:sz w:val="16"/>
              </w:rPr>
              <w:t>含应用层服务、平台及运营收入</w:t>
            </w:r>
          </w:p>
        </w:tc>
        <w:tc>
          <w:tcPr>
            <w:tcW w:w="2076" w:type="dxa"/>
            <w:tcBorders>
              <w:left w:val="none" w:sz="8"/>
              <w:right w:val="none" w:sz="8"/>
            </w:tcBorders>
            <w:tcMar>
              <w:top w:w="72" w:type="dxa"/>
              <w:left w:w="144" w:type="dxa"/>
              <w:bottom w:w="72" w:type="dxa"/>
              <w:right w:w="144" w:type="dxa"/>
            </w:tcMar>
            <w:vAlign w:val="center"/>
          </w:tcPr>
          <w:p w14:paraId="00000058">
            <w:pPr>
              <w:jc w:val="right"/>
              <w:rPr>
                <w:color w:val="1a1a1a"/>
              </w:rPr>
            </w:pPr>
            <w:r>
              <w:rPr>
                <w:rFonts w:hint="eastAsia" w:ascii="Calibri" w:hAnsi="Calibri" w:eastAsia="Calibri" w:cs="Calibri"/>
                <w:color w:val="1a1a1a"/>
                <w:sz w:val="16"/>
              </w:rPr>
              <w:t>约 198-320 亿美元</w:t>
            </w:r>
          </w:p>
        </w:tc>
        <w:tc>
          <w:tcPr>
            <w:tcW w:w="2076" w:type="dxa"/>
            <w:tcBorders>
              <w:left w:val="none" w:sz="8"/>
              <w:right w:val="none" w:sz="8"/>
            </w:tcBorders>
            <w:tcMar>
              <w:top w:w="72" w:type="dxa"/>
              <w:left w:w="144" w:type="dxa"/>
              <w:bottom w:w="72" w:type="dxa"/>
              <w:right w:w="144" w:type="dxa"/>
            </w:tcMar>
            <w:vAlign w:val="center"/>
          </w:tcPr>
          <w:p w14:paraId="00000059">
            <w:pPr>
              <w:jc w:val="left"/>
              <w:rPr>
                <w:color w:val="1a1a1a"/>
              </w:rPr>
            </w:pPr>
            <w:r>
              <w:rPr>
                <w:rFonts w:ascii="宋体" w:hAnsi="宋体" w:eastAsia="宋体" w:cs="宋体"/>
                <w:color w:val="1a1a1a"/>
                <w:sz w:val="16"/>
              </w:rPr>
              <w:t>IIM</w:t>
            </w:r>
          </w:p>
        </w:tc>
      </w:tr>
      <w:tr>
        <w:trPr/>
        <w:tc>
          <w:tcPr>
            <w:tcW w:w="2076" w:type="dxa"/>
            <w:tcBorders>
              <w:left w:val="none" w:sz="8"/>
              <w:bottom w:val="single" w:color="1a1a1a" w:sz="12"/>
              <w:right w:val="none" w:sz="8"/>
            </w:tcBorders>
            <w:tcMar>
              <w:top w:w="72" w:type="dxa"/>
              <w:left w:w="144" w:type="dxa"/>
              <w:bottom w:w="72" w:type="dxa"/>
              <w:right w:w="144" w:type="dxa"/>
            </w:tcMar>
            <w:vAlign w:val="center"/>
          </w:tcPr>
          <w:p w14:paraId="0000005A">
            <w:pPr>
              <w:jc w:val="left"/>
              <w:rPr>
                <w:color w:val="1a1a1a"/>
              </w:rPr>
            </w:pPr>
            <w:r>
              <w:rPr>
                <w:rFonts w:hint="eastAsia" w:ascii="宋体" w:hAnsi="宋体" w:eastAsia="宋体" w:cs="宋体"/>
                <w:color w:val="1a1a1a"/>
                <w:sz w:val="16"/>
              </w:rPr>
              <w:t>超宽口径（含基础设施）</w:t>
            </w:r>
          </w:p>
        </w:tc>
        <w:tc>
          <w:tcPr>
            <w:tcW w:w="2076" w:type="dxa"/>
            <w:tcBorders>
              <w:left w:val="none" w:sz="8"/>
              <w:bottom w:val="single" w:color="1a1a1a" w:sz="12"/>
              <w:right w:val="none" w:sz="8"/>
            </w:tcBorders>
            <w:tcMar>
              <w:top w:w="72" w:type="dxa"/>
              <w:left w:w="144" w:type="dxa"/>
              <w:bottom w:w="72" w:type="dxa"/>
              <w:right w:w="144" w:type="dxa"/>
            </w:tcMar>
            <w:vAlign w:val="center"/>
          </w:tcPr>
          <w:p w14:paraId="0000005B">
            <w:pPr>
              <w:jc w:val="left"/>
              <w:rPr>
                <w:color w:val="1a1a1a"/>
              </w:rPr>
            </w:pPr>
            <w:r>
              <w:rPr>
                <w:rFonts w:hint="eastAsia" w:ascii="宋体" w:hAnsi="宋体" w:eastAsia="宋体" w:cs="宋体"/>
                <w:color w:val="1a1a1a"/>
                <w:sz w:val="16"/>
              </w:rPr>
              <w:t>含底层算力与模型基础设施</w:t>
            </w:r>
          </w:p>
        </w:tc>
        <w:tc>
          <w:tcPr>
            <w:tcW w:w="2076" w:type="dxa"/>
            <w:tcBorders>
              <w:left w:val="none" w:sz="8"/>
              <w:bottom w:val="single" w:color="1a1a1a" w:sz="12"/>
              <w:right w:val="none" w:sz="8"/>
            </w:tcBorders>
            <w:tcMar>
              <w:top w:w="72" w:type="dxa"/>
              <w:left w:w="144" w:type="dxa"/>
              <w:bottom w:w="72" w:type="dxa"/>
              <w:right w:w="144" w:type="dxa"/>
            </w:tcMar>
            <w:vAlign w:val="center"/>
          </w:tcPr>
          <w:p w14:paraId="0000005C">
            <w:pPr>
              <w:jc w:val="right"/>
              <w:rPr>
                <w:color w:val="1a1a1a"/>
              </w:rPr>
            </w:pPr>
            <w:r>
              <w:rPr>
                <w:rFonts w:hint="eastAsia" w:ascii="Calibri" w:hAnsi="Calibri" w:eastAsia="Calibri" w:cs="Calibri"/>
                <w:color w:val="1a1a1a"/>
                <w:sz w:val="16"/>
              </w:rPr>
              <w:t>400 亿美元以上</w:t>
            </w:r>
          </w:p>
        </w:tc>
        <w:tc>
          <w:tcPr>
            <w:tcW w:w="2076" w:type="dxa"/>
            <w:tcBorders>
              <w:left w:val="none" w:sz="8"/>
              <w:bottom w:val="single" w:color="1a1a1a" w:sz="12"/>
              <w:right w:val="none" w:sz="8"/>
            </w:tcBorders>
            <w:tcMar>
              <w:top w:w="72" w:type="dxa"/>
              <w:left w:w="144" w:type="dxa"/>
              <w:bottom w:w="72" w:type="dxa"/>
              <w:right w:w="144" w:type="dxa"/>
            </w:tcMar>
            <w:vAlign w:val="center"/>
          </w:tcPr>
          <w:p w14:paraId="0000005D">
            <w:pPr>
              <w:jc w:val="left"/>
              <w:rPr>
                <w:color w:val="1a1a1a"/>
              </w:rPr>
            </w:pPr>
            <w:r>
              <w:rPr>
                <w:rFonts w:hint="eastAsia" w:ascii="宋体" w:hAnsi="宋体" w:eastAsia="宋体" w:cs="宋体"/>
                <w:color w:val="1a1a1a"/>
                <w:sz w:val="16"/>
              </w:rPr>
              <w:t>部分产业研究机构</w:t>
            </w:r>
          </w:p>
        </w:tc>
      </w:tr>
    </w:tbl>
    <w:p w14:paraId="0000005E">
      <w:pPr>
        <w:spacing w:before="0" w:after="192" w:line="360"/>
        <w:ind w:left="0" w:right="0" w:firstLine="480"/>
        <w:jc w:val="both"/>
        <w:rPr>
          <w:color w:val="1a1a1a"/>
        </w:rPr>
      </w:pPr>
      <w:r>
        <w:rPr>
          <w:rFonts w:hint="eastAsia" w:ascii="宋体" w:hAnsi="宋体" w:eastAsia="宋体" w:cs="宋体"/>
          <w:color w:val="1a1a1a"/>
          <w:sz w:val="18"/>
        </w:rPr>
        <w:t>资料来源：据 MarketsandMarkets、IIM 等机构 2026 年公开数据整理；不同机构统计边界详见附录A。</w:t>
      </w:r>
    </w:p>
    <w:p w14:paraId="0000005F">
      <w:pPr>
        <w:spacing w:before="0" w:after="192" w:line="360"/>
        <w:ind w:left="0" w:right="0" w:firstLine="480"/>
        <w:jc w:val="both"/>
        <w:rPr>
          <w:color w:val="1a1a1a"/>
        </w:rPr>
      </w:pPr>
      <w:r>
        <w:rPr>
          <w:rFonts w:hint="eastAsia" w:ascii="宋体" w:hAnsi="宋体" w:eastAsia="宋体" w:cs="宋体"/>
          <w:b w:val="1"/>
          <w:color w:val="1a1a1a"/>
          <w:sz w:val="18"/>
        </w:rPr>
        <w:t>数据时效声明：</w:t>
      </w:r>
      <w:r>
        <w:rPr>
          <w:rFonts w:hint="eastAsia" w:ascii="宋体" w:hAnsi="宋体" w:eastAsia="宋体" w:cs="宋体"/>
          <w:color w:val="1a1a1a"/>
          <w:sz w:val="18"/>
        </w:rPr>
        <w:t>本报告数据基于 2026 年 10 月公开检索所得，非实时数据，可能滞后或与最新披露存在偏差；引用具体份额数据时，请务必核对口径一致性。</w:t>
      </w:r>
    </w:p>
    <w:p w14:paraId="00000060">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5" w:name="section-2-3"/>
      <w:r>
        <w:rPr>
          <w:rFonts w:hint="eastAsia" w:ascii="黑体" w:hAnsi="黑体" w:eastAsia="黑体" w:cs="黑体"/>
          <w:b w:val="1"/>
          <w:color w:val="1a237e"/>
          <w:sz w:val="22"/>
        </w:rPr>
        <w:t>2.3 分析方法</w:t>
      </w:r>
      <w:bookmarkEnd w:id="5"/>
    </w:p>
    <w:p w14:paraId="00000061">
      <w:pPr>
        <w:spacing w:before="0" w:after="192" w:line="360"/>
        <w:ind w:left="0" w:right="0" w:firstLine="480"/>
        <w:jc w:val="both"/>
        <w:rPr>
          <w:color w:val="1a1a1a"/>
        </w:rPr>
      </w:pPr>
      <w:r>
        <w:rPr>
          <w:rFonts w:hint="eastAsia" w:ascii="宋体" w:hAnsi="宋体" w:eastAsia="宋体" w:cs="宋体"/>
          <w:color w:val="1a1a1a"/>
          <w:sz w:val="18"/>
        </w:rPr>
        <w:t>本报告采用"总量—格局—结构—区域—细分"五层分析框架：先以多机构数据交叉验证市场总量与增速，再从厂商、区域、细分赛道三个维度拆解占有率结构，结合部署率、集中度（CR5/CR10）、HHI 等指标研判竞争烈度，最后落脚中国市场格局与 2026-2030 年趋势推演。</w:t>
      </w:r>
    </w:p>
    <w:p w14:paraId="00000062">
      <w:pPr>
        <w:pStyle w:val="000008"/>
        <w:keepNext w:val="1"/>
        <w:keepLines w:val="1"/>
        <w:shd w:val="clear" w:fill="1a237e"/>
        <w:spacing w:before="288" w:beforeAutospacing="1" w:after="216" w:afterAutospacing="1" w:line="360"/>
        <w:ind w:left="0" w:right="0"/>
        <w:jc w:val="left"/>
        <w:outlineLvl w:val="0"/>
        <w:rPr>
          <w:color w:val="ffffff"/>
          <w:kern w:val="44"/>
          <w:sz w:val="44"/>
          <w:szCs w:val="44"/>
        </w:rPr>
      </w:pPr>
      <w:bookmarkStart w:id="6" w:name="section-3"/>
      <w:r>
        <w:rPr>
          <w:rFonts w:hint="eastAsia" w:ascii="黑体" w:hAnsi="黑体" w:eastAsia="黑体" w:cs="黑体"/>
          <w:b w:val="1"/>
          <w:color w:val="ffffff"/>
          <w:sz w:val="26"/>
        </w:rPr>
        <w:t>3. 市场全景：规模、增速与渗透率</w:t>
      </w:r>
      <w:bookmarkEnd w:id="6"/>
    </w:p>
    <w:p w14:paraId="00000063">
      <w:pPr>
        <w:spacing w:before="0" w:after="192" w:line="360"/>
        <w:ind w:left="0" w:right="0" w:firstLine="480"/>
        <w:jc w:val="both"/>
        <w:rPr>
          <w:color w:val="1a1a1a"/>
        </w:rPr>
      </w:pPr>
      <w:r>
        <w:rPr>
          <w:rFonts w:hint="eastAsia" w:ascii="宋体" w:hAnsi="宋体" w:eastAsia="宋体" w:cs="宋体"/>
          <w:color w:val="1a1a1a"/>
          <w:sz w:val="18"/>
        </w:rPr>
        <w:t>总量数据是所有份额讨论的分母。本章先厘清市场规模的多机构预测，再观察需求侧的企业部署率爬升节奏。</w:t>
      </w:r>
    </w:p>
    <w:p w14:paraId="00000064">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7" w:name="section-3-1"/>
      <w:r>
        <w:rPr>
          <w:rFonts w:hint="eastAsia" w:ascii="黑体" w:hAnsi="黑体" w:eastAsia="黑体" w:cs="黑体"/>
          <w:b w:val="1"/>
          <w:color w:val="1a237e"/>
          <w:sz w:val="22"/>
        </w:rPr>
        <w:t>3.1 总量与增速：多机构预测的方向性共识</w:t>
      </w:r>
      <w:bookmarkEnd w:id="7"/>
    </w:p>
    <w:p w14:paraId="00000065">
      <w:pPr>
        <w:spacing w:before="0" w:after="192" w:line="360"/>
        <w:ind w:left="0" w:right="0" w:firstLine="480"/>
        <w:jc w:val="both"/>
        <w:rPr>
          <w:color w:val="1a1a1a"/>
        </w:rPr>
      </w:pPr>
      <w:r>
        <w:rPr>
          <w:rFonts w:hint="eastAsia" w:ascii="宋体" w:hAnsi="宋体" w:eastAsia="宋体" w:cs="宋体"/>
          <w:color w:val="1a1a1a"/>
          <w:sz w:val="18"/>
        </w:rPr>
        <w:t>尽管绝对值分歧巨大，主流机构对方向与增速的共识高度一致：全球 AI 智能体市场正以 40%-50% 以上的年复合增长率扩张，且至少还将持续五年。主要机构预测对比如下：</w:t>
      </w:r>
    </w:p>
    <w:p w14:paraId="00000066">
      <w:pPr>
        <w:spacing w:before="0" w:after="192" w:line="360"/>
        <w:ind w:left="0" w:right="0" w:firstLine="480"/>
        <w:jc w:val="both"/>
        <w:rPr>
          <w:color w:val="1a1a1a"/>
        </w:rPr>
      </w:pPr>
      <w:r>
        <w:rPr>
          <w:rFonts w:hint="eastAsia" w:ascii="宋体" w:hAnsi="宋体" w:eastAsia="宋体" w:cs="宋体"/>
          <w:b w:val="1"/>
          <w:color w:val="1a1a1a"/>
          <w:sz w:val="18"/>
        </w:rPr>
        <w:t>表2：全球 AI 智能体市场规模预测（多机构口径）</w:t>
      </w:r>
    </w:p>
    <w:tbl>
      <w:tblPr>
        <w:tblW w:w="8306" w:type="dxa"/>
        <w:shd w:color="1a1a1a"/>
        <w:tblLayout w:type="autofit"/>
        <w:tblCellMar>
          <w:top w:w="0" w:type="dxa"/>
          <w:left w:w="0" w:type="dxa"/>
          <w:bottom w:w="0" w:type="dxa"/>
          <w:right w:w="0" w:type="dxa"/>
        </w:tblCellMar>
      </w:tblPr>
      <w:tblGrid>
        <w:gridCol w:w="1661"/>
        <w:gridCol w:w="1661"/>
        <w:gridCol w:w="1661"/>
        <w:gridCol w:w="1661"/>
        <w:gridCol w:w="1661"/>
      </w:tblGrid>
      <w:tr>
        <w:trPr>
          <w:tblHeader w:val="1"/>
        </w:trPr>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67">
            <w:pPr>
              <w:jc w:val="left"/>
              <w:rPr>
                <w:b w:val="1"/>
                <w:bCs w:val="1"/>
                <w:color w:val="1a1a1a"/>
              </w:rPr>
            </w:pPr>
            <w:r>
              <w:rPr>
                <w:rFonts w:hint="eastAsia" w:ascii="宋体" w:hAnsi="宋体" w:eastAsia="宋体" w:cs="宋体"/>
                <w:b w:val="1"/>
                <w:color w:val="1a1a1a"/>
                <w:sz w:val="16"/>
              </w:rPr>
              <w:t>机构（发布时间）</w:t>
            </w:r>
          </w:p>
        </w:tc>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68">
            <w:pPr>
              <w:jc w:val="left"/>
              <w:rPr>
                <w:b w:val="1"/>
                <w:bCs w:val="1"/>
                <w:color w:val="1a1a1a"/>
              </w:rPr>
            </w:pPr>
            <w:r>
              <w:rPr>
                <w:rFonts w:hint="eastAsia" w:ascii="宋体" w:hAnsi="宋体" w:eastAsia="宋体" w:cs="宋体"/>
                <w:b w:val="1"/>
                <w:color w:val="1a1a1a"/>
                <w:sz w:val="16"/>
              </w:rPr>
              <w:t>2025年基数</w:t>
            </w:r>
          </w:p>
        </w:tc>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69">
            <w:pPr>
              <w:jc w:val="left"/>
              <w:rPr>
                <w:b w:val="1"/>
                <w:bCs w:val="1"/>
                <w:color w:val="1a1a1a"/>
              </w:rPr>
            </w:pPr>
            <w:r>
              <w:rPr>
                <w:rFonts w:hint="eastAsia" w:ascii="宋体" w:hAnsi="宋体" w:eastAsia="宋体" w:cs="宋体"/>
                <w:b w:val="1"/>
                <w:color w:val="1a1a1a"/>
                <w:sz w:val="16"/>
              </w:rPr>
              <w:t>2030年预测</w:t>
            </w:r>
          </w:p>
        </w:tc>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6A">
            <w:pPr>
              <w:jc w:val="left"/>
              <w:rPr>
                <w:b w:val="1"/>
                <w:bCs w:val="1"/>
                <w:color w:val="1a1a1a"/>
              </w:rPr>
            </w:pPr>
            <w:r>
              <w:rPr>
                <w:rFonts w:hint="eastAsia" w:ascii="宋体" w:hAnsi="宋体" w:eastAsia="宋体" w:cs="宋体"/>
                <w:b w:val="1"/>
                <w:color w:val="1a1a1a"/>
                <w:sz w:val="16"/>
              </w:rPr>
              <w:t>复合增速</w:t>
            </w:r>
          </w:p>
        </w:tc>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6B">
            <w:pPr>
              <w:jc w:val="left"/>
              <w:rPr>
                <w:b w:val="1"/>
                <w:bCs w:val="1"/>
                <w:color w:val="1a1a1a"/>
              </w:rPr>
            </w:pPr>
            <w:r>
              <w:rPr>
                <w:rFonts w:hint="eastAsia" w:ascii="宋体" w:hAnsi="宋体" w:eastAsia="宋体" w:cs="宋体"/>
                <w:b w:val="1"/>
                <w:color w:val="1a1a1a"/>
                <w:sz w:val="16"/>
              </w:rPr>
              <w:t>口径特征</w:t>
            </w:r>
          </w:p>
        </w:tc>
      </w:tr>
      <w:tr>
        <w:trPr/>
        <w:tc>
          <w:tcPr>
            <w:tcW w:w="1661" w:type="dxa"/>
            <w:tcBorders>
              <w:left w:val="none" w:sz="8"/>
              <w:right w:val="none" w:sz="8"/>
            </w:tcBorders>
            <w:tcMar>
              <w:top w:w="72" w:type="dxa"/>
              <w:left w:w="144" w:type="dxa"/>
              <w:bottom w:w="72" w:type="dxa"/>
              <w:right w:w="144" w:type="dxa"/>
            </w:tcMar>
            <w:vAlign w:val="center"/>
          </w:tcPr>
          <w:p w14:paraId="0000006C">
            <w:pPr>
              <w:jc w:val="left"/>
              <w:rPr>
                <w:color w:val="1a1a1a"/>
              </w:rPr>
            </w:pPr>
            <w:r>
              <w:rPr>
                <w:rFonts w:hint="eastAsia" w:ascii="宋体" w:hAnsi="宋体" w:eastAsia="宋体" w:cs="宋体"/>
                <w:color w:val="1a1a1a"/>
                <w:sz w:val="16"/>
              </w:rPr>
              <w:t>MarketsandMarkets（2025.4）</w:t>
            </w:r>
          </w:p>
        </w:tc>
        <w:tc>
          <w:tcPr>
            <w:tcW w:w="1661" w:type="dxa"/>
            <w:tcBorders>
              <w:left w:val="none" w:sz="8"/>
              <w:right w:val="none" w:sz="8"/>
            </w:tcBorders>
            <w:tcMar>
              <w:top w:w="72" w:type="dxa"/>
              <w:left w:w="144" w:type="dxa"/>
              <w:bottom w:w="72" w:type="dxa"/>
              <w:right w:w="144" w:type="dxa"/>
            </w:tcMar>
            <w:vAlign w:val="center"/>
          </w:tcPr>
          <w:p w14:paraId="0000006D">
            <w:pPr>
              <w:jc w:val="right"/>
              <w:rPr>
                <w:color w:val="1a1a1a"/>
              </w:rPr>
            </w:pPr>
            <w:r>
              <w:rPr>
                <w:rFonts w:hint="eastAsia" w:ascii="Calibri" w:hAnsi="Calibri" w:eastAsia="Calibri" w:cs="Calibri"/>
                <w:color w:val="1a1a1a"/>
                <w:sz w:val="16"/>
              </w:rPr>
              <w:t>78.4 亿美元</w:t>
            </w:r>
          </w:p>
        </w:tc>
        <w:tc>
          <w:tcPr>
            <w:tcW w:w="1661" w:type="dxa"/>
            <w:tcBorders>
              <w:left w:val="none" w:sz="8"/>
              <w:right w:val="none" w:sz="8"/>
            </w:tcBorders>
            <w:tcMar>
              <w:top w:w="72" w:type="dxa"/>
              <w:left w:w="144" w:type="dxa"/>
              <w:bottom w:w="72" w:type="dxa"/>
              <w:right w:w="144" w:type="dxa"/>
            </w:tcMar>
            <w:vAlign w:val="center"/>
          </w:tcPr>
          <w:p w14:paraId="0000006E">
            <w:pPr>
              <w:jc w:val="right"/>
              <w:rPr>
                <w:color w:val="1a1a1a"/>
              </w:rPr>
            </w:pPr>
            <w:r>
              <w:rPr>
                <w:rFonts w:hint="eastAsia" w:ascii="Calibri" w:hAnsi="Calibri" w:eastAsia="Calibri" w:cs="Calibri"/>
                <w:color w:val="1a1a1a"/>
                <w:sz w:val="16"/>
              </w:rPr>
              <w:t>526.2 亿美元</w:t>
            </w:r>
          </w:p>
        </w:tc>
        <w:tc>
          <w:tcPr>
            <w:tcW w:w="1661" w:type="dxa"/>
            <w:tcBorders>
              <w:left w:val="none" w:sz="8"/>
              <w:right w:val="none" w:sz="8"/>
            </w:tcBorders>
            <w:tcMar>
              <w:top w:w="72" w:type="dxa"/>
              <w:left w:w="144" w:type="dxa"/>
              <w:bottom w:w="72" w:type="dxa"/>
              <w:right w:w="144" w:type="dxa"/>
            </w:tcMar>
            <w:vAlign w:val="center"/>
          </w:tcPr>
          <w:p w14:paraId="0000006F">
            <w:pPr>
              <w:jc w:val="right"/>
              <w:rPr>
                <w:color w:val="1a1a1a"/>
              </w:rPr>
            </w:pPr>
            <w:r>
              <w:rPr>
                <w:rFonts w:ascii="Calibri" w:hAnsi="Calibri" w:eastAsia="Calibri" w:cs="Calibri"/>
                <w:color w:val="1a1a1a"/>
                <w:sz w:val="16"/>
              </w:rPr>
              <w:t>46.3%</w:t>
            </w:r>
          </w:p>
        </w:tc>
        <w:tc>
          <w:tcPr>
            <w:tcW w:w="1661" w:type="dxa"/>
            <w:tcBorders>
              <w:left w:val="none" w:sz="8"/>
              <w:right w:val="none" w:sz="8"/>
            </w:tcBorders>
            <w:tcMar>
              <w:top w:w="72" w:type="dxa"/>
              <w:left w:w="144" w:type="dxa"/>
              <w:bottom w:w="72" w:type="dxa"/>
              <w:right w:w="144" w:type="dxa"/>
            </w:tcMar>
            <w:vAlign w:val="center"/>
          </w:tcPr>
          <w:p w14:paraId="00000070">
            <w:pPr>
              <w:jc w:val="left"/>
              <w:rPr>
                <w:color w:val="1a1a1a"/>
              </w:rPr>
            </w:pPr>
            <w:r>
              <w:rPr>
                <w:rFonts w:hint="eastAsia" w:ascii="宋体" w:hAnsi="宋体" w:eastAsia="宋体" w:cs="宋体"/>
                <w:color w:val="1a1a1a"/>
                <w:sz w:val="16"/>
              </w:rPr>
              <w:t>软件产品口径</w:t>
            </w:r>
          </w:p>
        </w:tc>
      </w:tr>
      <w:tr>
        <w:trPr/>
        <w:tc>
          <w:tcPr>
            <w:tcW w:w="1661" w:type="dxa"/>
            <w:tcBorders>
              <w:left w:val="none" w:sz="8"/>
              <w:right w:val="none" w:sz="8"/>
            </w:tcBorders>
            <w:tcMar>
              <w:top w:w="72" w:type="dxa"/>
              <w:left w:w="144" w:type="dxa"/>
              <w:bottom w:w="72" w:type="dxa"/>
              <w:right w:w="144" w:type="dxa"/>
            </w:tcMar>
            <w:vAlign w:val="center"/>
          </w:tcPr>
          <w:p w14:paraId="00000071">
            <w:pPr>
              <w:jc w:val="left"/>
              <w:rPr>
                <w:color w:val="1a1a1a"/>
              </w:rPr>
            </w:pPr>
            <w:r>
              <w:rPr>
                <w:rFonts w:hint="eastAsia" w:ascii="宋体" w:hAnsi="宋体" w:eastAsia="宋体" w:cs="宋体"/>
                <w:color w:val="1a1a1a"/>
                <w:sz w:val="16"/>
              </w:rPr>
              <w:t>BCC Research（2026）</w:t>
            </w:r>
          </w:p>
        </w:tc>
        <w:tc>
          <w:tcPr>
            <w:tcW w:w="1661" w:type="dxa"/>
            <w:tcBorders>
              <w:left w:val="none" w:sz="8"/>
              <w:right w:val="none" w:sz="8"/>
            </w:tcBorders>
            <w:tcMar>
              <w:top w:w="72" w:type="dxa"/>
              <w:left w:w="144" w:type="dxa"/>
              <w:bottom w:w="72" w:type="dxa"/>
              <w:right w:w="144" w:type="dxa"/>
            </w:tcMar>
            <w:vAlign w:val="center"/>
          </w:tcPr>
          <w:p w14:paraId="00000072">
            <w:pPr>
              <w:jc w:val="right"/>
              <w:rPr>
                <w:color w:val="1a1a1a"/>
              </w:rPr>
            </w:pPr>
            <w:r>
              <w:rPr>
                <w:rFonts w:hint="eastAsia" w:ascii="Calibri" w:hAnsi="Calibri" w:eastAsia="Calibri" w:cs="Calibri"/>
                <w:color w:val="1a1a1a"/>
                <w:sz w:val="16"/>
              </w:rPr>
              <w:t>80 亿美元</w:t>
            </w:r>
          </w:p>
        </w:tc>
        <w:tc>
          <w:tcPr>
            <w:tcW w:w="1661" w:type="dxa"/>
            <w:tcBorders>
              <w:left w:val="none" w:sz="8"/>
              <w:right w:val="none" w:sz="8"/>
            </w:tcBorders>
            <w:tcMar>
              <w:top w:w="72" w:type="dxa"/>
              <w:left w:w="144" w:type="dxa"/>
              <w:bottom w:w="72" w:type="dxa"/>
              <w:right w:w="144" w:type="dxa"/>
            </w:tcMar>
            <w:vAlign w:val="center"/>
          </w:tcPr>
          <w:p w14:paraId="00000073">
            <w:pPr>
              <w:jc w:val="right"/>
              <w:rPr>
                <w:color w:val="1a1a1a"/>
              </w:rPr>
            </w:pPr>
            <w:r>
              <w:rPr>
                <w:rFonts w:hint="eastAsia" w:ascii="Calibri" w:hAnsi="Calibri" w:eastAsia="Calibri" w:cs="Calibri"/>
                <w:color w:val="1a1a1a"/>
                <w:sz w:val="16"/>
              </w:rPr>
              <w:t>483 亿美元</w:t>
            </w:r>
          </w:p>
        </w:tc>
        <w:tc>
          <w:tcPr>
            <w:tcW w:w="1661" w:type="dxa"/>
            <w:tcBorders>
              <w:left w:val="none" w:sz="8"/>
              <w:right w:val="none" w:sz="8"/>
            </w:tcBorders>
            <w:tcMar>
              <w:top w:w="72" w:type="dxa"/>
              <w:left w:w="144" w:type="dxa"/>
              <w:bottom w:w="72" w:type="dxa"/>
              <w:right w:w="144" w:type="dxa"/>
            </w:tcMar>
            <w:vAlign w:val="center"/>
          </w:tcPr>
          <w:p w14:paraId="00000074">
            <w:pPr>
              <w:jc w:val="right"/>
              <w:rPr>
                <w:color w:val="1a1a1a"/>
              </w:rPr>
            </w:pPr>
            <w:r>
              <w:rPr>
                <w:rFonts w:ascii="Calibri" w:hAnsi="Calibri" w:eastAsia="Calibri" w:cs="Calibri"/>
                <w:color w:val="1a1a1a"/>
                <w:sz w:val="16"/>
              </w:rPr>
              <w:t>43.3%</w:t>
            </w:r>
          </w:p>
        </w:tc>
        <w:tc>
          <w:tcPr>
            <w:tcW w:w="1661" w:type="dxa"/>
            <w:tcBorders>
              <w:left w:val="none" w:sz="8"/>
              <w:right w:val="none" w:sz="8"/>
            </w:tcBorders>
            <w:tcMar>
              <w:top w:w="72" w:type="dxa"/>
              <w:left w:w="144" w:type="dxa"/>
              <w:bottom w:w="72" w:type="dxa"/>
              <w:right w:w="144" w:type="dxa"/>
            </w:tcMar>
            <w:vAlign w:val="center"/>
          </w:tcPr>
          <w:p w14:paraId="00000075">
            <w:pPr>
              <w:jc w:val="left"/>
              <w:rPr>
                <w:color w:val="1a1a1a"/>
              </w:rPr>
            </w:pPr>
            <w:r>
              <w:rPr>
                <w:rFonts w:hint="eastAsia" w:ascii="宋体" w:hAnsi="宋体" w:eastAsia="宋体" w:cs="宋体"/>
                <w:color w:val="1a1a1a"/>
                <w:sz w:val="16"/>
              </w:rPr>
              <w:t>软件产品口径</w:t>
            </w:r>
          </w:p>
        </w:tc>
      </w:tr>
      <w:tr>
        <w:trPr/>
        <w:tc>
          <w:tcPr>
            <w:tcW w:w="1661" w:type="dxa"/>
            <w:tcBorders>
              <w:left w:val="none" w:sz="8"/>
              <w:right w:val="none" w:sz="8"/>
            </w:tcBorders>
            <w:tcMar>
              <w:top w:w="72" w:type="dxa"/>
              <w:left w:w="144" w:type="dxa"/>
              <w:bottom w:w="72" w:type="dxa"/>
              <w:right w:w="144" w:type="dxa"/>
            </w:tcMar>
            <w:vAlign w:val="center"/>
          </w:tcPr>
          <w:p w14:paraId="00000076">
            <w:pPr>
              <w:jc w:val="left"/>
              <w:rPr>
                <w:color w:val="1a1a1a"/>
              </w:rPr>
            </w:pPr>
            <w:r>
              <w:rPr>
                <w:rFonts w:hint="eastAsia" w:ascii="宋体" w:hAnsi="宋体" w:eastAsia="宋体" w:cs="宋体"/>
                <w:color w:val="1a1a1a"/>
                <w:sz w:val="16"/>
              </w:rPr>
              <w:t>MarkNtel Advisors（2026）</w:t>
            </w:r>
          </w:p>
        </w:tc>
        <w:tc>
          <w:tcPr>
            <w:tcW w:w="1661" w:type="dxa"/>
            <w:tcBorders>
              <w:left w:val="none" w:sz="8"/>
              <w:right w:val="none" w:sz="8"/>
            </w:tcBorders>
            <w:tcMar>
              <w:top w:w="72" w:type="dxa"/>
              <w:left w:w="144" w:type="dxa"/>
              <w:bottom w:w="72" w:type="dxa"/>
              <w:right w:w="144" w:type="dxa"/>
            </w:tcMar>
            <w:vAlign w:val="center"/>
          </w:tcPr>
          <w:p w14:paraId="00000077">
            <w:pPr>
              <w:jc w:val="right"/>
              <w:rPr>
                <w:color w:val="1a1a1a"/>
              </w:rPr>
            </w:pPr>
            <w:r>
              <w:rPr>
                <w:rFonts w:hint="eastAsia" w:ascii="Calibri" w:hAnsi="Calibri" w:eastAsia="Calibri" w:cs="Calibri"/>
                <w:color w:val="1a1a1a"/>
                <w:sz w:val="16"/>
              </w:rPr>
              <w:t>53.2 亿美元</w:t>
            </w:r>
          </w:p>
        </w:tc>
        <w:tc>
          <w:tcPr>
            <w:tcW w:w="1661" w:type="dxa"/>
            <w:tcBorders>
              <w:left w:val="none" w:sz="8"/>
              <w:right w:val="none" w:sz="8"/>
            </w:tcBorders>
            <w:tcMar>
              <w:top w:w="72" w:type="dxa"/>
              <w:left w:w="144" w:type="dxa"/>
              <w:bottom w:w="72" w:type="dxa"/>
              <w:right w:w="144" w:type="dxa"/>
            </w:tcMar>
            <w:vAlign w:val="center"/>
          </w:tcPr>
          <w:p w14:paraId="00000078">
            <w:pPr>
              <w:jc w:val="right"/>
              <w:rPr>
                <w:color w:val="1a1a1a"/>
              </w:rPr>
            </w:pPr>
            <w:r>
              <w:rPr>
                <w:rFonts w:hint="eastAsia" w:ascii="Calibri" w:hAnsi="Calibri" w:eastAsia="Calibri" w:cs="Calibri"/>
                <w:color w:val="1a1a1a"/>
                <w:sz w:val="16"/>
              </w:rPr>
              <w:t>427 亿美元</w:t>
            </w:r>
          </w:p>
        </w:tc>
        <w:tc>
          <w:tcPr>
            <w:tcW w:w="1661" w:type="dxa"/>
            <w:tcBorders>
              <w:left w:val="none" w:sz="8"/>
              <w:right w:val="none" w:sz="8"/>
            </w:tcBorders>
            <w:tcMar>
              <w:top w:w="72" w:type="dxa"/>
              <w:left w:w="144" w:type="dxa"/>
              <w:bottom w:w="72" w:type="dxa"/>
              <w:right w:w="144" w:type="dxa"/>
            </w:tcMar>
            <w:vAlign w:val="center"/>
          </w:tcPr>
          <w:p w14:paraId="00000079">
            <w:pPr>
              <w:jc w:val="right"/>
              <w:rPr>
                <w:color w:val="1a1a1a"/>
              </w:rPr>
            </w:pPr>
            <w:r>
              <w:rPr>
                <w:rFonts w:ascii="Calibri" w:hAnsi="Calibri" w:eastAsia="Calibri" w:cs="Calibri"/>
                <w:color w:val="1a1a1a"/>
                <w:sz w:val="16"/>
              </w:rPr>
              <w:t>41.5%</w:t>
            </w:r>
          </w:p>
        </w:tc>
        <w:tc>
          <w:tcPr>
            <w:tcW w:w="1661" w:type="dxa"/>
            <w:tcBorders>
              <w:left w:val="none" w:sz="8"/>
              <w:right w:val="none" w:sz="8"/>
            </w:tcBorders>
            <w:tcMar>
              <w:top w:w="72" w:type="dxa"/>
              <w:left w:w="144" w:type="dxa"/>
              <w:bottom w:w="72" w:type="dxa"/>
              <w:right w:w="144" w:type="dxa"/>
            </w:tcMar>
            <w:vAlign w:val="center"/>
          </w:tcPr>
          <w:p w14:paraId="0000007A">
            <w:pPr>
              <w:jc w:val="left"/>
              <w:rPr>
                <w:color w:val="1a1a1a"/>
              </w:rPr>
            </w:pPr>
            <w:r>
              <w:rPr>
                <w:rFonts w:hint="eastAsia" w:ascii="宋体" w:hAnsi="宋体" w:eastAsia="宋体" w:cs="宋体"/>
                <w:color w:val="1a1a1a"/>
                <w:sz w:val="16"/>
              </w:rPr>
              <w:t>软件产品口径</w:t>
            </w:r>
          </w:p>
        </w:tc>
      </w:tr>
      <w:tr>
        <w:trPr/>
        <w:tc>
          <w:tcPr>
            <w:tcW w:w="1661" w:type="dxa"/>
            <w:tcBorders>
              <w:left w:val="none" w:sz="8"/>
              <w:right w:val="none" w:sz="8"/>
            </w:tcBorders>
            <w:tcMar>
              <w:top w:w="72" w:type="dxa"/>
              <w:left w:w="144" w:type="dxa"/>
              <w:bottom w:w="72" w:type="dxa"/>
              <w:right w:w="144" w:type="dxa"/>
            </w:tcMar>
            <w:vAlign w:val="center"/>
          </w:tcPr>
          <w:p w14:paraId="0000007B">
            <w:pPr>
              <w:jc w:val="left"/>
              <w:rPr>
                <w:color w:val="1a1a1a"/>
              </w:rPr>
            </w:pPr>
            <w:r>
              <w:rPr>
                <w:rFonts w:hint="eastAsia" w:ascii="宋体" w:hAnsi="宋体" w:eastAsia="宋体" w:cs="宋体"/>
                <w:color w:val="1a1a1a"/>
                <w:sz w:val="16"/>
              </w:rPr>
              <w:t>Grand View Research（2026）</w:t>
            </w:r>
          </w:p>
        </w:tc>
        <w:tc>
          <w:tcPr>
            <w:tcW w:w="1661" w:type="dxa"/>
            <w:tcBorders>
              <w:left w:val="none" w:sz="8"/>
              <w:right w:val="none" w:sz="8"/>
            </w:tcBorders>
            <w:tcMar>
              <w:top w:w="72" w:type="dxa"/>
              <w:left w:w="144" w:type="dxa"/>
              <w:bottom w:w="72" w:type="dxa"/>
              <w:right w:w="144" w:type="dxa"/>
            </w:tcMar>
            <w:vAlign w:val="center"/>
          </w:tcPr>
          <w:p w14:paraId="0000007C">
            <w:pPr>
              <w:jc w:val="right"/>
              <w:rPr>
                <w:color w:val="1a1a1a"/>
              </w:rPr>
            </w:pPr>
            <w:r>
              <w:rPr>
                <w:rFonts w:hint="eastAsia" w:ascii="Calibri" w:hAnsi="Calibri" w:eastAsia="Calibri" w:cs="Calibri"/>
                <w:color w:val="1a1a1a"/>
                <w:sz w:val="16"/>
              </w:rPr>
              <w:t>76.3 亿美元</w:t>
            </w:r>
          </w:p>
        </w:tc>
        <w:tc>
          <w:tcPr>
            <w:tcW w:w="1661" w:type="dxa"/>
            <w:tcBorders>
              <w:left w:val="none" w:sz="8"/>
              <w:right w:val="none" w:sz="8"/>
            </w:tcBorders>
            <w:tcMar>
              <w:top w:w="72" w:type="dxa"/>
              <w:left w:w="144" w:type="dxa"/>
              <w:bottom w:w="72" w:type="dxa"/>
              <w:right w:w="144" w:type="dxa"/>
            </w:tcMar>
            <w:vAlign w:val="center"/>
          </w:tcPr>
          <w:p w14:paraId="0000007D">
            <w:pPr>
              <w:jc w:val="right"/>
              <w:rPr>
                <w:color w:val="1a1a1a"/>
              </w:rPr>
            </w:pPr>
            <w:r>
              <w:rPr>
                <w:rFonts w:hint="eastAsia" w:ascii="Calibri" w:hAnsi="Calibri" w:eastAsia="Calibri" w:cs="Calibri"/>
                <w:color w:val="1a1a1a"/>
                <w:sz w:val="16"/>
              </w:rPr>
              <w:t>1829.7 亿美元（2033）</w:t>
            </w:r>
          </w:p>
        </w:tc>
        <w:tc>
          <w:tcPr>
            <w:tcW w:w="1661" w:type="dxa"/>
            <w:tcBorders>
              <w:left w:val="none" w:sz="8"/>
              <w:right w:val="none" w:sz="8"/>
            </w:tcBorders>
            <w:tcMar>
              <w:top w:w="72" w:type="dxa"/>
              <w:left w:w="144" w:type="dxa"/>
              <w:bottom w:w="72" w:type="dxa"/>
              <w:right w:w="144" w:type="dxa"/>
            </w:tcMar>
            <w:vAlign w:val="center"/>
          </w:tcPr>
          <w:p w14:paraId="0000007E">
            <w:pPr>
              <w:jc w:val="right"/>
              <w:rPr>
                <w:color w:val="1a1a1a"/>
              </w:rPr>
            </w:pPr>
            <w:r>
              <w:rPr>
                <w:rFonts w:ascii="Calibri" w:hAnsi="Calibri" w:eastAsia="Calibri" w:cs="Calibri"/>
                <w:color w:val="1a1a1a"/>
                <w:sz w:val="16"/>
              </w:rPr>
              <w:t>49.6%</w:t>
            </w:r>
          </w:p>
        </w:tc>
        <w:tc>
          <w:tcPr>
            <w:tcW w:w="1661" w:type="dxa"/>
            <w:tcBorders>
              <w:left w:val="none" w:sz="8"/>
              <w:right w:val="none" w:sz="8"/>
            </w:tcBorders>
            <w:tcMar>
              <w:top w:w="72" w:type="dxa"/>
              <w:left w:w="144" w:type="dxa"/>
              <w:bottom w:w="72" w:type="dxa"/>
              <w:right w:w="144" w:type="dxa"/>
            </w:tcMar>
            <w:vAlign w:val="center"/>
          </w:tcPr>
          <w:p w14:paraId="0000007F">
            <w:pPr>
              <w:jc w:val="left"/>
              <w:rPr>
                <w:color w:val="1a1a1a"/>
              </w:rPr>
            </w:pPr>
            <w:r>
              <w:rPr>
                <w:rFonts w:hint="eastAsia" w:ascii="宋体" w:hAnsi="宋体" w:eastAsia="宋体" w:cs="宋体"/>
                <w:color w:val="1a1a1a"/>
                <w:sz w:val="16"/>
              </w:rPr>
              <w:t>软件产品口径</w:t>
            </w:r>
          </w:p>
        </w:tc>
      </w:tr>
      <w:tr>
        <w:trPr/>
        <w:tc>
          <w:tcPr>
            <w:tcW w:w="1661" w:type="dxa"/>
            <w:tcBorders>
              <w:left w:val="none" w:sz="8"/>
              <w:right w:val="none" w:sz="8"/>
            </w:tcBorders>
            <w:tcMar>
              <w:top w:w="72" w:type="dxa"/>
              <w:left w:w="144" w:type="dxa"/>
              <w:bottom w:w="72" w:type="dxa"/>
              <w:right w:w="144" w:type="dxa"/>
            </w:tcMar>
            <w:vAlign w:val="center"/>
          </w:tcPr>
          <w:p w14:paraId="00000080">
            <w:pPr>
              <w:jc w:val="left"/>
              <w:rPr>
                <w:color w:val="1a1a1a"/>
              </w:rPr>
            </w:pPr>
            <w:r>
              <w:rPr>
                <w:rFonts w:hint="eastAsia" w:ascii="宋体" w:hAnsi="宋体" w:eastAsia="宋体" w:cs="宋体"/>
                <w:color w:val="1a1a1a"/>
                <w:sz w:val="16"/>
              </w:rPr>
              <w:t>Globe Market Research（2026）</w:t>
            </w:r>
          </w:p>
        </w:tc>
        <w:tc>
          <w:tcPr>
            <w:tcW w:w="1661" w:type="dxa"/>
            <w:tcBorders>
              <w:left w:val="none" w:sz="8"/>
              <w:right w:val="none" w:sz="8"/>
            </w:tcBorders>
            <w:tcMar>
              <w:top w:w="72" w:type="dxa"/>
              <w:left w:w="144" w:type="dxa"/>
              <w:bottom w:w="72" w:type="dxa"/>
              <w:right w:w="144" w:type="dxa"/>
            </w:tcMar>
            <w:vAlign w:val="center"/>
          </w:tcPr>
          <w:p w14:paraId="00000081">
            <w:pPr>
              <w:jc w:val="right"/>
              <w:rPr>
                <w:color w:val="1a1a1a"/>
              </w:rPr>
            </w:pPr>
            <w:r>
              <w:rPr>
                <w:rFonts w:hint="eastAsia" w:ascii="Calibri" w:hAnsi="Calibri" w:eastAsia="Calibri" w:cs="Calibri"/>
                <w:color w:val="1a1a1a"/>
                <w:sz w:val="16"/>
              </w:rPr>
              <w:t>99 亿美元</w:t>
            </w:r>
          </w:p>
        </w:tc>
        <w:tc>
          <w:tcPr>
            <w:tcW w:w="1661" w:type="dxa"/>
            <w:tcBorders>
              <w:left w:val="none" w:sz="8"/>
              <w:right w:val="none" w:sz="8"/>
            </w:tcBorders>
            <w:tcMar>
              <w:top w:w="72" w:type="dxa"/>
              <w:left w:w="144" w:type="dxa"/>
              <w:bottom w:w="72" w:type="dxa"/>
              <w:right w:w="144" w:type="dxa"/>
            </w:tcMar>
            <w:vAlign w:val="center"/>
          </w:tcPr>
          <w:p w14:paraId="00000082">
            <w:pPr>
              <w:jc w:val="right"/>
              <w:rPr>
                <w:color w:val="1a1a1a"/>
              </w:rPr>
            </w:pPr>
            <w:r>
              <w:rPr>
                <w:rFonts w:hint="eastAsia" w:ascii="Calibri" w:hAnsi="Calibri" w:eastAsia="Calibri" w:cs="Calibri"/>
                <w:color w:val="1a1a1a"/>
                <w:sz w:val="16"/>
              </w:rPr>
              <w:t>2885 亿美元</w:t>
            </w:r>
          </w:p>
        </w:tc>
        <w:tc>
          <w:tcPr>
            <w:tcW w:w="1661" w:type="dxa"/>
            <w:tcBorders>
              <w:left w:val="none" w:sz="8"/>
              <w:right w:val="none" w:sz="8"/>
            </w:tcBorders>
            <w:tcMar>
              <w:top w:w="72" w:type="dxa"/>
              <w:left w:w="144" w:type="dxa"/>
              <w:bottom w:w="72" w:type="dxa"/>
              <w:right w:w="144" w:type="dxa"/>
            </w:tcMar>
            <w:vAlign w:val="center"/>
          </w:tcPr>
          <w:p w14:paraId="00000083">
            <w:pPr>
              <w:jc w:val="right"/>
              <w:rPr>
                <w:color w:val="1a1a1a"/>
              </w:rPr>
            </w:pPr>
            <w:r>
              <w:rPr>
                <w:rFonts w:ascii="Calibri" w:hAnsi="Calibri" w:eastAsia="Calibri" w:cs="Calibri"/>
                <w:color w:val="1a1a1a"/>
                <w:sz w:val="16"/>
              </w:rPr>
              <w:t>—</w:t>
            </w:r>
          </w:p>
        </w:tc>
        <w:tc>
          <w:tcPr>
            <w:tcW w:w="1661" w:type="dxa"/>
            <w:tcBorders>
              <w:left w:val="none" w:sz="8"/>
              <w:right w:val="none" w:sz="8"/>
            </w:tcBorders>
            <w:tcMar>
              <w:top w:w="72" w:type="dxa"/>
              <w:left w:w="144" w:type="dxa"/>
              <w:bottom w:w="72" w:type="dxa"/>
              <w:right w:w="144" w:type="dxa"/>
            </w:tcMar>
            <w:vAlign w:val="center"/>
          </w:tcPr>
          <w:p w14:paraId="00000084">
            <w:pPr>
              <w:jc w:val="left"/>
              <w:rPr>
                <w:color w:val="1a1a1a"/>
              </w:rPr>
            </w:pPr>
            <w:r>
              <w:rPr>
                <w:rFonts w:hint="eastAsia" w:ascii="宋体" w:hAnsi="宋体" w:eastAsia="宋体" w:cs="宋体"/>
                <w:color w:val="1a1a1a"/>
                <w:sz w:val="16"/>
              </w:rPr>
              <w:t>软件产品口径</w:t>
            </w:r>
          </w:p>
        </w:tc>
      </w:tr>
      <w:tr>
        <w:trPr/>
        <w:tc>
          <w:tcPr>
            <w:tcW w:w="1661" w:type="dxa"/>
            <w:tcBorders>
              <w:left w:val="none" w:sz="8"/>
              <w:bottom w:val="single" w:color="1a1a1a" w:sz="12"/>
              <w:right w:val="none" w:sz="8"/>
            </w:tcBorders>
            <w:tcMar>
              <w:top w:w="72" w:type="dxa"/>
              <w:left w:w="144" w:type="dxa"/>
              <w:bottom w:w="72" w:type="dxa"/>
              <w:right w:w="144" w:type="dxa"/>
            </w:tcMar>
            <w:vAlign w:val="center"/>
          </w:tcPr>
          <w:p w14:paraId="00000085">
            <w:pPr>
              <w:jc w:val="left"/>
              <w:rPr>
                <w:color w:val="1a1a1a"/>
              </w:rPr>
            </w:pPr>
            <w:r>
              <w:rPr>
                <w:rFonts w:hint="eastAsia" w:ascii="宋体" w:hAnsi="宋体" w:eastAsia="宋体" w:cs="宋体"/>
                <w:color w:val="1a1a1a"/>
                <w:sz w:val="16"/>
              </w:rPr>
              <w:t>IIM（2026）</w:t>
            </w:r>
          </w:p>
        </w:tc>
        <w:tc>
          <w:tcPr>
            <w:tcW w:w="1661" w:type="dxa"/>
            <w:tcBorders>
              <w:left w:val="none" w:sz="8"/>
              <w:bottom w:val="single" w:color="1a1a1a" w:sz="12"/>
              <w:right w:val="none" w:sz="8"/>
            </w:tcBorders>
            <w:tcMar>
              <w:top w:w="72" w:type="dxa"/>
              <w:left w:w="144" w:type="dxa"/>
              <w:bottom w:w="72" w:type="dxa"/>
              <w:right w:w="144" w:type="dxa"/>
            </w:tcMar>
            <w:vAlign w:val="center"/>
          </w:tcPr>
          <w:p w14:paraId="00000086">
            <w:pPr>
              <w:jc w:val="right"/>
              <w:rPr>
                <w:color w:val="1a1a1a"/>
              </w:rPr>
            </w:pPr>
            <w:r>
              <w:rPr>
                <w:rFonts w:hint="eastAsia" w:ascii="Calibri" w:hAnsi="Calibri" w:eastAsia="Calibri" w:cs="Calibri"/>
                <w:color w:val="1a1a1a"/>
                <w:sz w:val="16"/>
              </w:rPr>
              <w:t>198 亿美元</w:t>
            </w:r>
          </w:p>
        </w:tc>
        <w:tc>
          <w:tcPr>
            <w:tcW w:w="1661" w:type="dxa"/>
            <w:tcBorders>
              <w:left w:val="none" w:sz="8"/>
              <w:bottom w:val="single" w:color="1a1a1a" w:sz="12"/>
              <w:right w:val="none" w:sz="8"/>
            </w:tcBorders>
            <w:tcMar>
              <w:top w:w="72" w:type="dxa"/>
              <w:left w:w="144" w:type="dxa"/>
              <w:bottom w:w="72" w:type="dxa"/>
              <w:right w:w="144" w:type="dxa"/>
            </w:tcMar>
            <w:vAlign w:val="center"/>
          </w:tcPr>
          <w:p w14:paraId="00000087">
            <w:pPr>
              <w:jc w:val="right"/>
              <w:rPr>
                <w:color w:val="1a1a1a"/>
              </w:rPr>
            </w:pPr>
            <w:r>
              <w:rPr>
                <w:rFonts w:ascii="Calibri" w:hAnsi="Calibri" w:eastAsia="Calibri" w:cs="Calibri"/>
                <w:color w:val="1a1a1a"/>
                <w:sz w:val="16"/>
              </w:rPr>
              <w:t>—</w:t>
            </w:r>
          </w:p>
        </w:tc>
        <w:tc>
          <w:tcPr>
            <w:tcW w:w="1661" w:type="dxa"/>
            <w:tcBorders>
              <w:left w:val="none" w:sz="8"/>
              <w:bottom w:val="single" w:color="1a1a1a" w:sz="12"/>
              <w:right w:val="none" w:sz="8"/>
            </w:tcBorders>
            <w:tcMar>
              <w:top w:w="72" w:type="dxa"/>
              <w:left w:w="144" w:type="dxa"/>
              <w:bottom w:w="72" w:type="dxa"/>
              <w:right w:w="144" w:type="dxa"/>
            </w:tcMar>
            <w:vAlign w:val="center"/>
          </w:tcPr>
          <w:p w14:paraId="00000088">
            <w:pPr>
              <w:jc w:val="right"/>
              <w:rPr>
                <w:color w:val="1a1a1a"/>
              </w:rPr>
            </w:pPr>
            <w:r>
              <w:rPr>
                <w:rFonts w:hint="eastAsia" w:ascii="Calibri" w:hAnsi="Calibri" w:eastAsia="Calibri" w:cs="Calibri"/>
                <w:color w:val="1a1a1a"/>
                <w:sz w:val="16"/>
              </w:rPr>
              <w:t>67.3%（2025-2030）</w:t>
            </w:r>
          </w:p>
        </w:tc>
        <w:tc>
          <w:tcPr>
            <w:tcW w:w="1661" w:type="dxa"/>
            <w:tcBorders>
              <w:left w:val="none" w:sz="8"/>
              <w:bottom w:val="single" w:color="1a1a1a" w:sz="12"/>
              <w:right w:val="none" w:sz="8"/>
            </w:tcBorders>
            <w:tcMar>
              <w:top w:w="72" w:type="dxa"/>
              <w:left w:w="144" w:type="dxa"/>
              <w:bottom w:w="72" w:type="dxa"/>
              <w:right w:w="144" w:type="dxa"/>
            </w:tcMar>
            <w:vAlign w:val="center"/>
          </w:tcPr>
          <w:p w14:paraId="00000089">
            <w:pPr>
              <w:jc w:val="left"/>
              <w:rPr>
                <w:color w:val="1a1a1a"/>
              </w:rPr>
            </w:pPr>
            <w:r>
              <w:rPr>
                <w:rFonts w:hint="eastAsia" w:ascii="宋体" w:hAnsi="宋体" w:eastAsia="宋体" w:cs="宋体"/>
                <w:color w:val="1a1a1a"/>
                <w:sz w:val="16"/>
              </w:rPr>
              <w:t>应用与服务宽口径</w:t>
            </w:r>
          </w:p>
        </w:tc>
      </w:tr>
    </w:tbl>
    <w:p w14:paraId="0000008A">
      <w:pPr>
        <w:spacing w:before="0" w:after="192" w:line="360"/>
        <w:ind w:left="0" w:right="0" w:firstLine="480"/>
        <w:jc w:val="both"/>
        <w:rPr>
          <w:color w:val="1a1a1a"/>
        </w:rPr>
      </w:pPr>
      <w:r>
        <w:rPr>
          <w:rFonts w:hint="eastAsia" w:ascii="宋体" w:hAnsi="宋体" w:eastAsia="宋体" w:cs="宋体"/>
          <w:color w:val="1a1a1a"/>
          <w:sz w:val="18"/>
        </w:rPr>
        <w:t>资料来源：据 MarketsandMarkets、BCC Research、MarkNtel Advisors、Grand View Research、Globe Market Research、IIM 2026 年公开数据整理。</w:t>
      </w:r>
    </w:p>
    <w:p w14:paraId="0000008B">
      <w:pPr>
        <w:spacing w:before="0" w:after="192" w:line="360"/>
        <w:ind w:left="0" w:right="0" w:firstLine="480"/>
        <w:jc w:val="both"/>
        <w:rPr>
          <w:color w:val="1a1a1a"/>
        </w:rPr>
      </w:pPr>
      <w:r>
        <w:rPr>
          <w:rFonts w:hint="eastAsia" w:ascii="宋体" w:hAnsi="宋体" w:eastAsia="宋体" w:cs="宋体"/>
          <w:color w:val="1a1a1a"/>
          <w:sz w:val="18"/>
        </w:rPr>
        <w:t>从渗透节奏看，这一市场的扩张速度显著快于历史上的企业软件品类：SaaS 市场从 50 亿美元增长到 500 亿美元用了约 15 年，而 AI 智能体市场预计仅用 5 年即可走完同样的路程（据 AgentMarketCap，2026年4月）。</w:t>
      </w:r>
    </w:p>
    <w:p w14:paraId="0000008C">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8" w:name="section-3-2"/>
      <w:r>
        <w:rPr>
          <w:rFonts w:hint="eastAsia" w:ascii="黑体" w:hAnsi="黑体" w:eastAsia="黑体" w:cs="黑体"/>
          <w:b w:val="1"/>
          <w:color w:val="1a237e"/>
          <w:sz w:val="22"/>
        </w:rPr>
        <w:t>3.2 企业部署率：从试点迈向规模化的关键一跃</w:t>
      </w:r>
      <w:bookmarkEnd w:id="8"/>
    </w:p>
    <w:p w14:paraId="0000008D">
      <w:pPr>
        <w:spacing w:before="0" w:after="192" w:line="360"/>
        <w:ind w:left="0" w:right="0" w:firstLine="480"/>
        <w:jc w:val="both"/>
        <w:rPr>
          <w:color w:val="1a1a1a"/>
        </w:rPr>
      </w:pPr>
      <w:r>
        <w:rPr>
          <w:rFonts w:hint="eastAsia" w:ascii="宋体" w:hAnsi="宋体" w:eastAsia="宋体" w:cs="宋体"/>
          <w:color w:val="1a1a1a"/>
          <w:sz w:val="18"/>
        </w:rPr>
        <w:t>市场规模的高增长背后，是企业部署率的快速爬升，但"试点"与"规模化"之间仍存在明显断层：</w:t>
      </w:r>
    </w:p>
    <w:p w14:paraId="0000008E">
      <w:pPr>
        <w:spacing w:before="0" w:after="192" w:line="360"/>
        <w:ind w:left="0" w:right="0" w:firstLine="480"/>
        <w:jc w:val="both"/>
        <w:rPr>
          <w:color w:val="1a1a1a"/>
        </w:rPr>
      </w:pPr>
      <w:r>
        <w:rPr>
          <w:rFonts w:hint="eastAsia" w:ascii="宋体" w:hAnsi="宋体" w:eastAsia="宋体" w:cs="宋体"/>
          <w:b w:val="1"/>
          <w:color w:val="1a1a1a"/>
          <w:sz w:val="18"/>
        </w:rPr>
        <w:t>表3：全球企业 AI 智能体部署率关键指标</w:t>
      </w:r>
    </w:p>
    <w:tbl>
      <w:tblPr>
        <w:tblW w:w="8306" w:type="dxa"/>
        <w:shd w:color="1a1a1a"/>
        <w:tblLayout w:type="autofit"/>
        <w:tblCellMar>
          <w:top w:w="0" w:type="dxa"/>
          <w:left w:w="0" w:type="dxa"/>
          <w:bottom w:w="0" w:type="dxa"/>
          <w:right w:w="0" w:type="dxa"/>
        </w:tblCellMar>
      </w:tblPr>
      <w:tblGrid>
        <w:gridCol w:w="2768"/>
        <w:gridCol w:w="2768"/>
        <w:gridCol w:w="2768"/>
      </w:tblGrid>
      <w:tr>
        <w:trPr>
          <w:tblHeader w:val="1"/>
        </w:trPr>
        <w:tc>
          <w:tcPr>
            <w:tcW w:w="2768"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8F">
            <w:pPr>
              <w:jc w:val="left"/>
              <w:rPr>
                <w:b w:val="1"/>
                <w:bCs w:val="1"/>
                <w:color w:val="1a1a1a"/>
              </w:rPr>
            </w:pPr>
            <w:r>
              <w:rPr>
                <w:rFonts w:hint="eastAsia" w:ascii="宋体" w:hAnsi="宋体" w:eastAsia="宋体" w:cs="宋体"/>
                <w:b w:val="1"/>
                <w:color w:val="1a1a1a"/>
                <w:sz w:val="16"/>
              </w:rPr>
              <w:t>指标</w:t>
            </w:r>
          </w:p>
        </w:tc>
        <w:tc>
          <w:tcPr>
            <w:tcW w:w="2768"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90">
            <w:pPr>
              <w:jc w:val="left"/>
              <w:rPr>
                <w:b w:val="1"/>
                <w:bCs w:val="1"/>
                <w:color w:val="1a1a1a"/>
              </w:rPr>
            </w:pPr>
            <w:r>
              <w:rPr>
                <w:rFonts w:hint="eastAsia" w:ascii="宋体" w:hAnsi="宋体" w:eastAsia="宋体" w:cs="宋体"/>
                <w:b w:val="1"/>
                <w:color w:val="1a1a1a"/>
                <w:sz w:val="16"/>
              </w:rPr>
              <w:t>数值</w:t>
            </w:r>
          </w:p>
        </w:tc>
        <w:tc>
          <w:tcPr>
            <w:tcW w:w="2768"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91">
            <w:pPr>
              <w:jc w:val="left"/>
              <w:rPr>
                <w:b w:val="1"/>
                <w:bCs w:val="1"/>
                <w:color w:val="1a1a1a"/>
              </w:rPr>
            </w:pPr>
            <w:r>
              <w:rPr>
                <w:rFonts w:hint="eastAsia" w:ascii="宋体" w:hAnsi="宋体" w:eastAsia="宋体" w:cs="宋体"/>
                <w:b w:val="1"/>
                <w:color w:val="1a1a1a"/>
                <w:sz w:val="16"/>
              </w:rPr>
              <w:t>来源与时间</w:t>
            </w:r>
          </w:p>
        </w:tc>
      </w:tr>
      <w:tr>
        <w:trPr/>
        <w:tc>
          <w:tcPr>
            <w:tcW w:w="2768" w:type="dxa"/>
            <w:tcBorders>
              <w:left w:val="none" w:sz="8"/>
              <w:right w:val="none" w:sz="8"/>
            </w:tcBorders>
            <w:tcMar>
              <w:top w:w="72" w:type="dxa"/>
              <w:left w:w="144" w:type="dxa"/>
              <w:bottom w:w="72" w:type="dxa"/>
              <w:right w:w="144" w:type="dxa"/>
            </w:tcMar>
            <w:vAlign w:val="center"/>
          </w:tcPr>
          <w:p w14:paraId="00000092">
            <w:pPr>
              <w:jc w:val="left"/>
              <w:rPr>
                <w:color w:val="1a1a1a"/>
              </w:rPr>
            </w:pPr>
            <w:r>
              <w:rPr>
                <w:rFonts w:hint="eastAsia" w:ascii="宋体" w:hAnsi="宋体" w:eastAsia="宋体" w:cs="宋体"/>
                <w:color w:val="1a1a1a"/>
                <w:sz w:val="16"/>
              </w:rPr>
              <w:t>全球企业 AI 智能体部署率</w:t>
            </w:r>
          </w:p>
        </w:tc>
        <w:tc>
          <w:tcPr>
            <w:tcW w:w="2768" w:type="dxa"/>
            <w:tcBorders>
              <w:left w:val="none" w:sz="8"/>
              <w:right w:val="none" w:sz="8"/>
            </w:tcBorders>
            <w:tcMar>
              <w:top w:w="72" w:type="dxa"/>
              <w:left w:w="144" w:type="dxa"/>
              <w:bottom w:w="72" w:type="dxa"/>
              <w:right w:w="144" w:type="dxa"/>
            </w:tcMar>
            <w:vAlign w:val="center"/>
          </w:tcPr>
          <w:p w14:paraId="00000093">
            <w:pPr>
              <w:jc w:val="right"/>
              <w:rPr>
                <w:color w:val="1a1a1a"/>
              </w:rPr>
            </w:pPr>
            <w:r>
              <w:rPr>
                <w:rFonts w:hint="eastAsia" w:ascii="Calibri" w:hAnsi="Calibri" w:eastAsia="Calibri" w:cs="Calibri"/>
                <w:color w:val="1a1a1a"/>
                <w:sz w:val="16"/>
              </w:rPr>
              <w:t>不足 5% → 17%</w:t>
            </w:r>
          </w:p>
        </w:tc>
        <w:tc>
          <w:tcPr>
            <w:tcW w:w="2768" w:type="dxa"/>
            <w:tcBorders>
              <w:left w:val="none" w:sz="8"/>
              <w:right w:val="none" w:sz="8"/>
            </w:tcBorders>
            <w:tcMar>
              <w:top w:w="72" w:type="dxa"/>
              <w:left w:w="144" w:type="dxa"/>
              <w:bottom w:w="72" w:type="dxa"/>
              <w:right w:w="144" w:type="dxa"/>
            </w:tcMar>
            <w:vAlign w:val="center"/>
          </w:tcPr>
          <w:p w14:paraId="00000094">
            <w:pPr>
              <w:jc w:val="left"/>
              <w:rPr>
                <w:color w:val="1a1a1a"/>
              </w:rPr>
            </w:pPr>
            <w:r>
              <w:rPr>
                <w:rFonts w:hint="eastAsia" w:ascii="宋体" w:hAnsi="宋体" w:eastAsia="宋体" w:cs="宋体"/>
                <w:color w:val="1a1a1a"/>
                <w:sz w:val="16"/>
              </w:rPr>
              <w:t>2025年9月 → 2026年4月</w:t>
            </w:r>
          </w:p>
        </w:tc>
      </w:tr>
      <w:tr>
        <w:trPr/>
        <w:tc>
          <w:tcPr>
            <w:tcW w:w="2768" w:type="dxa"/>
            <w:tcBorders>
              <w:left w:val="none" w:sz="8"/>
              <w:right w:val="none" w:sz="8"/>
            </w:tcBorders>
            <w:tcMar>
              <w:top w:w="72" w:type="dxa"/>
              <w:left w:w="144" w:type="dxa"/>
              <w:bottom w:w="72" w:type="dxa"/>
              <w:right w:w="144" w:type="dxa"/>
            </w:tcMar>
            <w:vAlign w:val="center"/>
          </w:tcPr>
          <w:p w14:paraId="00000095">
            <w:pPr>
              <w:jc w:val="left"/>
              <w:rPr>
                <w:color w:val="1a1a1a"/>
              </w:rPr>
            </w:pPr>
            <w:r>
              <w:rPr>
                <w:rFonts w:hint="eastAsia" w:ascii="宋体" w:hAnsi="宋体" w:eastAsia="宋体" w:cs="宋体"/>
                <w:color w:val="1a1a1a"/>
                <w:sz w:val="16"/>
              </w:rPr>
              <w:t>Gartner 对 2026 年底部署率预测</w:t>
            </w:r>
          </w:p>
        </w:tc>
        <w:tc>
          <w:tcPr>
            <w:tcW w:w="2768" w:type="dxa"/>
            <w:tcBorders>
              <w:left w:val="none" w:sz="8"/>
              <w:right w:val="none" w:sz="8"/>
            </w:tcBorders>
            <w:tcMar>
              <w:top w:w="72" w:type="dxa"/>
              <w:left w:w="144" w:type="dxa"/>
              <w:bottom w:w="72" w:type="dxa"/>
              <w:right w:w="144" w:type="dxa"/>
            </w:tcMar>
            <w:vAlign w:val="center"/>
          </w:tcPr>
          <w:p w14:paraId="00000096">
            <w:pPr>
              <w:jc w:val="right"/>
              <w:rPr>
                <w:color w:val="1a1a1a"/>
              </w:rPr>
            </w:pPr>
            <w:r>
              <w:rPr>
                <w:rFonts w:hint="eastAsia" w:ascii="Calibri" w:hAnsi="Calibri" w:eastAsia="Calibri" w:cs="Calibri"/>
                <w:color w:val="1a1a1a"/>
                <w:sz w:val="16"/>
              </w:rPr>
              <w:t>约 40%</w:t>
            </w:r>
          </w:p>
        </w:tc>
        <w:tc>
          <w:tcPr>
            <w:tcW w:w="2768" w:type="dxa"/>
            <w:tcBorders>
              <w:left w:val="none" w:sz="8"/>
              <w:right w:val="none" w:sz="8"/>
            </w:tcBorders>
            <w:tcMar>
              <w:top w:w="72" w:type="dxa"/>
              <w:left w:w="144" w:type="dxa"/>
              <w:bottom w:w="72" w:type="dxa"/>
              <w:right w:w="144" w:type="dxa"/>
            </w:tcMar>
            <w:vAlign w:val="center"/>
          </w:tcPr>
          <w:p w14:paraId="00000097">
            <w:pPr>
              <w:jc w:val="left"/>
              <w:rPr>
                <w:color w:val="1a1a1a"/>
              </w:rPr>
            </w:pPr>
            <w:r>
              <w:rPr>
                <w:rFonts w:hint="eastAsia" w:ascii="宋体" w:hAnsi="宋体" w:eastAsia="宋体" w:cs="宋体"/>
                <w:color w:val="1a1a1a"/>
                <w:sz w:val="16"/>
              </w:rPr>
              <w:t>Gartner（2026）</w:t>
            </w:r>
          </w:p>
        </w:tc>
      </w:tr>
      <w:tr>
        <w:trPr/>
        <w:tc>
          <w:tcPr>
            <w:tcW w:w="2768" w:type="dxa"/>
            <w:tcBorders>
              <w:left w:val="none" w:sz="8"/>
              <w:right w:val="none" w:sz="8"/>
            </w:tcBorders>
            <w:tcMar>
              <w:top w:w="72" w:type="dxa"/>
              <w:left w:w="144" w:type="dxa"/>
              <w:bottom w:w="72" w:type="dxa"/>
              <w:right w:w="144" w:type="dxa"/>
            </w:tcMar>
            <w:vAlign w:val="center"/>
          </w:tcPr>
          <w:p w14:paraId="00000098">
            <w:pPr>
              <w:jc w:val="left"/>
              <w:rPr>
                <w:color w:val="1a1a1a"/>
              </w:rPr>
            </w:pPr>
            <w:r>
              <w:rPr>
                <w:rFonts w:hint="eastAsia" w:ascii="宋体" w:hAnsi="宋体" w:eastAsia="宋体" w:cs="宋体"/>
                <w:color w:val="1a1a1a"/>
                <w:sz w:val="16"/>
              </w:rPr>
              <w:t>Gartner 对 2028 年部署率预测</w:t>
            </w:r>
          </w:p>
        </w:tc>
        <w:tc>
          <w:tcPr>
            <w:tcW w:w="2768" w:type="dxa"/>
            <w:tcBorders>
              <w:left w:val="none" w:sz="8"/>
              <w:right w:val="none" w:sz="8"/>
            </w:tcBorders>
            <w:tcMar>
              <w:top w:w="72" w:type="dxa"/>
              <w:left w:w="144" w:type="dxa"/>
              <w:bottom w:w="72" w:type="dxa"/>
              <w:right w:w="144" w:type="dxa"/>
            </w:tcMar>
            <w:vAlign w:val="center"/>
          </w:tcPr>
          <w:p w14:paraId="00000099">
            <w:pPr>
              <w:jc w:val="right"/>
              <w:rPr>
                <w:color w:val="1a1a1a"/>
              </w:rPr>
            </w:pPr>
            <w:r>
              <w:rPr>
                <w:rFonts w:hint="eastAsia" w:ascii="Calibri" w:hAnsi="Calibri" w:eastAsia="Calibri" w:cs="Calibri"/>
                <w:color w:val="1a1a1a"/>
                <w:sz w:val="16"/>
              </w:rPr>
              <w:t>超过 60%</w:t>
            </w:r>
          </w:p>
        </w:tc>
        <w:tc>
          <w:tcPr>
            <w:tcW w:w="2768" w:type="dxa"/>
            <w:tcBorders>
              <w:left w:val="none" w:sz="8"/>
              <w:right w:val="none" w:sz="8"/>
            </w:tcBorders>
            <w:tcMar>
              <w:top w:w="72" w:type="dxa"/>
              <w:left w:w="144" w:type="dxa"/>
              <w:bottom w:w="72" w:type="dxa"/>
              <w:right w:w="144" w:type="dxa"/>
            </w:tcMar>
            <w:vAlign w:val="center"/>
          </w:tcPr>
          <w:p w14:paraId="0000009A">
            <w:pPr>
              <w:jc w:val="left"/>
              <w:rPr>
                <w:color w:val="1a1a1a"/>
              </w:rPr>
            </w:pPr>
            <w:r>
              <w:rPr>
                <w:rFonts w:hint="eastAsia" w:ascii="宋体" w:hAnsi="宋体" w:eastAsia="宋体" w:cs="宋体"/>
                <w:color w:val="1a1a1a"/>
                <w:sz w:val="16"/>
              </w:rPr>
              <w:t>Gartner（2026）</w:t>
            </w:r>
          </w:p>
        </w:tc>
      </w:tr>
      <w:tr>
        <w:trPr/>
        <w:tc>
          <w:tcPr>
            <w:tcW w:w="2768" w:type="dxa"/>
            <w:tcBorders>
              <w:left w:val="none" w:sz="8"/>
              <w:right w:val="none" w:sz="8"/>
            </w:tcBorders>
            <w:tcMar>
              <w:top w:w="72" w:type="dxa"/>
              <w:left w:w="144" w:type="dxa"/>
              <w:bottom w:w="72" w:type="dxa"/>
              <w:right w:w="144" w:type="dxa"/>
            </w:tcMar>
            <w:vAlign w:val="center"/>
          </w:tcPr>
          <w:p w14:paraId="0000009B">
            <w:pPr>
              <w:jc w:val="left"/>
              <w:rPr>
                <w:color w:val="1a1a1a"/>
              </w:rPr>
            </w:pPr>
            <w:r>
              <w:rPr>
                <w:rFonts w:hint="eastAsia" w:ascii="宋体" w:hAnsi="宋体" w:eastAsia="宋体" w:cs="宋体"/>
                <w:color w:val="1a1a1a"/>
                <w:sz w:val="16"/>
              </w:rPr>
              <w:t>全球 Top500 企业已启动试点的比例</w:t>
            </w:r>
          </w:p>
        </w:tc>
        <w:tc>
          <w:tcPr>
            <w:tcW w:w="2768" w:type="dxa"/>
            <w:tcBorders>
              <w:left w:val="none" w:sz="8"/>
              <w:right w:val="none" w:sz="8"/>
            </w:tcBorders>
            <w:tcMar>
              <w:top w:w="72" w:type="dxa"/>
              <w:left w:w="144" w:type="dxa"/>
              <w:bottom w:w="72" w:type="dxa"/>
              <w:right w:w="144" w:type="dxa"/>
            </w:tcMar>
            <w:vAlign w:val="center"/>
          </w:tcPr>
          <w:p w14:paraId="0000009C">
            <w:pPr>
              <w:jc w:val="right"/>
              <w:rPr>
                <w:color w:val="1a1a1a"/>
              </w:rPr>
            </w:pPr>
            <w:r>
              <w:rPr>
                <w:rFonts w:ascii="Calibri" w:hAnsi="Calibri" w:eastAsia="Calibri" w:cs="Calibri"/>
                <w:color w:val="1a1a1a"/>
                <w:sz w:val="16"/>
              </w:rPr>
              <w:t>73%</w:t>
            </w:r>
          </w:p>
        </w:tc>
        <w:tc>
          <w:tcPr>
            <w:tcW w:w="2768" w:type="dxa"/>
            <w:tcBorders>
              <w:left w:val="none" w:sz="8"/>
              <w:right w:val="none" w:sz="8"/>
            </w:tcBorders>
            <w:tcMar>
              <w:top w:w="72" w:type="dxa"/>
              <w:left w:w="144" w:type="dxa"/>
              <w:bottom w:w="72" w:type="dxa"/>
              <w:right w:w="144" w:type="dxa"/>
            </w:tcMar>
            <w:vAlign w:val="center"/>
          </w:tcPr>
          <w:p w14:paraId="0000009D">
            <w:pPr>
              <w:jc w:val="left"/>
              <w:rPr>
                <w:color w:val="1a1a1a"/>
              </w:rPr>
            </w:pPr>
            <w:r>
              <w:rPr>
                <w:rFonts w:hint="eastAsia" w:ascii="宋体" w:hAnsi="宋体" w:eastAsia="宋体" w:cs="宋体"/>
                <w:color w:val="1a1a1a"/>
                <w:sz w:val="16"/>
              </w:rPr>
              <w:t>IDC（2026）</w:t>
            </w:r>
          </w:p>
        </w:tc>
      </w:tr>
      <w:tr>
        <w:trPr/>
        <w:tc>
          <w:tcPr>
            <w:tcW w:w="2768" w:type="dxa"/>
            <w:tcBorders>
              <w:left w:val="none" w:sz="8"/>
              <w:right w:val="none" w:sz="8"/>
            </w:tcBorders>
            <w:tcMar>
              <w:top w:w="72" w:type="dxa"/>
              <w:left w:w="144" w:type="dxa"/>
              <w:bottom w:w="72" w:type="dxa"/>
              <w:right w:w="144" w:type="dxa"/>
            </w:tcMar>
            <w:vAlign w:val="center"/>
          </w:tcPr>
          <w:p w14:paraId="0000009E">
            <w:pPr>
              <w:jc w:val="left"/>
              <w:rPr>
                <w:color w:val="1a1a1a"/>
              </w:rPr>
            </w:pPr>
            <w:r>
              <w:rPr>
                <w:rFonts w:hint="eastAsia" w:ascii="宋体" w:hAnsi="宋体" w:eastAsia="宋体" w:cs="宋体"/>
                <w:color w:val="1a1a1a"/>
                <w:sz w:val="16"/>
              </w:rPr>
              <w:t>其中实现跨部门规模化的比例</w:t>
            </w:r>
          </w:p>
        </w:tc>
        <w:tc>
          <w:tcPr>
            <w:tcW w:w="2768" w:type="dxa"/>
            <w:tcBorders>
              <w:left w:val="none" w:sz="8"/>
              <w:right w:val="none" w:sz="8"/>
            </w:tcBorders>
            <w:tcMar>
              <w:top w:w="72" w:type="dxa"/>
              <w:left w:w="144" w:type="dxa"/>
              <w:bottom w:w="72" w:type="dxa"/>
              <w:right w:w="144" w:type="dxa"/>
            </w:tcMar>
            <w:vAlign w:val="center"/>
          </w:tcPr>
          <w:p w14:paraId="0000009F">
            <w:pPr>
              <w:jc w:val="right"/>
              <w:rPr>
                <w:color w:val="1a1a1a"/>
              </w:rPr>
            </w:pPr>
            <w:r>
              <w:rPr>
                <w:rFonts w:hint="eastAsia" w:ascii="Calibri" w:hAnsi="Calibri" w:eastAsia="Calibri" w:cs="Calibri"/>
                <w:color w:val="1a1a1a"/>
                <w:sz w:val="16"/>
              </w:rPr>
              <w:t>仅 19%</w:t>
            </w:r>
          </w:p>
        </w:tc>
        <w:tc>
          <w:tcPr>
            <w:tcW w:w="2768" w:type="dxa"/>
            <w:tcBorders>
              <w:left w:val="none" w:sz="8"/>
              <w:right w:val="none" w:sz="8"/>
            </w:tcBorders>
            <w:tcMar>
              <w:top w:w="72" w:type="dxa"/>
              <w:left w:w="144" w:type="dxa"/>
              <w:bottom w:w="72" w:type="dxa"/>
              <w:right w:w="144" w:type="dxa"/>
            </w:tcMar>
            <w:vAlign w:val="center"/>
          </w:tcPr>
          <w:p w14:paraId="000000A0">
            <w:pPr>
              <w:jc w:val="left"/>
              <w:rPr>
                <w:color w:val="1a1a1a"/>
              </w:rPr>
            </w:pPr>
            <w:r>
              <w:rPr>
                <w:rFonts w:hint="eastAsia" w:ascii="宋体" w:hAnsi="宋体" w:eastAsia="宋体" w:cs="宋体"/>
                <w:color w:val="1a1a1a"/>
                <w:sz w:val="16"/>
              </w:rPr>
              <w:t>IDC（2026）</w:t>
            </w:r>
          </w:p>
        </w:tc>
      </w:tr>
      <w:tr>
        <w:trPr/>
        <w:tc>
          <w:tcPr>
            <w:tcW w:w="2768" w:type="dxa"/>
            <w:tcBorders>
              <w:left w:val="none" w:sz="8"/>
              <w:right w:val="none" w:sz="8"/>
            </w:tcBorders>
            <w:tcMar>
              <w:top w:w="72" w:type="dxa"/>
              <w:left w:w="144" w:type="dxa"/>
              <w:bottom w:w="72" w:type="dxa"/>
              <w:right w:w="144" w:type="dxa"/>
            </w:tcMar>
            <w:vAlign w:val="center"/>
          </w:tcPr>
          <w:p w14:paraId="000000A1">
            <w:pPr>
              <w:jc w:val="left"/>
              <w:rPr>
                <w:color w:val="1a1a1a"/>
              </w:rPr>
            </w:pPr>
            <w:r>
              <w:rPr>
                <w:rFonts w:hint="eastAsia" w:ascii="宋体" w:hAnsi="宋体" w:eastAsia="宋体" w:cs="宋体"/>
                <w:color w:val="1a1a1a"/>
                <w:sz w:val="16"/>
              </w:rPr>
              <w:t>已在部分业务单元规模化应用的组织</w:t>
            </w:r>
          </w:p>
        </w:tc>
        <w:tc>
          <w:tcPr>
            <w:tcW w:w="2768" w:type="dxa"/>
            <w:tcBorders>
              <w:left w:val="none" w:sz="8"/>
              <w:right w:val="none" w:sz="8"/>
            </w:tcBorders>
            <w:tcMar>
              <w:top w:w="72" w:type="dxa"/>
              <w:left w:w="144" w:type="dxa"/>
              <w:bottom w:w="72" w:type="dxa"/>
              <w:right w:w="144" w:type="dxa"/>
            </w:tcMar>
            <w:vAlign w:val="center"/>
          </w:tcPr>
          <w:p w14:paraId="000000A2">
            <w:pPr>
              <w:jc w:val="right"/>
              <w:rPr>
                <w:color w:val="1a1a1a"/>
              </w:rPr>
            </w:pPr>
            <w:r>
              <w:rPr>
                <w:rFonts w:hint="eastAsia" w:ascii="Calibri" w:hAnsi="Calibri" w:eastAsia="Calibri" w:cs="Calibri"/>
                <w:color w:val="1a1a1a"/>
                <w:sz w:val="16"/>
              </w:rPr>
              <w:t>23%（另有 39% 仍在试点）</w:t>
            </w:r>
          </w:p>
        </w:tc>
        <w:tc>
          <w:tcPr>
            <w:tcW w:w="2768" w:type="dxa"/>
            <w:tcBorders>
              <w:left w:val="none" w:sz="8"/>
              <w:right w:val="none" w:sz="8"/>
            </w:tcBorders>
            <w:tcMar>
              <w:top w:w="72" w:type="dxa"/>
              <w:left w:w="144" w:type="dxa"/>
              <w:bottom w:w="72" w:type="dxa"/>
              <w:right w:w="144" w:type="dxa"/>
            </w:tcMar>
            <w:vAlign w:val="center"/>
          </w:tcPr>
          <w:p w14:paraId="000000A3">
            <w:pPr>
              <w:jc w:val="left"/>
              <w:rPr>
                <w:color w:val="1a1a1a"/>
              </w:rPr>
            </w:pPr>
            <w:r>
              <w:rPr>
                <w:rFonts w:hint="eastAsia" w:ascii="宋体" w:hAnsi="宋体" w:eastAsia="宋体" w:cs="宋体"/>
                <w:color w:val="1a1a1a"/>
                <w:sz w:val="16"/>
              </w:rPr>
              <w:t>麦肯锡（2026）</w:t>
            </w:r>
          </w:p>
        </w:tc>
      </w:tr>
      <w:tr>
        <w:trPr/>
        <w:tc>
          <w:tcPr>
            <w:tcW w:w="2768" w:type="dxa"/>
            <w:tcBorders>
              <w:left w:val="none" w:sz="8"/>
              <w:right w:val="none" w:sz="8"/>
            </w:tcBorders>
            <w:tcMar>
              <w:top w:w="72" w:type="dxa"/>
              <w:left w:w="144" w:type="dxa"/>
              <w:bottom w:w="72" w:type="dxa"/>
              <w:right w:w="144" w:type="dxa"/>
            </w:tcMar>
            <w:vAlign w:val="center"/>
          </w:tcPr>
          <w:p w14:paraId="000000A4">
            <w:pPr>
              <w:jc w:val="left"/>
              <w:rPr>
                <w:color w:val="1a1a1a"/>
              </w:rPr>
            </w:pPr>
            <w:r>
              <w:rPr>
                <w:rFonts w:hint="eastAsia" w:ascii="宋体" w:hAnsi="宋体" w:eastAsia="宋体" w:cs="宋体"/>
                <w:color w:val="1a1a1a"/>
                <w:sz w:val="16"/>
              </w:rPr>
              <w:t>企业级 AI Agent 采纳率</w:t>
            </w:r>
          </w:p>
        </w:tc>
        <w:tc>
          <w:tcPr>
            <w:tcW w:w="2768" w:type="dxa"/>
            <w:tcBorders>
              <w:left w:val="none" w:sz="8"/>
              <w:right w:val="none" w:sz="8"/>
            </w:tcBorders>
            <w:tcMar>
              <w:top w:w="72" w:type="dxa"/>
              <w:left w:w="144" w:type="dxa"/>
              <w:bottom w:w="72" w:type="dxa"/>
              <w:right w:w="144" w:type="dxa"/>
            </w:tcMar>
            <w:vAlign w:val="center"/>
          </w:tcPr>
          <w:p w14:paraId="000000A5">
            <w:pPr>
              <w:jc w:val="right"/>
              <w:rPr>
                <w:color w:val="1a1a1a"/>
              </w:rPr>
            </w:pPr>
            <w:r>
              <w:rPr>
                <w:rFonts w:hint="eastAsia" w:ascii="Calibri" w:hAnsi="Calibri" w:eastAsia="Calibri" w:cs="Calibri"/>
                <w:color w:val="1a1a1a"/>
                <w:sz w:val="16"/>
              </w:rPr>
              <w:t>17.3%（2024底）→ 40.3%（2026中）</w:t>
            </w:r>
          </w:p>
        </w:tc>
        <w:tc>
          <w:tcPr>
            <w:tcW w:w="2768" w:type="dxa"/>
            <w:tcBorders>
              <w:left w:val="none" w:sz="8"/>
              <w:right w:val="none" w:sz="8"/>
            </w:tcBorders>
            <w:tcMar>
              <w:top w:w="72" w:type="dxa"/>
              <w:left w:w="144" w:type="dxa"/>
              <w:bottom w:w="72" w:type="dxa"/>
              <w:right w:w="144" w:type="dxa"/>
            </w:tcMar>
            <w:vAlign w:val="center"/>
          </w:tcPr>
          <w:p w14:paraId="000000A6">
            <w:pPr>
              <w:jc w:val="left"/>
              <w:rPr>
                <w:color w:val="1a1a1a"/>
              </w:rPr>
            </w:pPr>
            <w:r>
              <w:rPr>
                <w:rFonts w:hint="eastAsia" w:ascii="宋体" w:hAnsi="宋体" w:eastAsia="宋体" w:cs="宋体"/>
                <w:color w:val="1a1a1a"/>
                <w:sz w:val="16"/>
              </w:rPr>
              <w:t>行业统计（2026）</w:t>
            </w:r>
          </w:p>
        </w:tc>
      </w:tr>
      <w:tr>
        <w:trPr/>
        <w:tc>
          <w:tcPr>
            <w:tcW w:w="2768" w:type="dxa"/>
            <w:tcBorders>
              <w:left w:val="none" w:sz="8"/>
              <w:bottom w:val="single" w:color="1a1a1a" w:sz="12"/>
              <w:right w:val="none" w:sz="8"/>
            </w:tcBorders>
            <w:tcMar>
              <w:top w:w="72" w:type="dxa"/>
              <w:left w:w="144" w:type="dxa"/>
              <w:bottom w:w="72" w:type="dxa"/>
              <w:right w:w="144" w:type="dxa"/>
            </w:tcMar>
            <w:vAlign w:val="center"/>
          </w:tcPr>
          <w:p w14:paraId="000000A7">
            <w:pPr>
              <w:jc w:val="left"/>
              <w:rPr>
                <w:color w:val="1a1a1a"/>
              </w:rPr>
            </w:pPr>
            <w:r>
              <w:rPr>
                <w:rFonts w:hint="eastAsia" w:ascii="宋体" w:hAnsi="宋体" w:eastAsia="宋体" w:cs="宋体"/>
                <w:color w:val="1a1a1a"/>
                <w:sz w:val="16"/>
              </w:rPr>
              <w:t>全球活跃智能体数量</w:t>
            </w:r>
          </w:p>
        </w:tc>
        <w:tc>
          <w:tcPr>
            <w:tcW w:w="2768" w:type="dxa"/>
            <w:tcBorders>
              <w:left w:val="none" w:sz="8"/>
              <w:bottom w:val="single" w:color="1a1a1a" w:sz="12"/>
              <w:right w:val="none" w:sz="8"/>
            </w:tcBorders>
            <w:tcMar>
              <w:top w:w="72" w:type="dxa"/>
              <w:left w:w="144" w:type="dxa"/>
              <w:bottom w:w="72" w:type="dxa"/>
              <w:right w:w="144" w:type="dxa"/>
            </w:tcMar>
            <w:vAlign w:val="center"/>
          </w:tcPr>
          <w:p w14:paraId="000000A8">
            <w:pPr>
              <w:jc w:val="right"/>
              <w:rPr>
                <w:color w:val="1a1a1a"/>
              </w:rPr>
            </w:pPr>
            <w:r>
              <w:rPr>
                <w:rFonts w:hint="eastAsia" w:ascii="Calibri" w:hAnsi="Calibri" w:eastAsia="Calibri" w:cs="Calibri"/>
                <w:color w:val="1a1a1a"/>
                <w:sz w:val="16"/>
              </w:rPr>
              <w:t>7940 万（2026）→ 22.16 亿（2030），CAGR 129.8%</w:t>
            </w:r>
          </w:p>
        </w:tc>
        <w:tc>
          <w:tcPr>
            <w:tcW w:w="2768" w:type="dxa"/>
            <w:tcBorders>
              <w:left w:val="none" w:sz="8"/>
              <w:bottom w:val="single" w:color="1a1a1a" w:sz="12"/>
              <w:right w:val="none" w:sz="8"/>
            </w:tcBorders>
            <w:tcMar>
              <w:top w:w="72" w:type="dxa"/>
              <w:left w:w="144" w:type="dxa"/>
              <w:bottom w:w="72" w:type="dxa"/>
              <w:right w:w="144" w:type="dxa"/>
            </w:tcMar>
            <w:vAlign w:val="center"/>
          </w:tcPr>
          <w:p w14:paraId="000000A9">
            <w:pPr>
              <w:jc w:val="left"/>
              <w:rPr>
                <w:color w:val="1a1a1a"/>
              </w:rPr>
            </w:pPr>
            <w:r>
              <w:rPr>
                <w:rFonts w:hint="eastAsia" w:ascii="宋体" w:hAnsi="宋体" w:eastAsia="宋体" w:cs="宋体"/>
                <w:color w:val="1a1a1a"/>
                <w:sz w:val="16"/>
              </w:rPr>
              <w:t>IDC（2026）</w:t>
            </w:r>
          </w:p>
        </w:tc>
      </w:tr>
    </w:tbl>
    <w:p w14:paraId="000000AA">
      <w:pPr>
        <w:spacing w:before="0" w:after="192" w:line="360"/>
        <w:ind w:left="0" w:right="0" w:firstLine="480"/>
        <w:jc w:val="both"/>
        <w:rPr>
          <w:color w:val="1a1a1a"/>
        </w:rPr>
      </w:pPr>
      <w:r>
        <w:rPr>
          <w:rFonts w:hint="eastAsia" w:ascii="宋体" w:hAnsi="宋体" w:eastAsia="宋体" w:cs="宋体"/>
          <w:color w:val="1a1a1a"/>
          <w:sz w:val="18"/>
        </w:rPr>
        <w:t>资料来源：据 Gartner、IDC、麦肯锡等机构 2026 年公开数据整理。</w:t>
      </w:r>
    </w:p>
    <w:p w14:paraId="000000AB">
      <w:pPr>
        <w:spacing w:before="0" w:after="192" w:line="360"/>
        <w:ind w:left="0" w:right="0" w:firstLine="480"/>
        <w:jc w:val="both"/>
        <w:rPr>
          <w:color w:val="1a1a1a"/>
        </w:rPr>
      </w:pPr>
      <w:r>
        <w:rPr>
          <w:rFonts w:hint="eastAsia" w:ascii="宋体" w:hAnsi="宋体" w:eastAsia="宋体" w:cs="宋体"/>
          <w:color w:val="1a1a1a"/>
          <w:sz w:val="18"/>
        </w:rPr>
        <w:t>金融服务业以 47% 的生产部署率领跑各行业，反映出流程数字化程度高、合规价值可量化的领域落地最快（IIM，2026年）。</w:t>
      </w:r>
    </w:p>
    <w:p w14:paraId="000000AC">
      <w:pPr>
        <w:pStyle w:val="000008"/>
        <w:keepNext w:val="1"/>
        <w:keepLines w:val="1"/>
        <w:shd w:val="clear" w:fill="1a237e"/>
        <w:spacing w:before="288" w:beforeAutospacing="1" w:after="216" w:afterAutospacing="1" w:line="360"/>
        <w:ind w:left="0" w:right="0"/>
        <w:jc w:val="left"/>
        <w:outlineLvl w:val="0"/>
        <w:rPr>
          <w:color w:val="ffffff"/>
          <w:kern w:val="44"/>
          <w:sz w:val="44"/>
          <w:szCs w:val="44"/>
        </w:rPr>
      </w:pPr>
      <w:bookmarkStart w:id="9" w:name="section-4"/>
      <w:r>
        <w:rPr>
          <w:rFonts w:hint="eastAsia" w:ascii="黑体" w:hAnsi="黑体" w:eastAsia="黑体" w:cs="黑体"/>
          <w:b w:val="1"/>
          <w:color w:val="ffffff"/>
          <w:sz w:val="26"/>
        </w:rPr>
        <w:t>4. 全球厂商竞争格局：市场份额排名</w:t>
      </w:r>
      <w:bookmarkEnd w:id="9"/>
    </w:p>
    <w:p w14:paraId="000000AD">
      <w:pPr>
        <w:spacing w:before="0" w:after="192" w:line="360"/>
        <w:ind w:left="0" w:right="0" w:firstLine="480"/>
        <w:jc w:val="both"/>
        <w:rPr>
          <w:color w:val="1a1a1a"/>
        </w:rPr>
      </w:pPr>
      <w:r>
        <w:rPr>
          <w:rFonts w:hint="eastAsia" w:ascii="宋体" w:hAnsi="宋体" w:eastAsia="宋体" w:cs="宋体"/>
          <w:color w:val="1a1a1a"/>
          <w:sz w:val="18"/>
        </w:rPr>
        <w:t>厂商份额是市场占有率研究的核心。本章分别从"应用市场收入"与"企业实际部署"两个口径呈现全球供应商排名，并分析集中度的演化方向。</w:t>
      </w:r>
    </w:p>
    <w:p w14:paraId="000000AE">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10" w:name="section-4-1"/>
      <w:r>
        <w:rPr>
          <w:rFonts w:hint="eastAsia" w:ascii="黑体" w:hAnsi="黑体" w:eastAsia="黑体" w:cs="黑体"/>
          <w:b w:val="1"/>
          <w:color w:val="1a237e"/>
          <w:sz w:val="22"/>
        </w:rPr>
        <w:t>4.1 总体格局：一超多强，CR5约六成</w:t>
      </w:r>
      <w:bookmarkEnd w:id="10"/>
    </w:p>
    <w:p w14:paraId="000000AF">
      <w:pPr>
        <w:spacing w:before="0" w:after="192" w:line="360"/>
        <w:ind w:left="0" w:right="0" w:firstLine="480"/>
        <w:jc w:val="both"/>
        <w:rPr>
          <w:color w:val="1a1a1a"/>
        </w:rPr>
      </w:pPr>
      <w:r>
        <w:rPr>
          <w:rFonts w:hint="eastAsia" w:ascii="宋体" w:hAnsi="宋体" w:eastAsia="宋体" w:cs="宋体"/>
          <w:color w:val="1a1a1a"/>
          <w:sz w:val="18"/>
        </w:rPr>
        <w:t>按 Agentic AI 应用市场宽口径（IIM，2026年），全球供应商份额排名如下：</w:t>
      </w:r>
    </w:p>
    <w:p w14:paraId="000000B0">
      <w:pPr>
        <w:spacing w:before="0" w:after="192" w:line="360"/>
        <w:ind w:left="0" w:right="0" w:firstLine="480"/>
        <w:jc w:val="both"/>
        <w:rPr>
          <w:color w:val="1a1a1a"/>
        </w:rPr>
      </w:pPr>
      <w:r>
        <w:rPr>
          <w:rFonts w:hint="eastAsia" w:ascii="宋体" w:hAnsi="宋体" w:eastAsia="宋体" w:cs="宋体"/>
          <w:b w:val="1"/>
          <w:color w:val="1a1a1a"/>
          <w:sz w:val="18"/>
        </w:rPr>
        <w:t>表4：2026 年全球 Agentic AI 应用供应商市场份额排名</w:t>
      </w:r>
    </w:p>
    <w:tbl>
      <w:tblPr>
        <w:tblW w:w="8306" w:type="dxa"/>
        <w:shd w:color="1a1a1a"/>
        <w:tblLayout w:type="autofit"/>
        <w:tblCellMar>
          <w:top w:w="0" w:type="dxa"/>
          <w:left w:w="0" w:type="dxa"/>
          <w:bottom w:w="0" w:type="dxa"/>
          <w:right w:w="0" w:type="dxa"/>
        </w:tblCellMar>
      </w:tblPr>
      <w:tblGrid>
        <w:gridCol w:w="2076"/>
        <w:gridCol w:w="2076"/>
        <w:gridCol w:w="2076"/>
        <w:gridCol w:w="2076"/>
      </w:tblGrid>
      <w:tr>
        <w:trPr>
          <w:tblHeader w:val="1"/>
        </w:trPr>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B1">
            <w:pPr>
              <w:jc w:val="left"/>
              <w:rPr>
                <w:b w:val="1"/>
                <w:bCs w:val="1"/>
                <w:color w:val="1a1a1a"/>
              </w:rPr>
            </w:pPr>
            <w:r>
              <w:rPr>
                <w:rFonts w:hint="eastAsia" w:ascii="宋体" w:hAnsi="宋体" w:eastAsia="宋体" w:cs="宋体"/>
                <w:b w:val="1"/>
                <w:color w:val="1a1a1a"/>
                <w:sz w:val="16"/>
              </w:rPr>
              <w:t>排名</w:t>
            </w:r>
          </w:p>
        </w:tc>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B2">
            <w:pPr>
              <w:jc w:val="left"/>
              <w:rPr>
                <w:b w:val="1"/>
                <w:bCs w:val="1"/>
                <w:color w:val="1a1a1a"/>
              </w:rPr>
            </w:pPr>
            <w:r>
              <w:rPr>
                <w:rFonts w:hint="eastAsia" w:ascii="宋体" w:hAnsi="宋体" w:eastAsia="宋体" w:cs="宋体"/>
                <w:b w:val="1"/>
                <w:color w:val="1a1a1a"/>
                <w:sz w:val="16"/>
              </w:rPr>
              <w:t>供应商</w:t>
            </w:r>
          </w:p>
        </w:tc>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B3">
            <w:pPr>
              <w:jc w:val="left"/>
              <w:rPr>
                <w:b w:val="1"/>
                <w:bCs w:val="1"/>
                <w:color w:val="1a1a1a"/>
              </w:rPr>
            </w:pPr>
            <w:r>
              <w:rPr>
                <w:rFonts w:hint="eastAsia" w:ascii="宋体" w:hAnsi="宋体" w:eastAsia="宋体" w:cs="宋体"/>
                <w:b w:val="1"/>
                <w:color w:val="1a1a1a"/>
                <w:sz w:val="16"/>
              </w:rPr>
              <w:t>市场份额</w:t>
            </w:r>
          </w:p>
        </w:tc>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B4">
            <w:pPr>
              <w:jc w:val="left"/>
              <w:rPr>
                <w:b w:val="1"/>
                <w:bCs w:val="1"/>
                <w:color w:val="1a1a1a"/>
              </w:rPr>
            </w:pPr>
            <w:r>
              <w:rPr>
                <w:rFonts w:hint="eastAsia" w:ascii="宋体" w:hAnsi="宋体" w:eastAsia="宋体" w:cs="宋体"/>
                <w:b w:val="1"/>
                <w:color w:val="1a1a1a"/>
                <w:sz w:val="16"/>
              </w:rPr>
              <w:t>核心平台与竞争定位</w:t>
            </w:r>
          </w:p>
        </w:tc>
      </w:tr>
      <w:tr>
        <w:trPr/>
        <w:tc>
          <w:tcPr>
            <w:tcW w:w="2076" w:type="dxa"/>
            <w:tcBorders>
              <w:left w:val="none" w:sz="8"/>
              <w:right w:val="none" w:sz="8"/>
            </w:tcBorders>
            <w:tcMar>
              <w:top w:w="72" w:type="dxa"/>
              <w:left w:w="144" w:type="dxa"/>
              <w:bottom w:w="72" w:type="dxa"/>
              <w:right w:w="144" w:type="dxa"/>
            </w:tcMar>
            <w:vAlign w:val="center"/>
          </w:tcPr>
          <w:p w14:paraId="000000B5">
            <w:pPr>
              <w:jc w:val="right"/>
              <w:rPr>
                <w:color w:val="1a1a1a"/>
              </w:rPr>
            </w:pPr>
            <w:r>
              <w:rPr>
                <w:rFonts w:ascii="Calibri" w:hAnsi="Calibri" w:eastAsia="Calibri" w:cs="Calibri"/>
                <w:color w:val="1a1a1a"/>
                <w:sz w:val="16"/>
              </w:rPr>
              <w:t>1</w:t>
            </w:r>
          </w:p>
        </w:tc>
        <w:tc>
          <w:tcPr>
            <w:tcW w:w="2076" w:type="dxa"/>
            <w:tcBorders>
              <w:left w:val="none" w:sz="8"/>
              <w:right w:val="none" w:sz="8"/>
            </w:tcBorders>
            <w:tcMar>
              <w:top w:w="72" w:type="dxa"/>
              <w:left w:w="144" w:type="dxa"/>
              <w:bottom w:w="72" w:type="dxa"/>
              <w:right w:w="144" w:type="dxa"/>
            </w:tcMar>
            <w:vAlign w:val="center"/>
          </w:tcPr>
          <w:p w14:paraId="000000B6">
            <w:pPr>
              <w:jc w:val="left"/>
              <w:rPr>
                <w:color w:val="1a1a1a"/>
              </w:rPr>
            </w:pPr>
            <w:r>
              <w:rPr>
                <w:rFonts w:hint="eastAsia" w:ascii="宋体" w:hAnsi="宋体" w:eastAsia="宋体" w:cs="宋体"/>
                <w:color w:val="1a1a1a"/>
                <w:sz w:val="16"/>
              </w:rPr>
              <w:t>微软 Microsoft</w:t>
            </w:r>
          </w:p>
        </w:tc>
        <w:tc>
          <w:tcPr>
            <w:tcW w:w="2076" w:type="dxa"/>
            <w:tcBorders>
              <w:left w:val="none" w:sz="8"/>
              <w:right w:val="none" w:sz="8"/>
            </w:tcBorders>
            <w:tcMar>
              <w:top w:w="72" w:type="dxa"/>
              <w:left w:w="144" w:type="dxa"/>
              <w:bottom w:w="72" w:type="dxa"/>
              <w:right w:w="144" w:type="dxa"/>
            </w:tcMar>
            <w:vAlign w:val="center"/>
          </w:tcPr>
          <w:p w14:paraId="000000B7">
            <w:pPr>
              <w:jc w:val="right"/>
              <w:rPr>
                <w:color w:val="1a1a1a"/>
              </w:rPr>
            </w:pPr>
            <w:r>
              <w:rPr>
                <w:rFonts w:ascii="Calibri" w:hAnsi="Calibri" w:eastAsia="Calibri" w:cs="Calibri"/>
                <w:color w:val="1a1a1a"/>
                <w:sz w:val="16"/>
              </w:rPr>
              <w:t>17.2%</w:t>
            </w:r>
          </w:p>
        </w:tc>
        <w:tc>
          <w:tcPr>
            <w:tcW w:w="2076" w:type="dxa"/>
            <w:tcBorders>
              <w:left w:val="none" w:sz="8"/>
              <w:right w:val="none" w:sz="8"/>
            </w:tcBorders>
            <w:tcMar>
              <w:top w:w="72" w:type="dxa"/>
              <w:left w:w="144" w:type="dxa"/>
              <w:bottom w:w="72" w:type="dxa"/>
              <w:right w:w="144" w:type="dxa"/>
            </w:tcMar>
            <w:vAlign w:val="center"/>
          </w:tcPr>
          <w:p w14:paraId="000000B8">
            <w:pPr>
              <w:jc w:val="left"/>
              <w:rPr>
                <w:color w:val="1a1a1a"/>
              </w:rPr>
            </w:pPr>
            <w:r>
              <w:rPr>
                <w:rFonts w:hint="eastAsia" w:ascii="宋体" w:hAnsi="宋体" w:eastAsia="宋体" w:cs="宋体"/>
                <w:color w:val="1a1a1a"/>
                <w:sz w:val="16"/>
              </w:rPr>
              <w:t>Copilot Studio、Azure AI、Dynamics 365；办公与云生态全覆盖</w:t>
            </w:r>
          </w:p>
        </w:tc>
      </w:tr>
      <w:tr>
        <w:trPr/>
        <w:tc>
          <w:tcPr>
            <w:tcW w:w="2076" w:type="dxa"/>
            <w:tcBorders>
              <w:left w:val="none" w:sz="8"/>
              <w:right w:val="none" w:sz="8"/>
            </w:tcBorders>
            <w:tcMar>
              <w:top w:w="72" w:type="dxa"/>
              <w:left w:w="144" w:type="dxa"/>
              <w:bottom w:w="72" w:type="dxa"/>
              <w:right w:w="144" w:type="dxa"/>
            </w:tcMar>
            <w:vAlign w:val="center"/>
          </w:tcPr>
          <w:p w14:paraId="000000B9">
            <w:pPr>
              <w:jc w:val="right"/>
              <w:rPr>
                <w:color w:val="1a1a1a"/>
              </w:rPr>
            </w:pPr>
            <w:r>
              <w:rPr>
                <w:rFonts w:ascii="Calibri" w:hAnsi="Calibri" w:eastAsia="Calibri" w:cs="Calibri"/>
                <w:color w:val="1a1a1a"/>
                <w:sz w:val="16"/>
              </w:rPr>
              <w:t>2</w:t>
            </w:r>
          </w:p>
        </w:tc>
        <w:tc>
          <w:tcPr>
            <w:tcW w:w="2076" w:type="dxa"/>
            <w:tcBorders>
              <w:left w:val="none" w:sz="8"/>
              <w:right w:val="none" w:sz="8"/>
            </w:tcBorders>
            <w:tcMar>
              <w:top w:w="72" w:type="dxa"/>
              <w:left w:w="144" w:type="dxa"/>
              <w:bottom w:w="72" w:type="dxa"/>
              <w:right w:w="144" w:type="dxa"/>
            </w:tcMar>
            <w:vAlign w:val="center"/>
          </w:tcPr>
          <w:p w14:paraId="000000BA">
            <w:pPr>
              <w:jc w:val="left"/>
              <w:rPr>
                <w:color w:val="1a1a1a"/>
              </w:rPr>
            </w:pPr>
            <w:r>
              <w:rPr>
                <w:rFonts w:ascii="宋体" w:hAnsi="宋体" w:eastAsia="宋体" w:cs="宋体"/>
                <w:color w:val="1a1a1a"/>
                <w:sz w:val="16"/>
              </w:rPr>
              <w:t>Salesforce</w:t>
            </w:r>
          </w:p>
        </w:tc>
        <w:tc>
          <w:tcPr>
            <w:tcW w:w="2076" w:type="dxa"/>
            <w:tcBorders>
              <w:left w:val="none" w:sz="8"/>
              <w:right w:val="none" w:sz="8"/>
            </w:tcBorders>
            <w:tcMar>
              <w:top w:w="72" w:type="dxa"/>
              <w:left w:w="144" w:type="dxa"/>
              <w:bottom w:w="72" w:type="dxa"/>
              <w:right w:w="144" w:type="dxa"/>
            </w:tcMar>
            <w:vAlign w:val="center"/>
          </w:tcPr>
          <w:p w14:paraId="000000BB">
            <w:pPr>
              <w:jc w:val="right"/>
              <w:rPr>
                <w:color w:val="1a1a1a"/>
              </w:rPr>
            </w:pPr>
            <w:r>
              <w:rPr>
                <w:rFonts w:ascii="Calibri" w:hAnsi="Calibri" w:eastAsia="Calibri" w:cs="Calibri"/>
                <w:color w:val="1a1a1a"/>
                <w:sz w:val="16"/>
              </w:rPr>
              <w:t>14.5%</w:t>
            </w:r>
          </w:p>
        </w:tc>
        <w:tc>
          <w:tcPr>
            <w:tcW w:w="2076" w:type="dxa"/>
            <w:tcBorders>
              <w:left w:val="none" w:sz="8"/>
              <w:right w:val="none" w:sz="8"/>
            </w:tcBorders>
            <w:tcMar>
              <w:top w:w="72" w:type="dxa"/>
              <w:left w:w="144" w:type="dxa"/>
              <w:bottom w:w="72" w:type="dxa"/>
              <w:right w:w="144" w:type="dxa"/>
            </w:tcMar>
            <w:vAlign w:val="center"/>
          </w:tcPr>
          <w:p w14:paraId="000000BC">
            <w:pPr>
              <w:jc w:val="left"/>
              <w:rPr>
                <w:color w:val="1a1a1a"/>
              </w:rPr>
            </w:pPr>
            <w:r>
              <w:rPr>
                <w:rFonts w:hint="eastAsia" w:ascii="宋体" w:hAnsi="宋体" w:eastAsia="宋体" w:cs="宋体"/>
                <w:color w:val="1a1a1a"/>
                <w:sz w:val="16"/>
              </w:rPr>
              <w:t>Agentforce；CRM 原生智能体</w:t>
            </w:r>
          </w:p>
        </w:tc>
      </w:tr>
      <w:tr>
        <w:trPr/>
        <w:tc>
          <w:tcPr>
            <w:tcW w:w="2076" w:type="dxa"/>
            <w:tcBorders>
              <w:left w:val="none" w:sz="8"/>
              <w:right w:val="none" w:sz="8"/>
            </w:tcBorders>
            <w:tcMar>
              <w:top w:w="72" w:type="dxa"/>
              <w:left w:w="144" w:type="dxa"/>
              <w:bottom w:w="72" w:type="dxa"/>
              <w:right w:w="144" w:type="dxa"/>
            </w:tcMar>
            <w:vAlign w:val="center"/>
          </w:tcPr>
          <w:p w14:paraId="000000BD">
            <w:pPr>
              <w:jc w:val="right"/>
              <w:rPr>
                <w:color w:val="1a1a1a"/>
              </w:rPr>
            </w:pPr>
            <w:r>
              <w:rPr>
                <w:rFonts w:ascii="Calibri" w:hAnsi="Calibri" w:eastAsia="Calibri" w:cs="Calibri"/>
                <w:color w:val="1a1a1a"/>
                <w:sz w:val="16"/>
              </w:rPr>
              <w:t>3</w:t>
            </w:r>
          </w:p>
        </w:tc>
        <w:tc>
          <w:tcPr>
            <w:tcW w:w="2076" w:type="dxa"/>
            <w:tcBorders>
              <w:left w:val="none" w:sz="8"/>
              <w:right w:val="none" w:sz="8"/>
            </w:tcBorders>
            <w:tcMar>
              <w:top w:w="72" w:type="dxa"/>
              <w:left w:w="144" w:type="dxa"/>
              <w:bottom w:w="72" w:type="dxa"/>
              <w:right w:w="144" w:type="dxa"/>
            </w:tcMar>
            <w:vAlign w:val="center"/>
          </w:tcPr>
          <w:p w14:paraId="000000BE">
            <w:pPr>
              <w:jc w:val="left"/>
              <w:rPr>
                <w:color w:val="1a1a1a"/>
              </w:rPr>
            </w:pPr>
            <w:r>
              <w:rPr>
                <w:rFonts w:ascii="宋体" w:hAnsi="宋体" w:eastAsia="宋体" w:cs="宋体"/>
                <w:color w:val="1a1a1a"/>
                <w:sz w:val="16"/>
              </w:rPr>
              <w:t>ServiceNow</w:t>
            </w:r>
          </w:p>
        </w:tc>
        <w:tc>
          <w:tcPr>
            <w:tcW w:w="2076" w:type="dxa"/>
            <w:tcBorders>
              <w:left w:val="none" w:sz="8"/>
              <w:right w:val="none" w:sz="8"/>
            </w:tcBorders>
            <w:tcMar>
              <w:top w:w="72" w:type="dxa"/>
              <w:left w:w="144" w:type="dxa"/>
              <w:bottom w:w="72" w:type="dxa"/>
              <w:right w:w="144" w:type="dxa"/>
            </w:tcMar>
            <w:vAlign w:val="center"/>
          </w:tcPr>
          <w:p w14:paraId="000000BF">
            <w:pPr>
              <w:jc w:val="right"/>
              <w:rPr>
                <w:color w:val="1a1a1a"/>
              </w:rPr>
            </w:pPr>
            <w:r>
              <w:rPr>
                <w:rFonts w:ascii="Calibri" w:hAnsi="Calibri" w:eastAsia="Calibri" w:cs="Calibri"/>
                <w:color w:val="1a1a1a"/>
                <w:sz w:val="16"/>
              </w:rPr>
              <w:t>11.8%</w:t>
            </w:r>
          </w:p>
        </w:tc>
        <w:tc>
          <w:tcPr>
            <w:tcW w:w="2076" w:type="dxa"/>
            <w:tcBorders>
              <w:left w:val="none" w:sz="8"/>
              <w:right w:val="none" w:sz="8"/>
            </w:tcBorders>
            <w:tcMar>
              <w:top w:w="72" w:type="dxa"/>
              <w:left w:w="144" w:type="dxa"/>
              <w:bottom w:w="72" w:type="dxa"/>
              <w:right w:w="144" w:type="dxa"/>
            </w:tcMar>
            <w:vAlign w:val="center"/>
          </w:tcPr>
          <w:p w14:paraId="000000C0">
            <w:pPr>
              <w:jc w:val="left"/>
              <w:rPr>
                <w:color w:val="1a1a1a"/>
              </w:rPr>
            </w:pPr>
            <w:r>
              <w:rPr>
                <w:rFonts w:hint="eastAsia" w:ascii="宋体" w:hAnsi="宋体" w:eastAsia="宋体" w:cs="宋体"/>
                <w:color w:val="1a1a1a"/>
                <w:sz w:val="16"/>
              </w:rPr>
              <w:t>ServiceNow AI Agents；企业工作流与 ITSM</w:t>
            </w:r>
          </w:p>
        </w:tc>
      </w:tr>
      <w:tr>
        <w:trPr/>
        <w:tc>
          <w:tcPr>
            <w:tcW w:w="2076" w:type="dxa"/>
            <w:tcBorders>
              <w:left w:val="none" w:sz="8"/>
              <w:right w:val="none" w:sz="8"/>
            </w:tcBorders>
            <w:tcMar>
              <w:top w:w="72" w:type="dxa"/>
              <w:left w:w="144" w:type="dxa"/>
              <w:bottom w:w="72" w:type="dxa"/>
              <w:right w:w="144" w:type="dxa"/>
            </w:tcMar>
            <w:vAlign w:val="center"/>
          </w:tcPr>
          <w:p w14:paraId="000000C1">
            <w:pPr>
              <w:jc w:val="right"/>
              <w:rPr>
                <w:color w:val="1a1a1a"/>
              </w:rPr>
            </w:pPr>
            <w:r>
              <w:rPr>
                <w:rFonts w:ascii="Calibri" w:hAnsi="Calibri" w:eastAsia="Calibri" w:cs="Calibri"/>
                <w:color w:val="1a1a1a"/>
                <w:sz w:val="16"/>
              </w:rPr>
              <w:t>4</w:t>
            </w:r>
          </w:p>
        </w:tc>
        <w:tc>
          <w:tcPr>
            <w:tcW w:w="2076" w:type="dxa"/>
            <w:tcBorders>
              <w:left w:val="none" w:sz="8"/>
              <w:right w:val="none" w:sz="8"/>
            </w:tcBorders>
            <w:tcMar>
              <w:top w:w="72" w:type="dxa"/>
              <w:left w:w="144" w:type="dxa"/>
              <w:bottom w:w="72" w:type="dxa"/>
              <w:right w:w="144" w:type="dxa"/>
            </w:tcMar>
            <w:vAlign w:val="center"/>
          </w:tcPr>
          <w:p w14:paraId="000000C2">
            <w:pPr>
              <w:jc w:val="left"/>
              <w:rPr>
                <w:color w:val="1a1a1a"/>
              </w:rPr>
            </w:pPr>
            <w:r>
              <w:rPr>
                <w:rFonts w:hint="eastAsia" w:ascii="宋体" w:hAnsi="宋体" w:eastAsia="宋体" w:cs="宋体"/>
                <w:color w:val="1a1a1a"/>
                <w:sz w:val="16"/>
              </w:rPr>
              <w:t>亚马逊云科技 AWS</w:t>
            </w:r>
          </w:p>
        </w:tc>
        <w:tc>
          <w:tcPr>
            <w:tcW w:w="2076" w:type="dxa"/>
            <w:tcBorders>
              <w:left w:val="none" w:sz="8"/>
              <w:right w:val="none" w:sz="8"/>
            </w:tcBorders>
            <w:tcMar>
              <w:top w:w="72" w:type="dxa"/>
              <w:left w:w="144" w:type="dxa"/>
              <w:bottom w:w="72" w:type="dxa"/>
              <w:right w:w="144" w:type="dxa"/>
            </w:tcMar>
            <w:vAlign w:val="center"/>
          </w:tcPr>
          <w:p w14:paraId="000000C3">
            <w:pPr>
              <w:jc w:val="right"/>
              <w:rPr>
                <w:color w:val="1a1a1a"/>
              </w:rPr>
            </w:pPr>
            <w:r>
              <w:rPr>
                <w:rFonts w:ascii="Calibri" w:hAnsi="Calibri" w:eastAsia="Calibri" w:cs="Calibri"/>
                <w:color w:val="1a1a1a"/>
                <w:sz w:val="16"/>
              </w:rPr>
              <w:t>9.6%</w:t>
            </w:r>
          </w:p>
        </w:tc>
        <w:tc>
          <w:tcPr>
            <w:tcW w:w="2076" w:type="dxa"/>
            <w:tcBorders>
              <w:left w:val="none" w:sz="8"/>
              <w:right w:val="none" w:sz="8"/>
            </w:tcBorders>
            <w:tcMar>
              <w:top w:w="72" w:type="dxa"/>
              <w:left w:w="144" w:type="dxa"/>
              <w:bottom w:w="72" w:type="dxa"/>
              <w:right w:w="144" w:type="dxa"/>
            </w:tcMar>
            <w:vAlign w:val="center"/>
          </w:tcPr>
          <w:p w14:paraId="000000C4">
            <w:pPr>
              <w:jc w:val="left"/>
              <w:rPr>
                <w:color w:val="1a1a1a"/>
              </w:rPr>
            </w:pPr>
            <w:r>
              <w:rPr>
                <w:rFonts w:hint="eastAsia" w:ascii="宋体" w:hAnsi="宋体" w:eastAsia="宋体" w:cs="宋体"/>
                <w:color w:val="1a1a1a"/>
                <w:sz w:val="16"/>
              </w:rPr>
              <w:t>Amazon Bedrock Agents；云基础设施 + Agent 服务</w:t>
            </w:r>
          </w:p>
        </w:tc>
      </w:tr>
      <w:tr>
        <w:trPr/>
        <w:tc>
          <w:tcPr>
            <w:tcW w:w="2076" w:type="dxa"/>
            <w:tcBorders>
              <w:left w:val="none" w:sz="8"/>
              <w:right w:val="none" w:sz="8"/>
            </w:tcBorders>
            <w:tcMar>
              <w:top w:w="72" w:type="dxa"/>
              <w:left w:w="144" w:type="dxa"/>
              <w:bottom w:w="72" w:type="dxa"/>
              <w:right w:w="144" w:type="dxa"/>
            </w:tcMar>
            <w:vAlign w:val="center"/>
          </w:tcPr>
          <w:p w14:paraId="000000C5">
            <w:pPr>
              <w:jc w:val="right"/>
              <w:rPr>
                <w:color w:val="1a1a1a"/>
              </w:rPr>
            </w:pPr>
            <w:r>
              <w:rPr>
                <w:rFonts w:ascii="Calibri" w:hAnsi="Calibri" w:eastAsia="Calibri" w:cs="Calibri"/>
                <w:color w:val="1a1a1a"/>
                <w:sz w:val="16"/>
              </w:rPr>
              <w:t>5</w:t>
            </w:r>
          </w:p>
        </w:tc>
        <w:tc>
          <w:tcPr>
            <w:tcW w:w="2076" w:type="dxa"/>
            <w:tcBorders>
              <w:left w:val="none" w:sz="8"/>
              <w:right w:val="none" w:sz="8"/>
            </w:tcBorders>
            <w:tcMar>
              <w:top w:w="72" w:type="dxa"/>
              <w:left w:w="144" w:type="dxa"/>
              <w:bottom w:w="72" w:type="dxa"/>
              <w:right w:w="144" w:type="dxa"/>
            </w:tcMar>
            <w:vAlign w:val="center"/>
          </w:tcPr>
          <w:p w14:paraId="000000C6">
            <w:pPr>
              <w:jc w:val="left"/>
              <w:rPr>
                <w:color w:val="1a1a1a"/>
              </w:rPr>
            </w:pPr>
            <w:r>
              <w:rPr>
                <w:rFonts w:hint="eastAsia" w:ascii="宋体" w:hAnsi="宋体" w:eastAsia="宋体" w:cs="宋体"/>
                <w:color w:val="1a1a1a"/>
                <w:sz w:val="16"/>
              </w:rPr>
              <w:t>谷歌云 Google Cloud</w:t>
            </w:r>
          </w:p>
        </w:tc>
        <w:tc>
          <w:tcPr>
            <w:tcW w:w="2076" w:type="dxa"/>
            <w:tcBorders>
              <w:left w:val="none" w:sz="8"/>
              <w:right w:val="none" w:sz="8"/>
            </w:tcBorders>
            <w:tcMar>
              <w:top w:w="72" w:type="dxa"/>
              <w:left w:w="144" w:type="dxa"/>
              <w:bottom w:w="72" w:type="dxa"/>
              <w:right w:w="144" w:type="dxa"/>
            </w:tcMar>
            <w:vAlign w:val="center"/>
          </w:tcPr>
          <w:p w14:paraId="000000C7">
            <w:pPr>
              <w:jc w:val="right"/>
              <w:rPr>
                <w:color w:val="1a1a1a"/>
              </w:rPr>
            </w:pPr>
            <w:r>
              <w:rPr>
                <w:rFonts w:ascii="Calibri" w:hAnsi="Calibri" w:eastAsia="Calibri" w:cs="Calibri"/>
                <w:color w:val="1a1a1a"/>
                <w:sz w:val="16"/>
              </w:rPr>
              <w:t>7.3%</w:t>
            </w:r>
          </w:p>
        </w:tc>
        <w:tc>
          <w:tcPr>
            <w:tcW w:w="2076" w:type="dxa"/>
            <w:tcBorders>
              <w:left w:val="none" w:sz="8"/>
              <w:right w:val="none" w:sz="8"/>
            </w:tcBorders>
            <w:tcMar>
              <w:top w:w="72" w:type="dxa"/>
              <w:left w:w="144" w:type="dxa"/>
              <w:bottom w:w="72" w:type="dxa"/>
              <w:right w:w="144" w:type="dxa"/>
            </w:tcMar>
            <w:vAlign w:val="center"/>
          </w:tcPr>
          <w:p w14:paraId="000000C8">
            <w:pPr>
              <w:jc w:val="left"/>
              <w:rPr>
                <w:color w:val="1a1a1a"/>
              </w:rPr>
            </w:pPr>
            <w:r>
              <w:rPr>
                <w:rFonts w:hint="eastAsia" w:ascii="宋体" w:hAnsi="宋体" w:eastAsia="宋体" w:cs="宋体"/>
                <w:color w:val="1a1a1a"/>
                <w:sz w:val="16"/>
              </w:rPr>
              <w:t>Vertex AI Agent Builder；云原生与 Gemini 模型</w:t>
            </w:r>
          </w:p>
        </w:tc>
      </w:tr>
      <w:tr>
        <w:trPr/>
        <w:tc>
          <w:tcPr>
            <w:tcW w:w="2076" w:type="dxa"/>
            <w:tcBorders>
              <w:left w:val="none" w:sz="8"/>
              <w:right w:val="none" w:sz="8"/>
            </w:tcBorders>
            <w:tcMar>
              <w:top w:w="72" w:type="dxa"/>
              <w:left w:w="144" w:type="dxa"/>
              <w:bottom w:w="72" w:type="dxa"/>
              <w:right w:w="144" w:type="dxa"/>
            </w:tcMar>
            <w:vAlign w:val="center"/>
          </w:tcPr>
          <w:p w14:paraId="000000C9">
            <w:pPr>
              <w:jc w:val="right"/>
              <w:rPr>
                <w:color w:val="1a1a1a"/>
              </w:rPr>
            </w:pPr>
            <w:r>
              <w:rPr>
                <w:rFonts w:ascii="Calibri" w:hAnsi="Calibri" w:eastAsia="Calibri" w:cs="Calibri"/>
                <w:color w:val="1a1a1a"/>
                <w:sz w:val="16"/>
              </w:rPr>
              <w:t>6-10</w:t>
            </w:r>
          </w:p>
        </w:tc>
        <w:tc>
          <w:tcPr>
            <w:tcW w:w="2076" w:type="dxa"/>
            <w:tcBorders>
              <w:left w:val="none" w:sz="8"/>
              <w:right w:val="none" w:sz="8"/>
            </w:tcBorders>
            <w:tcMar>
              <w:top w:w="72" w:type="dxa"/>
              <w:left w:w="144" w:type="dxa"/>
              <w:bottom w:w="72" w:type="dxa"/>
              <w:right w:w="144" w:type="dxa"/>
            </w:tcMar>
            <w:vAlign w:val="center"/>
          </w:tcPr>
          <w:p w14:paraId="000000CA">
            <w:pPr>
              <w:jc w:val="left"/>
              <w:rPr>
                <w:color w:val="1a1a1a"/>
              </w:rPr>
            </w:pPr>
            <w:r>
              <w:rPr>
                <w:rFonts w:hint="eastAsia" w:ascii="宋体" w:hAnsi="宋体" w:eastAsia="宋体" w:cs="宋体"/>
                <w:color w:val="1a1a1a"/>
                <w:sz w:val="16"/>
              </w:rPr>
              <w:t>其余五家（含 Anthropic、IBM、字节跳动等）</w:t>
            </w:r>
          </w:p>
        </w:tc>
        <w:tc>
          <w:tcPr>
            <w:tcW w:w="2076" w:type="dxa"/>
            <w:tcBorders>
              <w:left w:val="none" w:sz="8"/>
              <w:right w:val="none" w:sz="8"/>
            </w:tcBorders>
            <w:tcMar>
              <w:top w:w="72" w:type="dxa"/>
              <w:left w:w="144" w:type="dxa"/>
              <w:bottom w:w="72" w:type="dxa"/>
              <w:right w:w="144" w:type="dxa"/>
            </w:tcMar>
            <w:vAlign w:val="center"/>
          </w:tcPr>
          <w:p w14:paraId="000000CB">
            <w:pPr>
              <w:jc w:val="right"/>
              <w:rPr>
                <w:color w:val="1a1a1a"/>
              </w:rPr>
            </w:pPr>
            <w:r>
              <w:rPr>
                <w:rFonts w:hint="eastAsia" w:ascii="Calibri" w:hAnsi="Calibri" w:eastAsia="Calibri" w:cs="Calibri"/>
                <w:color w:val="1a1a1a"/>
                <w:sz w:val="16"/>
              </w:rPr>
              <w:t>合计约 8.5%</w:t>
            </w:r>
          </w:p>
        </w:tc>
        <w:tc>
          <w:tcPr>
            <w:tcW w:w="2076" w:type="dxa"/>
            <w:tcBorders>
              <w:left w:val="none" w:sz="8"/>
              <w:right w:val="none" w:sz="8"/>
            </w:tcBorders>
            <w:tcMar>
              <w:top w:w="72" w:type="dxa"/>
              <w:left w:w="144" w:type="dxa"/>
              <w:bottom w:w="72" w:type="dxa"/>
              <w:right w:w="144" w:type="dxa"/>
            </w:tcMar>
            <w:vAlign w:val="center"/>
          </w:tcPr>
          <w:p w14:paraId="000000CC">
            <w:pPr>
              <w:jc w:val="left"/>
              <w:rPr>
                <w:color w:val="1a1a1a"/>
              </w:rPr>
            </w:pPr>
            <w:r>
              <w:rPr>
                <w:rFonts w:hint="eastAsia" w:ascii="宋体" w:hAnsi="宋体" w:eastAsia="宋体" w:cs="宋体"/>
                <w:color w:val="1a1a1a"/>
                <w:sz w:val="16"/>
              </w:rPr>
              <w:t>垂直与专业阵营</w:t>
            </w:r>
          </w:p>
        </w:tc>
      </w:tr>
      <w:tr>
        <w:trPr/>
        <w:tc>
          <w:tcPr>
            <w:tcW w:w="2076" w:type="dxa"/>
            <w:tcBorders>
              <w:left w:val="none" w:sz="8"/>
              <w:bottom w:val="single" w:color="1a1a1a" w:sz="12"/>
              <w:right w:val="none" w:sz="8"/>
            </w:tcBorders>
            <w:tcMar>
              <w:top w:w="72" w:type="dxa"/>
              <w:left w:w="144" w:type="dxa"/>
              <w:bottom w:w="72" w:type="dxa"/>
              <w:right w:w="144" w:type="dxa"/>
            </w:tcMar>
            <w:vAlign w:val="center"/>
          </w:tcPr>
          <w:p w14:paraId="000000CD">
            <w:pPr>
              <w:jc w:val="right"/>
              <w:rPr>
                <w:color w:val="1a1a1a"/>
              </w:rPr>
            </w:pPr>
            <w:r>
              <w:rPr>
                <w:rFonts w:ascii="Calibri" w:hAnsi="Calibri" w:eastAsia="Calibri" w:cs="Calibri"/>
                <w:color w:val="1a1a1a"/>
                <w:sz w:val="16"/>
              </w:rPr>
              <w:t>—</w:t>
            </w:r>
          </w:p>
        </w:tc>
        <w:tc>
          <w:tcPr>
            <w:tcW w:w="2076" w:type="dxa"/>
            <w:tcBorders>
              <w:left w:val="none" w:sz="8"/>
              <w:bottom w:val="single" w:color="1a1a1a" w:sz="12"/>
              <w:right w:val="none" w:sz="8"/>
            </w:tcBorders>
            <w:tcMar>
              <w:top w:w="72" w:type="dxa"/>
              <w:left w:w="144" w:type="dxa"/>
              <w:bottom w:w="72" w:type="dxa"/>
              <w:right w:w="144" w:type="dxa"/>
            </w:tcMar>
            <w:vAlign w:val="center"/>
          </w:tcPr>
          <w:p w14:paraId="000000CE">
            <w:pPr>
              <w:jc w:val="left"/>
              <w:rPr>
                <w:color w:val="1a1a1a"/>
              </w:rPr>
            </w:pPr>
            <w:r>
              <w:rPr>
                <w:rFonts w:hint="eastAsia" w:ascii="宋体" w:hAnsi="宋体" w:eastAsia="宋体" w:cs="宋体"/>
                <w:color w:val="1a1a1a"/>
                <w:sz w:val="16"/>
              </w:rPr>
              <w:t>前十大合计 / CR5</w:t>
            </w:r>
          </w:p>
        </w:tc>
        <w:tc>
          <w:tcPr>
            <w:tcW w:w="2076" w:type="dxa"/>
            <w:tcBorders>
              <w:left w:val="none" w:sz="8"/>
              <w:bottom w:val="single" w:color="1a1a1a" w:sz="12"/>
              <w:right w:val="none" w:sz="8"/>
            </w:tcBorders>
            <w:tcMar>
              <w:top w:w="72" w:type="dxa"/>
              <w:left w:w="144" w:type="dxa"/>
              <w:bottom w:w="72" w:type="dxa"/>
              <w:right w:w="144" w:type="dxa"/>
            </w:tcMar>
            <w:vAlign w:val="center"/>
          </w:tcPr>
          <w:p w14:paraId="000000CF">
            <w:pPr>
              <w:jc w:val="right"/>
              <w:rPr>
                <w:color w:val="1a1a1a"/>
              </w:rPr>
            </w:pPr>
            <w:r>
              <w:rPr>
                <w:rFonts w:ascii="Calibri" w:hAnsi="Calibri" w:eastAsia="Calibri" w:cs="Calibri"/>
                <w:color w:val="1a1a1a"/>
                <w:sz w:val="16"/>
              </w:rPr>
              <w:t>68.9% / 60.4%</w:t>
            </w:r>
          </w:p>
        </w:tc>
        <w:tc>
          <w:tcPr>
            <w:tcW w:w="2076" w:type="dxa"/>
            <w:tcBorders>
              <w:left w:val="none" w:sz="8"/>
              <w:bottom w:val="single" w:color="1a1a1a" w:sz="12"/>
              <w:right w:val="none" w:sz="8"/>
            </w:tcBorders>
            <w:tcMar>
              <w:top w:w="72" w:type="dxa"/>
              <w:left w:w="144" w:type="dxa"/>
              <w:bottom w:w="72" w:type="dxa"/>
              <w:right w:w="144" w:type="dxa"/>
            </w:tcMar>
            <w:vAlign w:val="center"/>
          </w:tcPr>
          <w:p w14:paraId="000000D0">
            <w:pPr>
              <w:jc w:val="left"/>
              <w:rPr>
                <w:color w:val="1a1a1a"/>
              </w:rPr>
            </w:pPr>
            <w:r>
              <w:rPr>
                <w:rFonts w:hint="eastAsia" w:ascii="宋体" w:hAnsi="宋体" w:eastAsia="宋体" w:cs="宋体"/>
                <w:color w:val="1a1a1a"/>
                <w:sz w:val="16"/>
              </w:rPr>
              <w:t>集中度较 2025 年下降约 4 个百分点</w:t>
            </w:r>
          </w:p>
        </w:tc>
      </w:tr>
    </w:tbl>
    <w:p w14:paraId="000000D1">
      <w:pPr>
        <w:spacing w:before="0" w:after="192" w:line="360"/>
        <w:ind w:left="0" w:right="0" w:firstLine="480"/>
        <w:jc w:val="both"/>
        <w:rPr>
          <w:color w:val="1a1a1a"/>
        </w:rPr>
      </w:pPr>
      <w:r>
        <w:rPr>
          <w:rFonts w:hint="eastAsia" w:ascii="宋体" w:hAnsi="宋体" w:eastAsia="宋体" w:cs="宋体"/>
          <w:color w:val="1a1a1a"/>
          <w:sz w:val="18"/>
        </w:rPr>
        <w:t>资料来源：据 IIM（2026年）Agentic AI 应用市场宽口径测算。</w:t>
      </w:r>
    </w:p>
    <w:p w14:paraId="000000D2">
      <w:pPr>
        <w:spacing w:before="0" w:after="192" w:line="360"/>
        <w:ind w:left="0" w:right="0" w:firstLine="480"/>
        <w:jc w:val="both"/>
        <w:rPr>
          <w:color w:val="1a1a1a"/>
        </w:rPr>
      </w:pPr>
      <w:r>
        <w:rPr>
          <w:rFonts w:hint="eastAsia" w:ascii="宋体" w:hAnsi="宋体" w:eastAsia="宋体" w:cs="宋体"/>
          <w:color w:val="1a1a1a"/>
          <w:sz w:val="18"/>
        </w:rPr>
        <w:t>微软 FY2026 财报显示，公司总营收 3318 亿美元（同比 +18%），其中微软云收入 2144 亿美元，Azure 同比增长 41%，资本开支 1159 亿美元（同比 +79.6%），其在算力与分发入口上的双重优势是份额领先的底层支撑（据 Microsoft FY2026 财报，2026年）。</w:t>
      </w:r>
    </w:p>
    <w:p w14:paraId="000000D3">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11" w:name="section-4-2"/>
      <w:r>
        <w:rPr>
          <w:rFonts w:hint="eastAsia" w:ascii="黑体" w:hAnsi="黑体" w:eastAsia="黑体" w:cs="黑体"/>
          <w:b w:val="1"/>
          <w:color w:val="1a237e"/>
          <w:sz w:val="22"/>
        </w:rPr>
        <w:t>4.2 企业实际部署口径：三大平台占据73%</w:t>
      </w:r>
      <w:bookmarkEnd w:id="11"/>
    </w:p>
    <w:p w14:paraId="000000D4">
      <w:pPr>
        <w:spacing w:before="0" w:after="192" w:line="360"/>
        <w:ind w:left="0" w:right="0" w:firstLine="480"/>
        <w:jc w:val="both"/>
        <w:rPr>
          <w:color w:val="1a1a1a"/>
        </w:rPr>
      </w:pPr>
      <w:r>
        <w:rPr>
          <w:rFonts w:hint="eastAsia" w:ascii="宋体" w:hAnsi="宋体" w:eastAsia="宋体" w:cs="宋体"/>
          <w:color w:val="1a1a1a"/>
          <w:sz w:val="18"/>
        </w:rPr>
        <w:t>若切换到"企业实际部署量"口径（Digital Applied，2026年），集中度显著更高：</w:t>
      </w:r>
    </w:p>
    <w:p w14:paraId="000000D5">
      <w:pPr>
        <w:spacing w:before="0" w:after="192" w:line="360"/>
        <w:ind w:left="0" w:right="0" w:firstLine="480"/>
        <w:jc w:val="both"/>
        <w:rPr>
          <w:color w:val="1a1a1a"/>
        </w:rPr>
      </w:pPr>
      <w:r>
        <w:rPr>
          <w:rFonts w:hint="eastAsia" w:ascii="宋体" w:hAnsi="宋体" w:eastAsia="宋体" w:cs="宋体"/>
          <w:b w:val="1"/>
          <w:color w:val="1a1a1a"/>
          <w:sz w:val="18"/>
        </w:rPr>
        <w:t>表5：企业智能体平台部署份额（2026）</w:t>
      </w:r>
    </w:p>
    <w:tbl>
      <w:tblPr>
        <w:tblW w:w="8306" w:type="dxa"/>
        <w:shd w:color="1a1a1a"/>
        <w:tblLayout w:type="autofit"/>
        <w:tblCellMar>
          <w:top w:w="0" w:type="dxa"/>
          <w:left w:w="0" w:type="dxa"/>
          <w:bottom w:w="0" w:type="dxa"/>
          <w:right w:w="0" w:type="dxa"/>
        </w:tblCellMar>
      </w:tblPr>
      <w:tblGrid>
        <w:gridCol w:w="2768"/>
        <w:gridCol w:w="2768"/>
        <w:gridCol w:w="2768"/>
      </w:tblGrid>
      <w:tr>
        <w:trPr>
          <w:tblHeader w:val="1"/>
        </w:trPr>
        <w:tc>
          <w:tcPr>
            <w:tcW w:w="2768"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D6">
            <w:pPr>
              <w:jc w:val="left"/>
              <w:rPr>
                <w:b w:val="1"/>
                <w:bCs w:val="1"/>
                <w:color w:val="1a1a1a"/>
              </w:rPr>
            </w:pPr>
            <w:r>
              <w:rPr>
                <w:rFonts w:hint="eastAsia" w:ascii="宋体" w:hAnsi="宋体" w:eastAsia="宋体" w:cs="宋体"/>
                <w:b w:val="1"/>
                <w:color w:val="1a1a1a"/>
                <w:sz w:val="16"/>
              </w:rPr>
              <w:t>平台</w:t>
            </w:r>
          </w:p>
        </w:tc>
        <w:tc>
          <w:tcPr>
            <w:tcW w:w="2768"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D7">
            <w:pPr>
              <w:jc w:val="left"/>
              <w:rPr>
                <w:b w:val="1"/>
                <w:bCs w:val="1"/>
                <w:color w:val="1a1a1a"/>
              </w:rPr>
            </w:pPr>
            <w:r>
              <w:rPr>
                <w:rFonts w:hint="eastAsia" w:ascii="宋体" w:hAnsi="宋体" w:eastAsia="宋体" w:cs="宋体"/>
                <w:b w:val="1"/>
                <w:color w:val="1a1a1a"/>
                <w:sz w:val="16"/>
              </w:rPr>
              <w:t>企业部署份额</w:t>
            </w:r>
          </w:p>
        </w:tc>
        <w:tc>
          <w:tcPr>
            <w:tcW w:w="2768"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D8">
            <w:pPr>
              <w:jc w:val="left"/>
              <w:rPr>
                <w:b w:val="1"/>
                <w:bCs w:val="1"/>
                <w:color w:val="1a1a1a"/>
              </w:rPr>
            </w:pPr>
            <w:r>
              <w:rPr>
                <w:rFonts w:hint="eastAsia" w:ascii="宋体" w:hAnsi="宋体" w:eastAsia="宋体" w:cs="宋体"/>
                <w:b w:val="1"/>
                <w:color w:val="1a1a1a"/>
                <w:sz w:val="16"/>
              </w:rPr>
              <w:t>关键运营数据</w:t>
            </w:r>
          </w:p>
        </w:tc>
      </w:tr>
      <w:tr>
        <w:trPr/>
        <w:tc>
          <w:tcPr>
            <w:tcW w:w="2768" w:type="dxa"/>
            <w:tcBorders>
              <w:left w:val="none" w:sz="8"/>
              <w:right w:val="none" w:sz="8"/>
            </w:tcBorders>
            <w:tcMar>
              <w:top w:w="72" w:type="dxa"/>
              <w:left w:w="144" w:type="dxa"/>
              <w:bottom w:w="72" w:type="dxa"/>
              <w:right w:w="144" w:type="dxa"/>
            </w:tcMar>
            <w:vAlign w:val="center"/>
          </w:tcPr>
          <w:p w14:paraId="000000D9">
            <w:pPr>
              <w:jc w:val="left"/>
              <w:rPr>
                <w:color w:val="1a1a1a"/>
              </w:rPr>
            </w:pPr>
            <w:r>
              <w:rPr>
                <w:rFonts w:ascii="宋体" w:hAnsi="宋体" w:eastAsia="宋体" w:cs="宋体"/>
                <w:color w:val="1a1a1a"/>
                <w:sz w:val="16"/>
              </w:rPr>
              <w:t>Microsoft Copilot Studio / Azure AI</w:t>
            </w:r>
          </w:p>
        </w:tc>
        <w:tc>
          <w:tcPr>
            <w:tcW w:w="2768" w:type="dxa"/>
            <w:tcBorders>
              <w:left w:val="none" w:sz="8"/>
              <w:right w:val="none" w:sz="8"/>
            </w:tcBorders>
            <w:tcMar>
              <w:top w:w="72" w:type="dxa"/>
              <w:left w:w="144" w:type="dxa"/>
              <w:bottom w:w="72" w:type="dxa"/>
              <w:right w:w="144" w:type="dxa"/>
            </w:tcMar>
            <w:vAlign w:val="center"/>
          </w:tcPr>
          <w:p w14:paraId="000000DA">
            <w:pPr>
              <w:jc w:val="right"/>
              <w:rPr>
                <w:color w:val="1a1a1a"/>
              </w:rPr>
            </w:pPr>
            <w:r>
              <w:rPr>
                <w:rFonts w:ascii="Calibri" w:hAnsi="Calibri" w:eastAsia="Calibri" w:cs="Calibri"/>
                <w:color w:val="1a1a1a"/>
                <w:sz w:val="16"/>
              </w:rPr>
              <w:t>31%</w:t>
            </w:r>
          </w:p>
        </w:tc>
        <w:tc>
          <w:tcPr>
            <w:tcW w:w="2768" w:type="dxa"/>
            <w:tcBorders>
              <w:left w:val="none" w:sz="8"/>
              <w:right w:val="none" w:sz="8"/>
            </w:tcBorders>
            <w:tcMar>
              <w:top w:w="72" w:type="dxa"/>
              <w:left w:w="144" w:type="dxa"/>
              <w:bottom w:w="72" w:type="dxa"/>
              <w:right w:w="144" w:type="dxa"/>
            </w:tcMar>
            <w:vAlign w:val="center"/>
          </w:tcPr>
          <w:p w14:paraId="000000DB">
            <w:pPr>
              <w:jc w:val="left"/>
              <w:rPr>
                <w:color w:val="1a1a1a"/>
              </w:rPr>
            </w:pPr>
            <w:r>
              <w:rPr>
                <w:rFonts w:hint="eastAsia" w:ascii="宋体" w:hAnsi="宋体" w:eastAsia="宋体" w:cs="宋体"/>
                <w:color w:val="1a1a1a"/>
                <w:sz w:val="16"/>
              </w:rPr>
              <w:t>M365 月活 8500 万</w:t>
            </w:r>
          </w:p>
        </w:tc>
      </w:tr>
      <w:tr>
        <w:trPr/>
        <w:tc>
          <w:tcPr>
            <w:tcW w:w="2768" w:type="dxa"/>
            <w:tcBorders>
              <w:left w:val="none" w:sz="8"/>
              <w:right w:val="none" w:sz="8"/>
            </w:tcBorders>
            <w:tcMar>
              <w:top w:w="72" w:type="dxa"/>
              <w:left w:w="144" w:type="dxa"/>
              <w:bottom w:w="72" w:type="dxa"/>
              <w:right w:w="144" w:type="dxa"/>
            </w:tcMar>
            <w:vAlign w:val="center"/>
          </w:tcPr>
          <w:p w14:paraId="000000DC">
            <w:pPr>
              <w:jc w:val="left"/>
              <w:rPr>
                <w:color w:val="1a1a1a"/>
              </w:rPr>
            </w:pPr>
            <w:r>
              <w:rPr>
                <w:rFonts w:ascii="宋体" w:hAnsi="宋体" w:eastAsia="宋体" w:cs="宋体"/>
                <w:color w:val="1a1a1a"/>
                <w:sz w:val="16"/>
              </w:rPr>
              <w:t>Salesforce Agentforce</w:t>
            </w:r>
          </w:p>
        </w:tc>
        <w:tc>
          <w:tcPr>
            <w:tcW w:w="2768" w:type="dxa"/>
            <w:tcBorders>
              <w:left w:val="none" w:sz="8"/>
              <w:right w:val="none" w:sz="8"/>
            </w:tcBorders>
            <w:tcMar>
              <w:top w:w="72" w:type="dxa"/>
              <w:left w:w="144" w:type="dxa"/>
              <w:bottom w:w="72" w:type="dxa"/>
              <w:right w:w="144" w:type="dxa"/>
            </w:tcMar>
            <w:vAlign w:val="center"/>
          </w:tcPr>
          <w:p w14:paraId="000000DD">
            <w:pPr>
              <w:jc w:val="right"/>
              <w:rPr>
                <w:color w:val="1a1a1a"/>
              </w:rPr>
            </w:pPr>
            <w:r>
              <w:rPr>
                <w:rFonts w:ascii="Calibri" w:hAnsi="Calibri" w:eastAsia="Calibri" w:cs="Calibri"/>
                <w:color w:val="1a1a1a"/>
                <w:sz w:val="16"/>
              </w:rPr>
              <w:t>24%</w:t>
            </w:r>
          </w:p>
        </w:tc>
        <w:tc>
          <w:tcPr>
            <w:tcW w:w="2768" w:type="dxa"/>
            <w:tcBorders>
              <w:left w:val="none" w:sz="8"/>
              <w:right w:val="none" w:sz="8"/>
            </w:tcBorders>
            <w:tcMar>
              <w:top w:w="72" w:type="dxa"/>
              <w:left w:w="144" w:type="dxa"/>
              <w:bottom w:w="72" w:type="dxa"/>
              <w:right w:w="144" w:type="dxa"/>
            </w:tcMar>
            <w:vAlign w:val="center"/>
          </w:tcPr>
          <w:p w14:paraId="000000DE">
            <w:pPr>
              <w:jc w:val="left"/>
              <w:rPr>
                <w:color w:val="1a1a1a"/>
              </w:rPr>
            </w:pPr>
            <w:r>
              <w:rPr>
                <w:rFonts w:hint="eastAsia" w:ascii="宋体" w:hAnsi="宋体" w:eastAsia="宋体" w:cs="宋体"/>
                <w:color w:val="1a1a1a"/>
                <w:sz w:val="16"/>
              </w:rPr>
              <w:t>GA 首年部署超 20 万</w:t>
            </w:r>
          </w:p>
        </w:tc>
      </w:tr>
      <w:tr>
        <w:trPr/>
        <w:tc>
          <w:tcPr>
            <w:tcW w:w="2768" w:type="dxa"/>
            <w:tcBorders>
              <w:left w:val="none" w:sz="8"/>
              <w:right w:val="none" w:sz="8"/>
            </w:tcBorders>
            <w:tcMar>
              <w:top w:w="72" w:type="dxa"/>
              <w:left w:w="144" w:type="dxa"/>
              <w:bottom w:w="72" w:type="dxa"/>
              <w:right w:w="144" w:type="dxa"/>
            </w:tcMar>
            <w:vAlign w:val="center"/>
          </w:tcPr>
          <w:p w14:paraId="000000DF">
            <w:pPr>
              <w:jc w:val="left"/>
              <w:rPr>
                <w:color w:val="1a1a1a"/>
              </w:rPr>
            </w:pPr>
            <w:r>
              <w:rPr>
                <w:rFonts w:ascii="宋体" w:hAnsi="宋体" w:eastAsia="宋体" w:cs="宋体"/>
                <w:color w:val="1a1a1a"/>
                <w:sz w:val="16"/>
              </w:rPr>
              <w:t>Anthropic Claude API</w:t>
            </w:r>
          </w:p>
        </w:tc>
        <w:tc>
          <w:tcPr>
            <w:tcW w:w="2768" w:type="dxa"/>
            <w:tcBorders>
              <w:left w:val="none" w:sz="8"/>
              <w:right w:val="none" w:sz="8"/>
            </w:tcBorders>
            <w:tcMar>
              <w:top w:w="72" w:type="dxa"/>
              <w:left w:w="144" w:type="dxa"/>
              <w:bottom w:w="72" w:type="dxa"/>
              <w:right w:w="144" w:type="dxa"/>
            </w:tcMar>
            <w:vAlign w:val="center"/>
          </w:tcPr>
          <w:p w14:paraId="000000E0">
            <w:pPr>
              <w:jc w:val="right"/>
              <w:rPr>
                <w:color w:val="1a1a1a"/>
              </w:rPr>
            </w:pPr>
            <w:r>
              <w:rPr>
                <w:rFonts w:ascii="Calibri" w:hAnsi="Calibri" w:eastAsia="Calibri" w:cs="Calibri"/>
                <w:color w:val="1a1a1a"/>
                <w:sz w:val="16"/>
              </w:rPr>
              <w:t>18%</w:t>
            </w:r>
          </w:p>
        </w:tc>
        <w:tc>
          <w:tcPr>
            <w:tcW w:w="2768" w:type="dxa"/>
            <w:tcBorders>
              <w:left w:val="none" w:sz="8"/>
              <w:right w:val="none" w:sz="8"/>
            </w:tcBorders>
            <w:tcMar>
              <w:top w:w="72" w:type="dxa"/>
              <w:left w:w="144" w:type="dxa"/>
              <w:bottom w:w="72" w:type="dxa"/>
              <w:right w:w="144" w:type="dxa"/>
            </w:tcMar>
            <w:vAlign w:val="center"/>
          </w:tcPr>
          <w:p w14:paraId="000000E1">
            <w:pPr>
              <w:jc w:val="left"/>
              <w:rPr>
                <w:color w:val="1a1a1a"/>
              </w:rPr>
            </w:pPr>
            <w:r>
              <w:rPr>
                <w:rFonts w:hint="eastAsia" w:ascii="宋体" w:hAnsi="宋体" w:eastAsia="宋体" w:cs="宋体"/>
                <w:color w:val="1a1a1a"/>
                <w:sz w:val="16"/>
              </w:rPr>
              <w:t>3000+ 企业客户</w:t>
            </w:r>
          </w:p>
        </w:tc>
      </w:tr>
      <w:tr>
        <w:trPr/>
        <w:tc>
          <w:tcPr>
            <w:tcW w:w="2768" w:type="dxa"/>
            <w:tcBorders>
              <w:left w:val="none" w:sz="8"/>
              <w:right w:val="none" w:sz="8"/>
            </w:tcBorders>
            <w:tcMar>
              <w:top w:w="72" w:type="dxa"/>
              <w:left w:w="144" w:type="dxa"/>
              <w:bottom w:w="72" w:type="dxa"/>
              <w:right w:w="144" w:type="dxa"/>
            </w:tcMar>
            <w:vAlign w:val="center"/>
          </w:tcPr>
          <w:p w14:paraId="000000E2">
            <w:pPr>
              <w:jc w:val="left"/>
              <w:rPr>
                <w:color w:val="1a1a1a"/>
              </w:rPr>
            </w:pPr>
            <w:r>
              <w:rPr>
                <w:rFonts w:ascii="宋体" w:hAnsi="宋体" w:eastAsia="宋体" w:cs="宋体"/>
                <w:color w:val="1a1a1a"/>
                <w:sz w:val="16"/>
              </w:rPr>
              <w:t>Google Vertex AI Agent Builder</w:t>
            </w:r>
          </w:p>
        </w:tc>
        <w:tc>
          <w:tcPr>
            <w:tcW w:w="2768" w:type="dxa"/>
            <w:tcBorders>
              <w:left w:val="none" w:sz="8"/>
              <w:right w:val="none" w:sz="8"/>
            </w:tcBorders>
            <w:tcMar>
              <w:top w:w="72" w:type="dxa"/>
              <w:left w:w="144" w:type="dxa"/>
              <w:bottom w:w="72" w:type="dxa"/>
              <w:right w:w="144" w:type="dxa"/>
            </w:tcMar>
            <w:vAlign w:val="center"/>
          </w:tcPr>
          <w:p w14:paraId="000000E3">
            <w:pPr>
              <w:jc w:val="right"/>
              <w:rPr>
                <w:color w:val="1a1a1a"/>
              </w:rPr>
            </w:pPr>
            <w:r>
              <w:rPr>
                <w:rFonts w:ascii="Calibri" w:hAnsi="Calibri" w:eastAsia="Calibri" w:cs="Calibri"/>
                <w:color w:val="1a1a1a"/>
                <w:sz w:val="16"/>
              </w:rPr>
              <w:t>14%</w:t>
            </w:r>
          </w:p>
        </w:tc>
        <w:tc>
          <w:tcPr>
            <w:tcW w:w="2768" w:type="dxa"/>
            <w:tcBorders>
              <w:left w:val="none" w:sz="8"/>
              <w:right w:val="none" w:sz="8"/>
            </w:tcBorders>
            <w:tcMar>
              <w:top w:w="72" w:type="dxa"/>
              <w:left w:w="144" w:type="dxa"/>
              <w:bottom w:w="72" w:type="dxa"/>
              <w:right w:w="144" w:type="dxa"/>
            </w:tcMar>
            <w:vAlign w:val="center"/>
          </w:tcPr>
          <w:p w14:paraId="000000E4">
            <w:pPr>
              <w:jc w:val="left"/>
              <w:rPr>
                <w:color w:val="1a1a1a"/>
              </w:rPr>
            </w:pPr>
            <w:r>
              <w:rPr>
                <w:rFonts w:hint="eastAsia" w:ascii="宋体" w:hAnsi="宋体" w:eastAsia="宋体" w:cs="宋体"/>
                <w:color w:val="1a1a1a"/>
                <w:sz w:val="16"/>
              </w:rPr>
              <w:t>云原生场景快速增长</w:t>
            </w:r>
          </w:p>
        </w:tc>
      </w:tr>
      <w:tr>
        <w:trPr/>
        <w:tc>
          <w:tcPr>
            <w:tcW w:w="2768" w:type="dxa"/>
            <w:tcBorders>
              <w:left w:val="none" w:sz="8"/>
              <w:right w:val="none" w:sz="8"/>
            </w:tcBorders>
            <w:tcMar>
              <w:top w:w="72" w:type="dxa"/>
              <w:left w:w="144" w:type="dxa"/>
              <w:bottom w:w="72" w:type="dxa"/>
              <w:right w:w="144" w:type="dxa"/>
            </w:tcMar>
            <w:vAlign w:val="center"/>
          </w:tcPr>
          <w:p w14:paraId="000000E5">
            <w:pPr>
              <w:jc w:val="left"/>
              <w:rPr>
                <w:color w:val="1a1a1a"/>
              </w:rPr>
            </w:pPr>
            <w:r>
              <w:rPr>
                <w:rFonts w:ascii="宋体" w:hAnsi="宋体" w:eastAsia="宋体" w:cs="宋体"/>
                <w:color w:val="1a1a1a"/>
                <w:sz w:val="16"/>
              </w:rPr>
              <w:t>ServiceNow AI Agents</w:t>
            </w:r>
          </w:p>
        </w:tc>
        <w:tc>
          <w:tcPr>
            <w:tcW w:w="2768" w:type="dxa"/>
            <w:tcBorders>
              <w:left w:val="none" w:sz="8"/>
              <w:right w:val="none" w:sz="8"/>
            </w:tcBorders>
            <w:tcMar>
              <w:top w:w="72" w:type="dxa"/>
              <w:left w:w="144" w:type="dxa"/>
              <w:bottom w:w="72" w:type="dxa"/>
              <w:right w:w="144" w:type="dxa"/>
            </w:tcMar>
            <w:vAlign w:val="center"/>
          </w:tcPr>
          <w:p w14:paraId="000000E6">
            <w:pPr>
              <w:jc w:val="right"/>
              <w:rPr>
                <w:color w:val="1a1a1a"/>
              </w:rPr>
            </w:pPr>
            <w:r>
              <w:rPr>
                <w:rFonts w:ascii="Calibri" w:hAnsi="Calibri" w:eastAsia="Calibri" w:cs="Calibri"/>
                <w:color w:val="1a1a1a"/>
                <w:sz w:val="16"/>
              </w:rPr>
              <w:t>7%</w:t>
            </w:r>
          </w:p>
        </w:tc>
        <w:tc>
          <w:tcPr>
            <w:tcW w:w="2768" w:type="dxa"/>
            <w:tcBorders>
              <w:left w:val="none" w:sz="8"/>
              <w:right w:val="none" w:sz="8"/>
            </w:tcBorders>
            <w:tcMar>
              <w:top w:w="72" w:type="dxa"/>
              <w:left w:w="144" w:type="dxa"/>
              <w:bottom w:w="72" w:type="dxa"/>
              <w:right w:w="144" w:type="dxa"/>
            </w:tcMar>
            <w:vAlign w:val="center"/>
          </w:tcPr>
          <w:p w14:paraId="000000E7">
            <w:pPr>
              <w:jc w:val="left"/>
              <w:rPr>
                <w:color w:val="1a1a1a"/>
              </w:rPr>
            </w:pPr>
            <w:r>
              <w:rPr>
                <w:rFonts w:hint="eastAsia" w:ascii="宋体" w:hAnsi="宋体" w:eastAsia="宋体" w:cs="宋体"/>
                <w:color w:val="1a1a1a"/>
                <w:sz w:val="16"/>
              </w:rPr>
              <w:t>ITSM 深度集成</w:t>
            </w:r>
          </w:p>
        </w:tc>
      </w:tr>
      <w:tr>
        <w:trPr/>
        <w:tc>
          <w:tcPr>
            <w:tcW w:w="2768" w:type="dxa"/>
            <w:tcBorders>
              <w:left w:val="none" w:sz="8"/>
              <w:bottom w:val="single" w:color="1a1a1a" w:sz="12"/>
              <w:right w:val="none" w:sz="8"/>
            </w:tcBorders>
            <w:tcMar>
              <w:top w:w="72" w:type="dxa"/>
              <w:left w:w="144" w:type="dxa"/>
              <w:bottom w:w="72" w:type="dxa"/>
              <w:right w:w="144" w:type="dxa"/>
            </w:tcMar>
            <w:vAlign w:val="center"/>
          </w:tcPr>
          <w:p w14:paraId="000000E8">
            <w:pPr>
              <w:jc w:val="left"/>
              <w:rPr>
                <w:color w:val="1a1a1a"/>
              </w:rPr>
            </w:pPr>
            <w:r>
              <w:rPr>
                <w:rFonts w:hint="eastAsia" w:ascii="宋体" w:hAnsi="宋体" w:eastAsia="宋体" w:cs="宋体"/>
                <w:color w:val="1a1a1a"/>
                <w:sz w:val="16"/>
              </w:rPr>
              <w:t>其他平台</w:t>
            </w:r>
          </w:p>
        </w:tc>
        <w:tc>
          <w:tcPr>
            <w:tcW w:w="2768" w:type="dxa"/>
            <w:tcBorders>
              <w:left w:val="none" w:sz="8"/>
              <w:bottom w:val="single" w:color="1a1a1a" w:sz="12"/>
              <w:right w:val="none" w:sz="8"/>
            </w:tcBorders>
            <w:tcMar>
              <w:top w:w="72" w:type="dxa"/>
              <w:left w:w="144" w:type="dxa"/>
              <w:bottom w:w="72" w:type="dxa"/>
              <w:right w:w="144" w:type="dxa"/>
            </w:tcMar>
            <w:vAlign w:val="center"/>
          </w:tcPr>
          <w:p w14:paraId="000000E9">
            <w:pPr>
              <w:jc w:val="right"/>
              <w:rPr>
                <w:color w:val="1a1a1a"/>
              </w:rPr>
            </w:pPr>
            <w:r>
              <w:rPr>
                <w:rFonts w:ascii="Calibri" w:hAnsi="Calibri" w:eastAsia="Calibri" w:cs="Calibri"/>
                <w:color w:val="1a1a1a"/>
                <w:sz w:val="16"/>
              </w:rPr>
              <w:t>6%</w:t>
            </w:r>
          </w:p>
        </w:tc>
        <w:tc>
          <w:tcPr>
            <w:tcW w:w="2768" w:type="dxa"/>
            <w:tcBorders>
              <w:left w:val="none" w:sz="8"/>
              <w:bottom w:val="single" w:color="1a1a1a" w:sz="12"/>
              <w:right w:val="none" w:sz="8"/>
            </w:tcBorders>
            <w:tcMar>
              <w:top w:w="72" w:type="dxa"/>
              <w:left w:w="144" w:type="dxa"/>
              <w:bottom w:w="72" w:type="dxa"/>
              <w:right w:w="144" w:type="dxa"/>
            </w:tcMar>
            <w:vAlign w:val="center"/>
          </w:tcPr>
          <w:p w14:paraId="000000EA">
            <w:pPr>
              <w:jc w:val="left"/>
              <w:rPr>
                <w:color w:val="1a1a1a"/>
              </w:rPr>
            </w:pPr>
            <w:r>
              <w:rPr>
                <w:rFonts w:ascii="宋体" w:hAnsi="宋体" w:eastAsia="宋体" w:cs="宋体"/>
                <w:color w:val="1a1a1a"/>
                <w:sz w:val="16"/>
              </w:rPr>
              <w:t>—</w:t>
            </w:r>
          </w:p>
        </w:tc>
      </w:tr>
    </w:tbl>
    <w:p w14:paraId="000000EB">
      <w:pPr>
        <w:spacing w:before="0" w:after="192" w:line="360"/>
        <w:ind w:left="0" w:right="0" w:firstLine="480"/>
        <w:jc w:val="both"/>
        <w:rPr>
          <w:color w:val="1a1a1a"/>
        </w:rPr>
      </w:pPr>
      <w:r>
        <w:rPr>
          <w:rFonts w:hint="eastAsia" w:ascii="宋体" w:hAnsi="宋体" w:eastAsia="宋体" w:cs="宋体"/>
          <w:color w:val="1a1a1a"/>
          <w:sz w:val="18"/>
        </w:rPr>
        <w:t>资料来源：据 Digital Applied（2026年）企业实际部署数据。</w:t>
      </w:r>
    </w:p>
    <w:p w14:paraId="000000EC">
      <w:pPr>
        <w:spacing w:before="0" w:after="192" w:line="360"/>
        <w:ind w:left="0" w:right="0" w:firstLine="480"/>
        <w:jc w:val="both"/>
        <w:rPr>
          <w:color w:val="1a1a1a"/>
        </w:rPr>
      </w:pPr>
      <w:r>
        <w:rPr>
          <w:rFonts w:hint="eastAsia" w:ascii="宋体" w:hAnsi="宋体" w:eastAsia="宋体" w:cs="宋体"/>
          <w:color w:val="1a1a1a"/>
          <w:sz w:val="18"/>
        </w:rPr>
        <w:t>Salesforce Agentforce 的 ARR 在 FY27Q2 已突破 15 亿美元（同比增长超 240%），Agentforce 与 Data 360 合计 ARR 接近 39 亿美元（据 Salesforce FY27Q2 财报，2026年），是应用层智能体商业化最成功的标的之一。</w:t>
      </w:r>
    </w:p>
    <w:p w14:paraId="000000ED">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12" w:name="section-4-3"/>
      <w:r>
        <w:rPr>
          <w:rFonts w:hint="eastAsia" w:ascii="黑体" w:hAnsi="黑体" w:eastAsia="黑体" w:cs="黑体"/>
          <w:b w:val="1"/>
          <w:color w:val="1a237e"/>
          <w:sz w:val="22"/>
        </w:rPr>
        <w:t>4.3 集中度趋势：巨头主导下的边际松动</w:t>
      </w:r>
      <w:bookmarkEnd w:id="12"/>
    </w:p>
    <w:p w14:paraId="000000EE">
      <w:pPr>
        <w:spacing w:before="0" w:after="192" w:line="360"/>
        <w:ind w:left="0" w:right="0" w:firstLine="480"/>
        <w:jc w:val="both"/>
        <w:rPr>
          <w:color w:val="1a1a1a"/>
        </w:rPr>
      </w:pPr>
      <w:r>
        <w:rPr>
          <w:rFonts w:hint="eastAsia" w:ascii="宋体" w:hAnsi="宋体" w:eastAsia="宋体" w:cs="宋体"/>
          <w:color w:val="1a1a1a"/>
          <w:sz w:val="18"/>
        </w:rPr>
        <w:t>综合两个口径可以得出三个结构性判断：</w:t>
      </w:r>
    </w:p>
    <w:p w14:paraId="000000EF">
      <w:pPr>
        <w:numPr>
          <w:ilvl w:val="0"/>
          <w:numId w:val="1"/>
        </w:numPr>
        <w:pBdr>
          <w:left w:space="18"/>
        </w:pBdr>
        <w:spacing w:before="0" w:after="96" w:line="360"/>
        <w:ind w:left="0" w:right="0"/>
        <w:jc w:val="both"/>
        <w:rPr>
          <w:color w:val="1a1a1a"/>
        </w:rPr>
      </w:pPr>
      <w:r>
        <w:rPr>
          <w:rFonts w:hint="eastAsia" w:ascii="宋体" w:hAnsi="宋体" w:eastAsia="宋体" w:cs="宋体"/>
          <w:b w:val="1"/>
          <w:color w:val="1a1a1a"/>
          <w:sz w:val="18"/>
        </w:rPr>
        <w:t>基础设施层高度集中。</w:t>
      </w:r>
      <w:r>
        <w:rPr>
          <w:rFonts w:hint="eastAsia" w:ascii="宋体" w:hAnsi="宋体" w:eastAsia="宋体" w:cs="宋体"/>
          <w:color w:val="1a1a1a"/>
          <w:sz w:val="18"/>
        </w:rPr>
        <w:t>据 Market.us（2026年）估算，微软、亚马逊、Alphabet 三家合计占智能体基础设施与平台支出的 45%-55%，算力与资本开支构成主要进入壁垒。</w:t>
      </w:r>
    </w:p>
    <w:p w14:paraId="000000F0">
      <w:pPr>
        <w:numPr>
          <w:ilvl w:val="0"/>
          <w:numId w:val="1"/>
        </w:numPr>
        <w:pBdr>
          <w:left w:space="18"/>
        </w:pBdr>
        <w:spacing w:before="0" w:after="96" w:line="360"/>
        <w:ind w:left="0" w:right="0"/>
        <w:jc w:val="both"/>
        <w:rPr>
          <w:color w:val="1a1a1a"/>
        </w:rPr>
      </w:pPr>
      <w:r>
        <w:rPr>
          <w:rFonts w:hint="eastAsia" w:ascii="宋体" w:hAnsi="宋体" w:eastAsia="宋体" w:cs="宋体"/>
          <w:b w:val="1"/>
          <w:color w:val="1a1a1a"/>
          <w:sz w:val="18"/>
        </w:rPr>
        <w:t>应用层呈"3+X"结构。</w:t>
      </w:r>
      <w:r>
        <w:rPr>
          <w:rFonts w:hint="eastAsia" w:ascii="宋体" w:hAnsi="宋体" w:eastAsia="宋体" w:cs="宋体"/>
          <w:color w:val="1a1a1a"/>
          <w:sz w:val="18"/>
        </w:rPr>
        <w:t>Salesforce 与 ServiceNow 领衔的应用层挑战者合计约 15%-20%；IBM、Oracle、SAP、UiPath、Zendesk 等第二梯队约 20%-25%；其余 5%-10% 由长尾厂商分食。</w:t>
      </w:r>
    </w:p>
    <w:p w14:paraId="000000F1">
      <w:pPr>
        <w:numPr>
          <w:ilvl w:val="0"/>
          <w:numId w:val="1"/>
        </w:numPr>
        <w:pBdr>
          <w:left w:space="18"/>
        </w:pBdr>
        <w:spacing w:before="0" w:after="96" w:line="360"/>
        <w:ind w:left="0" w:right="0"/>
        <w:jc w:val="both"/>
        <w:rPr>
          <w:color w:val="1a1a1a"/>
        </w:rPr>
      </w:pPr>
      <w:r>
        <w:rPr>
          <w:rFonts w:hint="eastAsia" w:ascii="宋体" w:hAnsi="宋体" w:eastAsia="宋体" w:cs="宋体"/>
          <w:b w:val="1"/>
          <w:color w:val="1a1a1a"/>
          <w:sz w:val="18"/>
        </w:rPr>
        <w:t>集中度开始松动。</w:t>
      </w:r>
      <w:r>
        <w:rPr>
          <w:rFonts w:hint="eastAsia" w:ascii="宋体" w:hAnsi="宋体" w:eastAsia="宋体" w:cs="宋体"/>
          <w:color w:val="1a1a1a"/>
          <w:sz w:val="18"/>
        </w:rPr>
        <w:t>宽口径下 CR5 较 2025 年下降约 4 个百分点，HHI 指数从 2024 年的 0.32 降至 2025 年的 0.28，表明通用 Agent 工具化、商品化速度加快，垂直领域专业厂商正在快速崛起（IIM，2026年）。</w:t>
      </w:r>
    </w:p>
    <w:p w14:paraId="000000F2">
      <w:pPr>
        <w:pStyle w:val="000008"/>
        <w:keepNext w:val="1"/>
        <w:keepLines w:val="1"/>
        <w:shd w:val="clear" w:fill="1a237e"/>
        <w:spacing w:before="288" w:beforeAutospacing="1" w:after="216" w:afterAutospacing="1" w:line="360"/>
        <w:ind w:left="0" w:right="0"/>
        <w:jc w:val="left"/>
        <w:outlineLvl w:val="0"/>
        <w:rPr>
          <w:color w:val="ffffff"/>
          <w:kern w:val="44"/>
          <w:sz w:val="44"/>
          <w:szCs w:val="44"/>
        </w:rPr>
      </w:pPr>
      <w:bookmarkStart w:id="13" w:name="section-5"/>
      <w:r>
        <w:rPr>
          <w:rFonts w:hint="eastAsia" w:ascii="黑体" w:hAnsi="黑体" w:eastAsia="黑体" w:cs="黑体"/>
          <w:b w:val="1"/>
          <w:color w:val="ffffff"/>
          <w:sz w:val="26"/>
        </w:rPr>
        <w:t>5. 区域市场格局</w:t>
      </w:r>
      <w:bookmarkEnd w:id="13"/>
    </w:p>
    <w:p w14:paraId="000000F3">
      <w:pPr>
        <w:spacing w:before="0" w:after="192" w:line="360"/>
        <w:ind w:left="0" w:right="0" w:firstLine="480"/>
        <w:jc w:val="both"/>
        <w:rPr>
          <w:color w:val="1a1a1a"/>
        </w:rPr>
      </w:pPr>
      <w:r>
        <w:rPr>
          <w:rFonts w:hint="eastAsia" w:ascii="宋体" w:hAnsi="宋体" w:eastAsia="宋体" w:cs="宋体"/>
          <w:color w:val="1a1a1a"/>
          <w:sz w:val="18"/>
        </w:rPr>
        <w:t>区域份额反映的是 AI 投资基础设施与企业采纳成熟度的空间分布。本章对比三大区域的市场份额与增长特征。</w:t>
      </w:r>
    </w:p>
    <w:p w14:paraId="000000F4">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14" w:name="section-5-1"/>
      <w:r>
        <w:rPr>
          <w:rFonts w:hint="eastAsia" w:ascii="黑体" w:hAnsi="黑体" w:eastAsia="黑体" w:cs="黑体"/>
          <w:b w:val="1"/>
          <w:color w:val="1a237e"/>
          <w:sz w:val="22"/>
        </w:rPr>
        <w:t>5.1 三大区域份额分层</w:t>
      </w:r>
      <w:bookmarkEnd w:id="14"/>
    </w:p>
    <w:p w14:paraId="000000F5">
      <w:pPr>
        <w:spacing w:before="0" w:after="192" w:line="360"/>
        <w:ind w:left="0" w:right="0" w:firstLine="480"/>
        <w:jc w:val="both"/>
        <w:rPr>
          <w:color w:val="1a1a1a"/>
        </w:rPr>
      </w:pPr>
      <w:r>
        <w:rPr>
          <w:rFonts w:hint="eastAsia" w:ascii="宋体" w:hAnsi="宋体" w:eastAsia="宋体" w:cs="宋体"/>
          <w:b w:val="1"/>
          <w:color w:val="1a1a1a"/>
          <w:sz w:val="18"/>
        </w:rPr>
        <w:t>表6：全球 AI 智能体市场区域份额（2025-2026）</w:t>
      </w:r>
    </w:p>
    <w:tbl>
      <w:tblPr>
        <w:tblW w:w="8306" w:type="dxa"/>
        <w:shd w:color="1a1a1a"/>
        <w:tblLayout w:type="autofit"/>
        <w:tblCellMar>
          <w:top w:w="0" w:type="dxa"/>
          <w:left w:w="0" w:type="dxa"/>
          <w:bottom w:w="0" w:type="dxa"/>
          <w:right w:w="0" w:type="dxa"/>
        </w:tblCellMar>
      </w:tblPr>
      <w:tblGrid>
        <w:gridCol w:w="1661"/>
        <w:gridCol w:w="1661"/>
        <w:gridCol w:w="1661"/>
        <w:gridCol w:w="1661"/>
        <w:gridCol w:w="1661"/>
      </w:tblGrid>
      <w:tr>
        <w:trPr>
          <w:tblHeader w:val="1"/>
        </w:trPr>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F6">
            <w:pPr>
              <w:jc w:val="left"/>
              <w:rPr>
                <w:b w:val="1"/>
                <w:bCs w:val="1"/>
                <w:color w:val="1a1a1a"/>
              </w:rPr>
            </w:pPr>
            <w:r>
              <w:rPr>
                <w:rFonts w:hint="eastAsia" w:ascii="宋体" w:hAnsi="宋体" w:eastAsia="宋体" w:cs="宋体"/>
                <w:b w:val="1"/>
                <w:color w:val="1a1a1a"/>
                <w:sz w:val="16"/>
              </w:rPr>
              <w:t>区域</w:t>
            </w:r>
          </w:p>
        </w:tc>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F7">
            <w:pPr>
              <w:jc w:val="left"/>
              <w:rPr>
                <w:b w:val="1"/>
                <w:bCs w:val="1"/>
                <w:color w:val="1a1a1a"/>
              </w:rPr>
            </w:pPr>
            <w:r>
              <w:rPr>
                <w:rFonts w:hint="eastAsia" w:ascii="宋体" w:hAnsi="宋体" w:eastAsia="宋体" w:cs="宋体"/>
                <w:b w:val="1"/>
                <w:color w:val="1a1a1a"/>
                <w:sz w:val="16"/>
              </w:rPr>
              <w:t>2025年份额</w:t>
            </w:r>
          </w:p>
        </w:tc>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F8">
            <w:pPr>
              <w:jc w:val="left"/>
              <w:rPr>
                <w:b w:val="1"/>
                <w:bCs w:val="1"/>
                <w:color w:val="1a1a1a"/>
              </w:rPr>
            </w:pPr>
            <w:r>
              <w:rPr>
                <w:rFonts w:hint="eastAsia" w:ascii="宋体" w:hAnsi="宋体" w:eastAsia="宋体" w:cs="宋体"/>
                <w:b w:val="1"/>
                <w:color w:val="1a1a1a"/>
                <w:sz w:val="16"/>
              </w:rPr>
              <w:t>2026E份额</w:t>
            </w:r>
          </w:p>
        </w:tc>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F9">
            <w:pPr>
              <w:jc w:val="left"/>
              <w:rPr>
                <w:b w:val="1"/>
                <w:bCs w:val="1"/>
                <w:color w:val="1a1a1a"/>
              </w:rPr>
            </w:pPr>
            <w:r>
              <w:rPr>
                <w:rFonts w:hint="eastAsia" w:ascii="宋体" w:hAnsi="宋体" w:eastAsia="宋体" w:cs="宋体"/>
                <w:b w:val="1"/>
                <w:color w:val="1a1a1a"/>
                <w:sz w:val="16"/>
              </w:rPr>
              <w:t>2026E规模</w:t>
            </w:r>
          </w:p>
        </w:tc>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0FA">
            <w:pPr>
              <w:jc w:val="left"/>
              <w:rPr>
                <w:b w:val="1"/>
                <w:bCs w:val="1"/>
                <w:color w:val="1a1a1a"/>
              </w:rPr>
            </w:pPr>
            <w:r>
              <w:rPr>
                <w:rFonts w:hint="eastAsia" w:ascii="宋体" w:hAnsi="宋体" w:eastAsia="宋体" w:cs="宋体"/>
                <w:b w:val="1"/>
                <w:color w:val="1a1a1a"/>
                <w:sz w:val="16"/>
              </w:rPr>
              <w:t>增长特征</w:t>
            </w:r>
          </w:p>
        </w:tc>
      </w:tr>
      <w:tr>
        <w:trPr/>
        <w:tc>
          <w:tcPr>
            <w:tcW w:w="1661" w:type="dxa"/>
            <w:tcBorders>
              <w:left w:val="none" w:sz="8"/>
              <w:right w:val="none" w:sz="8"/>
            </w:tcBorders>
            <w:tcMar>
              <w:top w:w="72" w:type="dxa"/>
              <w:left w:w="144" w:type="dxa"/>
              <w:bottom w:w="72" w:type="dxa"/>
              <w:right w:w="144" w:type="dxa"/>
            </w:tcMar>
            <w:vAlign w:val="center"/>
          </w:tcPr>
          <w:p w14:paraId="000000FB">
            <w:pPr>
              <w:jc w:val="left"/>
              <w:rPr>
                <w:color w:val="1a1a1a"/>
              </w:rPr>
            </w:pPr>
            <w:r>
              <w:rPr>
                <w:rFonts w:hint="eastAsia" w:ascii="宋体" w:hAnsi="宋体" w:eastAsia="宋体" w:cs="宋体"/>
                <w:color w:val="1a1a1a"/>
                <w:sz w:val="16"/>
              </w:rPr>
              <w:t>北美</w:t>
            </w:r>
          </w:p>
        </w:tc>
        <w:tc>
          <w:tcPr>
            <w:tcW w:w="1661" w:type="dxa"/>
            <w:tcBorders>
              <w:left w:val="none" w:sz="8"/>
              <w:right w:val="none" w:sz="8"/>
            </w:tcBorders>
            <w:tcMar>
              <w:top w:w="72" w:type="dxa"/>
              <w:left w:w="144" w:type="dxa"/>
              <w:bottom w:w="72" w:type="dxa"/>
              <w:right w:w="144" w:type="dxa"/>
            </w:tcMar>
            <w:vAlign w:val="center"/>
          </w:tcPr>
          <w:p w14:paraId="000000FC">
            <w:pPr>
              <w:jc w:val="right"/>
              <w:rPr>
                <w:color w:val="1a1a1a"/>
              </w:rPr>
            </w:pPr>
            <w:r>
              <w:rPr>
                <w:rFonts w:ascii="Calibri" w:hAnsi="Calibri" w:eastAsia="Calibri" w:cs="Calibri"/>
                <w:color w:val="1a1a1a"/>
                <w:sz w:val="16"/>
              </w:rPr>
              <w:t>39.6%-42.3%</w:t>
            </w:r>
          </w:p>
        </w:tc>
        <w:tc>
          <w:tcPr>
            <w:tcW w:w="1661" w:type="dxa"/>
            <w:tcBorders>
              <w:left w:val="none" w:sz="8"/>
              <w:right w:val="none" w:sz="8"/>
            </w:tcBorders>
            <w:tcMar>
              <w:top w:w="72" w:type="dxa"/>
              <w:left w:w="144" w:type="dxa"/>
              <w:bottom w:w="72" w:type="dxa"/>
              <w:right w:w="144" w:type="dxa"/>
            </w:tcMar>
            <w:vAlign w:val="center"/>
          </w:tcPr>
          <w:p w14:paraId="000000FD">
            <w:pPr>
              <w:jc w:val="right"/>
              <w:rPr>
                <w:color w:val="1a1a1a"/>
              </w:rPr>
            </w:pPr>
            <w:r>
              <w:rPr>
                <w:rFonts w:ascii="Calibri" w:hAnsi="Calibri" w:eastAsia="Calibri" w:cs="Calibri"/>
                <w:color w:val="1a1a1a"/>
                <w:sz w:val="16"/>
              </w:rPr>
              <w:t>44.7%</w:t>
            </w:r>
          </w:p>
        </w:tc>
        <w:tc>
          <w:tcPr>
            <w:tcW w:w="1661" w:type="dxa"/>
            <w:tcBorders>
              <w:left w:val="none" w:sz="8"/>
              <w:right w:val="none" w:sz="8"/>
            </w:tcBorders>
            <w:tcMar>
              <w:top w:w="72" w:type="dxa"/>
              <w:left w:w="144" w:type="dxa"/>
              <w:bottom w:w="72" w:type="dxa"/>
              <w:right w:w="144" w:type="dxa"/>
            </w:tcMar>
            <w:vAlign w:val="center"/>
          </w:tcPr>
          <w:p w14:paraId="000000FE">
            <w:pPr>
              <w:jc w:val="right"/>
              <w:rPr>
                <w:color w:val="1a1a1a"/>
              </w:rPr>
            </w:pPr>
            <w:r>
              <w:rPr>
                <w:rFonts w:hint="eastAsia" w:ascii="Calibri" w:hAnsi="Calibri" w:eastAsia="Calibri" w:cs="Calibri"/>
                <w:color w:val="1a1a1a"/>
                <w:sz w:val="16"/>
              </w:rPr>
              <w:t>约 184 亿美元</w:t>
            </w:r>
          </w:p>
        </w:tc>
        <w:tc>
          <w:tcPr>
            <w:tcW w:w="1661" w:type="dxa"/>
            <w:tcBorders>
              <w:left w:val="none" w:sz="8"/>
              <w:right w:val="none" w:sz="8"/>
            </w:tcBorders>
            <w:tcMar>
              <w:top w:w="72" w:type="dxa"/>
              <w:left w:w="144" w:type="dxa"/>
              <w:bottom w:w="72" w:type="dxa"/>
              <w:right w:w="144" w:type="dxa"/>
            </w:tcMar>
            <w:vAlign w:val="center"/>
          </w:tcPr>
          <w:p w14:paraId="000000FF">
            <w:pPr>
              <w:jc w:val="left"/>
              <w:rPr>
                <w:color w:val="1a1a1a"/>
              </w:rPr>
            </w:pPr>
            <w:r>
              <w:rPr>
                <w:rFonts w:hint="eastAsia" w:ascii="宋体" w:hAnsi="宋体" w:eastAsia="宋体" w:cs="宋体"/>
                <w:color w:val="1a1a1a"/>
                <w:sz w:val="16"/>
              </w:rPr>
              <w:t>金融、医疗、零售深度渗透</w:t>
            </w:r>
          </w:p>
        </w:tc>
      </w:tr>
      <w:tr>
        <w:trPr/>
        <w:tc>
          <w:tcPr>
            <w:tcW w:w="1661" w:type="dxa"/>
            <w:tcBorders>
              <w:left w:val="none" w:sz="8"/>
              <w:right w:val="none" w:sz="8"/>
            </w:tcBorders>
            <w:tcMar>
              <w:top w:w="72" w:type="dxa"/>
              <w:left w:w="144" w:type="dxa"/>
              <w:bottom w:w="72" w:type="dxa"/>
              <w:right w:w="144" w:type="dxa"/>
            </w:tcMar>
            <w:vAlign w:val="center"/>
          </w:tcPr>
          <w:p w14:paraId="00000100">
            <w:pPr>
              <w:jc w:val="left"/>
              <w:rPr>
                <w:color w:val="1a1a1a"/>
              </w:rPr>
            </w:pPr>
            <w:r>
              <w:rPr>
                <w:rFonts w:hint="eastAsia" w:ascii="宋体" w:hAnsi="宋体" w:eastAsia="宋体" w:cs="宋体"/>
                <w:color w:val="1a1a1a"/>
                <w:sz w:val="16"/>
              </w:rPr>
              <w:t>亚太</w:t>
            </w:r>
          </w:p>
        </w:tc>
        <w:tc>
          <w:tcPr>
            <w:tcW w:w="1661" w:type="dxa"/>
            <w:tcBorders>
              <w:left w:val="none" w:sz="8"/>
              <w:right w:val="none" w:sz="8"/>
            </w:tcBorders>
            <w:tcMar>
              <w:top w:w="72" w:type="dxa"/>
              <w:left w:w="144" w:type="dxa"/>
              <w:bottom w:w="72" w:type="dxa"/>
              <w:right w:w="144" w:type="dxa"/>
            </w:tcMar>
            <w:vAlign w:val="center"/>
          </w:tcPr>
          <w:p w14:paraId="00000101">
            <w:pPr>
              <w:jc w:val="right"/>
              <w:rPr>
                <w:color w:val="1a1a1a"/>
              </w:rPr>
            </w:pPr>
            <w:r>
              <w:rPr>
                <w:rFonts w:ascii="Calibri" w:hAnsi="Calibri" w:eastAsia="Calibri" w:cs="Calibri"/>
                <w:color w:val="1a1a1a"/>
                <w:sz w:val="16"/>
              </w:rPr>
              <w:t>25.5%-35%</w:t>
            </w:r>
          </w:p>
        </w:tc>
        <w:tc>
          <w:tcPr>
            <w:tcW w:w="1661" w:type="dxa"/>
            <w:tcBorders>
              <w:left w:val="none" w:sz="8"/>
              <w:right w:val="none" w:sz="8"/>
            </w:tcBorders>
            <w:tcMar>
              <w:top w:w="72" w:type="dxa"/>
              <w:left w:w="144" w:type="dxa"/>
              <w:bottom w:w="72" w:type="dxa"/>
              <w:right w:w="144" w:type="dxa"/>
            </w:tcMar>
            <w:vAlign w:val="center"/>
          </w:tcPr>
          <w:p w14:paraId="00000102">
            <w:pPr>
              <w:jc w:val="right"/>
              <w:rPr>
                <w:color w:val="1a1a1a"/>
              </w:rPr>
            </w:pPr>
            <w:r>
              <w:rPr>
                <w:rFonts w:ascii="Calibri" w:hAnsi="Calibri" w:eastAsia="Calibri" w:cs="Calibri"/>
                <w:color w:val="1a1a1a"/>
                <w:sz w:val="16"/>
              </w:rPr>
              <w:t>30.6%</w:t>
            </w:r>
          </w:p>
        </w:tc>
        <w:tc>
          <w:tcPr>
            <w:tcW w:w="1661" w:type="dxa"/>
            <w:tcBorders>
              <w:left w:val="none" w:sz="8"/>
              <w:right w:val="none" w:sz="8"/>
            </w:tcBorders>
            <w:tcMar>
              <w:top w:w="72" w:type="dxa"/>
              <w:left w:w="144" w:type="dxa"/>
              <w:bottom w:w="72" w:type="dxa"/>
              <w:right w:w="144" w:type="dxa"/>
            </w:tcMar>
            <w:vAlign w:val="center"/>
          </w:tcPr>
          <w:p w14:paraId="00000103">
            <w:pPr>
              <w:jc w:val="right"/>
              <w:rPr>
                <w:color w:val="1a1a1a"/>
              </w:rPr>
            </w:pPr>
            <w:r>
              <w:rPr>
                <w:rFonts w:hint="eastAsia" w:ascii="Calibri" w:hAnsi="Calibri" w:eastAsia="Calibri" w:cs="Calibri"/>
                <w:color w:val="1a1a1a"/>
                <w:sz w:val="16"/>
              </w:rPr>
              <w:t>约 126 亿美元</w:t>
            </w:r>
          </w:p>
        </w:tc>
        <w:tc>
          <w:tcPr>
            <w:tcW w:w="1661" w:type="dxa"/>
            <w:tcBorders>
              <w:left w:val="none" w:sz="8"/>
              <w:right w:val="none" w:sz="8"/>
            </w:tcBorders>
            <w:tcMar>
              <w:top w:w="72" w:type="dxa"/>
              <w:left w:w="144" w:type="dxa"/>
              <w:bottom w:w="72" w:type="dxa"/>
              <w:right w:w="144" w:type="dxa"/>
            </w:tcMar>
            <w:vAlign w:val="center"/>
          </w:tcPr>
          <w:p w14:paraId="00000104">
            <w:pPr>
              <w:jc w:val="left"/>
              <w:rPr>
                <w:color w:val="1a1a1a"/>
              </w:rPr>
            </w:pPr>
            <w:r>
              <w:rPr>
                <w:rFonts w:hint="eastAsia" w:ascii="宋体" w:hAnsi="宋体" w:eastAsia="宋体" w:cs="宋体"/>
                <w:color w:val="1a1a1a"/>
                <w:sz w:val="16"/>
              </w:rPr>
              <w:t>中、日、韩、印多点驱动，增速最快</w:t>
            </w:r>
          </w:p>
        </w:tc>
      </w:tr>
      <w:tr>
        <w:trPr/>
        <w:tc>
          <w:tcPr>
            <w:tcW w:w="1661" w:type="dxa"/>
            <w:tcBorders>
              <w:left w:val="none" w:sz="8"/>
              <w:right w:val="none" w:sz="8"/>
            </w:tcBorders>
            <w:tcMar>
              <w:top w:w="72" w:type="dxa"/>
              <w:left w:w="144" w:type="dxa"/>
              <w:bottom w:w="72" w:type="dxa"/>
              <w:right w:w="144" w:type="dxa"/>
            </w:tcMar>
            <w:vAlign w:val="center"/>
          </w:tcPr>
          <w:p w14:paraId="00000105">
            <w:pPr>
              <w:jc w:val="left"/>
              <w:rPr>
                <w:color w:val="1a1a1a"/>
              </w:rPr>
            </w:pPr>
            <w:r>
              <w:rPr>
                <w:rFonts w:hint="eastAsia" w:ascii="宋体" w:hAnsi="宋体" w:eastAsia="宋体" w:cs="宋体"/>
                <w:color w:val="1a1a1a"/>
                <w:sz w:val="16"/>
              </w:rPr>
              <w:t>欧洲</w:t>
            </w:r>
          </w:p>
        </w:tc>
        <w:tc>
          <w:tcPr>
            <w:tcW w:w="1661" w:type="dxa"/>
            <w:tcBorders>
              <w:left w:val="none" w:sz="8"/>
              <w:right w:val="none" w:sz="8"/>
            </w:tcBorders>
            <w:tcMar>
              <w:top w:w="72" w:type="dxa"/>
              <w:left w:w="144" w:type="dxa"/>
              <w:bottom w:w="72" w:type="dxa"/>
              <w:right w:w="144" w:type="dxa"/>
            </w:tcMar>
            <w:vAlign w:val="center"/>
          </w:tcPr>
          <w:p w14:paraId="00000106">
            <w:pPr>
              <w:jc w:val="right"/>
              <w:rPr>
                <w:color w:val="1a1a1a"/>
              </w:rPr>
            </w:pPr>
            <w:r>
              <w:rPr>
                <w:rFonts w:ascii="Calibri" w:hAnsi="Calibri" w:eastAsia="Calibri" w:cs="Calibri"/>
                <w:color w:val="1a1a1a"/>
                <w:sz w:val="16"/>
              </w:rPr>
              <w:t>16%-31.7%</w:t>
            </w:r>
          </w:p>
        </w:tc>
        <w:tc>
          <w:tcPr>
            <w:tcW w:w="1661" w:type="dxa"/>
            <w:tcBorders>
              <w:left w:val="none" w:sz="8"/>
              <w:right w:val="none" w:sz="8"/>
            </w:tcBorders>
            <w:tcMar>
              <w:top w:w="72" w:type="dxa"/>
              <w:left w:w="144" w:type="dxa"/>
              <w:bottom w:w="72" w:type="dxa"/>
              <w:right w:w="144" w:type="dxa"/>
            </w:tcMar>
            <w:vAlign w:val="center"/>
          </w:tcPr>
          <w:p w14:paraId="00000107">
            <w:pPr>
              <w:jc w:val="right"/>
              <w:rPr>
                <w:color w:val="1a1a1a"/>
              </w:rPr>
            </w:pPr>
            <w:r>
              <w:rPr>
                <w:rFonts w:ascii="Calibri" w:hAnsi="Calibri" w:eastAsia="Calibri" w:cs="Calibri"/>
                <w:color w:val="1a1a1a"/>
                <w:sz w:val="16"/>
              </w:rPr>
              <w:t>17.2%</w:t>
            </w:r>
          </w:p>
        </w:tc>
        <w:tc>
          <w:tcPr>
            <w:tcW w:w="1661" w:type="dxa"/>
            <w:tcBorders>
              <w:left w:val="none" w:sz="8"/>
              <w:right w:val="none" w:sz="8"/>
            </w:tcBorders>
            <w:tcMar>
              <w:top w:w="72" w:type="dxa"/>
              <w:left w:w="144" w:type="dxa"/>
              <w:bottom w:w="72" w:type="dxa"/>
              <w:right w:w="144" w:type="dxa"/>
            </w:tcMar>
            <w:vAlign w:val="center"/>
          </w:tcPr>
          <w:p w14:paraId="00000108">
            <w:pPr>
              <w:jc w:val="right"/>
              <w:rPr>
                <w:color w:val="1a1a1a"/>
              </w:rPr>
            </w:pPr>
            <w:r>
              <w:rPr>
                <w:rFonts w:hint="eastAsia" w:ascii="Calibri" w:hAnsi="Calibri" w:eastAsia="Calibri" w:cs="Calibri"/>
                <w:color w:val="1a1a1a"/>
                <w:sz w:val="16"/>
              </w:rPr>
              <w:t>约 71 亿美元</w:t>
            </w:r>
          </w:p>
        </w:tc>
        <w:tc>
          <w:tcPr>
            <w:tcW w:w="1661" w:type="dxa"/>
            <w:tcBorders>
              <w:left w:val="none" w:sz="8"/>
              <w:right w:val="none" w:sz="8"/>
            </w:tcBorders>
            <w:tcMar>
              <w:top w:w="72" w:type="dxa"/>
              <w:left w:w="144" w:type="dxa"/>
              <w:bottom w:w="72" w:type="dxa"/>
              <w:right w:w="144" w:type="dxa"/>
            </w:tcMar>
            <w:vAlign w:val="center"/>
          </w:tcPr>
          <w:p w14:paraId="00000109">
            <w:pPr>
              <w:jc w:val="left"/>
              <w:rPr>
                <w:color w:val="1a1a1a"/>
              </w:rPr>
            </w:pPr>
            <w:r>
              <w:rPr>
                <w:rFonts w:hint="eastAsia" w:ascii="宋体" w:hAnsi="宋体" w:eastAsia="宋体" w:cs="宋体"/>
                <w:color w:val="1a1a1a"/>
                <w:sz w:val="16"/>
              </w:rPr>
              <w:t>受《人工智能法案》合规约束，稳健增长</w:t>
            </w:r>
          </w:p>
        </w:tc>
      </w:tr>
      <w:tr>
        <w:trPr/>
        <w:tc>
          <w:tcPr>
            <w:tcW w:w="1661" w:type="dxa"/>
            <w:tcBorders>
              <w:left w:val="none" w:sz="8"/>
              <w:bottom w:val="single" w:color="1a1a1a" w:sz="12"/>
              <w:right w:val="none" w:sz="8"/>
            </w:tcBorders>
            <w:tcMar>
              <w:top w:w="72" w:type="dxa"/>
              <w:left w:w="144" w:type="dxa"/>
              <w:bottom w:w="72" w:type="dxa"/>
              <w:right w:w="144" w:type="dxa"/>
            </w:tcMar>
            <w:vAlign w:val="center"/>
          </w:tcPr>
          <w:p w14:paraId="0000010A">
            <w:pPr>
              <w:jc w:val="left"/>
              <w:rPr>
                <w:color w:val="1a1a1a"/>
              </w:rPr>
            </w:pPr>
            <w:r>
              <w:rPr>
                <w:rFonts w:hint="eastAsia" w:ascii="宋体" w:hAnsi="宋体" w:eastAsia="宋体" w:cs="宋体"/>
                <w:color w:val="1a1a1a"/>
                <w:sz w:val="16"/>
              </w:rPr>
              <w:t>中东非洲及拉美</w:t>
            </w:r>
          </w:p>
        </w:tc>
        <w:tc>
          <w:tcPr>
            <w:tcW w:w="1661" w:type="dxa"/>
            <w:tcBorders>
              <w:left w:val="none" w:sz="8"/>
              <w:bottom w:val="single" w:color="1a1a1a" w:sz="12"/>
              <w:right w:val="none" w:sz="8"/>
            </w:tcBorders>
            <w:tcMar>
              <w:top w:w="72" w:type="dxa"/>
              <w:left w:w="144" w:type="dxa"/>
              <w:bottom w:w="72" w:type="dxa"/>
              <w:right w:w="144" w:type="dxa"/>
            </w:tcMar>
            <w:vAlign w:val="center"/>
          </w:tcPr>
          <w:p w14:paraId="0000010B">
            <w:pPr>
              <w:jc w:val="right"/>
              <w:rPr>
                <w:color w:val="1a1a1a"/>
              </w:rPr>
            </w:pPr>
            <w:r>
              <w:rPr>
                <w:rFonts w:hint="eastAsia" w:ascii="Calibri" w:hAnsi="Calibri" w:eastAsia="Calibri" w:cs="Calibri"/>
                <w:color w:val="1a1a1a"/>
                <w:sz w:val="16"/>
              </w:rPr>
              <w:t>约 4%</w:t>
            </w:r>
          </w:p>
        </w:tc>
        <w:tc>
          <w:tcPr>
            <w:tcW w:w="1661" w:type="dxa"/>
            <w:tcBorders>
              <w:left w:val="none" w:sz="8"/>
              <w:bottom w:val="single" w:color="1a1a1a" w:sz="12"/>
              <w:right w:val="none" w:sz="8"/>
            </w:tcBorders>
            <w:tcMar>
              <w:top w:w="72" w:type="dxa"/>
              <w:left w:w="144" w:type="dxa"/>
              <w:bottom w:w="72" w:type="dxa"/>
              <w:right w:w="144" w:type="dxa"/>
            </w:tcMar>
            <w:vAlign w:val="center"/>
          </w:tcPr>
          <w:p w14:paraId="0000010C">
            <w:pPr>
              <w:jc w:val="right"/>
              <w:rPr>
                <w:color w:val="1a1a1a"/>
              </w:rPr>
            </w:pPr>
            <w:r>
              <w:rPr>
                <w:rFonts w:ascii="Calibri" w:hAnsi="Calibri" w:eastAsia="Calibri" w:cs="Calibri"/>
                <w:color w:val="1a1a1a"/>
                <w:sz w:val="16"/>
              </w:rPr>
              <w:t>—</w:t>
            </w:r>
          </w:p>
        </w:tc>
        <w:tc>
          <w:tcPr>
            <w:tcW w:w="1661" w:type="dxa"/>
            <w:tcBorders>
              <w:left w:val="none" w:sz="8"/>
              <w:bottom w:val="single" w:color="1a1a1a" w:sz="12"/>
              <w:right w:val="none" w:sz="8"/>
            </w:tcBorders>
            <w:tcMar>
              <w:top w:w="72" w:type="dxa"/>
              <w:left w:w="144" w:type="dxa"/>
              <w:bottom w:w="72" w:type="dxa"/>
              <w:right w:w="144" w:type="dxa"/>
            </w:tcMar>
            <w:vAlign w:val="center"/>
          </w:tcPr>
          <w:p w14:paraId="0000010D">
            <w:pPr>
              <w:jc w:val="right"/>
              <w:rPr>
                <w:color w:val="1a1a1a"/>
              </w:rPr>
            </w:pPr>
            <w:r>
              <w:rPr>
                <w:rFonts w:ascii="Calibri" w:hAnsi="Calibri" w:eastAsia="Calibri" w:cs="Calibri"/>
                <w:color w:val="1a1a1a"/>
                <w:sz w:val="16"/>
              </w:rPr>
              <w:t>—</w:t>
            </w:r>
          </w:p>
        </w:tc>
        <w:tc>
          <w:tcPr>
            <w:tcW w:w="1661" w:type="dxa"/>
            <w:tcBorders>
              <w:left w:val="none" w:sz="8"/>
              <w:bottom w:val="single" w:color="1a1a1a" w:sz="12"/>
              <w:right w:val="none" w:sz="8"/>
            </w:tcBorders>
            <w:tcMar>
              <w:top w:w="72" w:type="dxa"/>
              <w:left w:w="144" w:type="dxa"/>
              <w:bottom w:w="72" w:type="dxa"/>
              <w:right w:w="144" w:type="dxa"/>
            </w:tcMar>
            <w:vAlign w:val="center"/>
          </w:tcPr>
          <w:p w14:paraId="0000010E">
            <w:pPr>
              <w:jc w:val="left"/>
              <w:rPr>
                <w:color w:val="1a1a1a"/>
              </w:rPr>
            </w:pPr>
            <w:r>
              <w:rPr>
                <w:rFonts w:hint="eastAsia" w:ascii="宋体" w:hAnsi="宋体" w:eastAsia="宋体" w:cs="宋体"/>
                <w:color w:val="1a1a1a"/>
                <w:sz w:val="16"/>
              </w:rPr>
              <w:t>基数小，年均增速超 80%</w:t>
            </w:r>
          </w:p>
        </w:tc>
      </w:tr>
    </w:tbl>
    <w:p w14:paraId="0000010F">
      <w:pPr>
        <w:spacing w:before="0" w:after="192" w:line="360"/>
        <w:ind w:left="0" w:right="0" w:firstLine="480"/>
        <w:jc w:val="both"/>
        <w:rPr>
          <w:color w:val="1a1a1a"/>
        </w:rPr>
      </w:pPr>
      <w:r>
        <w:rPr>
          <w:rFonts w:hint="eastAsia" w:ascii="宋体" w:hAnsi="宋体" w:eastAsia="宋体" w:cs="宋体"/>
          <w:color w:val="1a1a1a"/>
          <w:sz w:val="18"/>
        </w:rPr>
        <w:t>资料来源：据 Globe Market Research、IIM、Straits Research 2026 年公开数据整理；各机构口径存在差异。</w:t>
      </w:r>
    </w:p>
    <w:p w14:paraId="00000110">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15" w:name="section-5-2"/>
      <w:r>
        <w:rPr>
          <w:rFonts w:hint="eastAsia" w:ascii="黑体" w:hAnsi="黑体" w:eastAsia="黑体" w:cs="黑体"/>
          <w:b w:val="1"/>
          <w:color w:val="1a237e"/>
          <w:sz w:val="22"/>
        </w:rPr>
        <w:t>5.2 区域格局的三个判断</w:t>
      </w:r>
      <w:bookmarkEnd w:id="15"/>
    </w:p>
    <w:p w14:paraId="00000111">
      <w:pPr>
        <w:numPr>
          <w:ilvl w:val="0"/>
          <w:numId w:val="1"/>
        </w:numPr>
        <w:pBdr>
          <w:left w:space="18"/>
        </w:pBdr>
        <w:spacing w:before="0" w:after="96" w:line="360"/>
        <w:ind w:left="0" w:right="0"/>
        <w:jc w:val="both"/>
        <w:rPr>
          <w:color w:val="1a1a1a"/>
        </w:rPr>
      </w:pPr>
      <w:r>
        <w:rPr>
          <w:rFonts w:hint="eastAsia" w:ascii="宋体" w:hAnsi="宋体" w:eastAsia="宋体" w:cs="宋体"/>
          <w:b w:val="1"/>
          <w:color w:val="1a1a1a"/>
          <w:sz w:val="18"/>
        </w:rPr>
        <w:t>北美短期仍将领跑。</w:t>
      </w:r>
      <w:r>
        <w:rPr>
          <w:rFonts w:hint="eastAsia" w:ascii="宋体" w:hAnsi="宋体" w:eastAsia="宋体" w:cs="宋体"/>
          <w:color w:val="1a1a1a"/>
          <w:sz w:val="18"/>
        </w:rPr>
        <w:t>前沿模型实验室（OpenAI、Anthropic、Google、Meta）与风险资本高度集中于北美，2026 年上半年新进入该赛道的 840 余家初创企业中北美占约 48%。</w:t>
      </w:r>
    </w:p>
    <w:p w14:paraId="00000112">
      <w:pPr>
        <w:numPr>
          <w:ilvl w:val="0"/>
          <w:numId w:val="1"/>
        </w:numPr>
        <w:pBdr>
          <w:left w:space="18"/>
        </w:pBdr>
        <w:spacing w:before="0" w:after="96" w:line="360"/>
        <w:ind w:left="0" w:right="0"/>
        <w:jc w:val="both"/>
        <w:rPr>
          <w:color w:val="1a1a1a"/>
        </w:rPr>
      </w:pPr>
      <w:r>
        <w:rPr>
          <w:rFonts w:hint="eastAsia" w:ascii="宋体" w:hAnsi="宋体" w:eastAsia="宋体" w:cs="宋体"/>
          <w:b w:val="1"/>
          <w:color w:val="1a1a1a"/>
          <w:sz w:val="18"/>
        </w:rPr>
        <w:t>亚太是最重要的变量。</w:t>
      </w:r>
      <w:r>
        <w:rPr>
          <w:rFonts w:hint="eastAsia" w:ascii="宋体" w:hAnsi="宋体" w:eastAsia="宋体" w:cs="宋体"/>
          <w:color w:val="1a1a1a"/>
          <w:sz w:val="18"/>
        </w:rPr>
        <w:t>中国、日本、印度的制造业、零售与医疗健康需求突出，中国与印度 2025 年合计约 12.5 亿美元、增速预计将超越欧洲；据 IIM 预测，2028 年亚太有望超越北美成为最大单一区域市场。</w:t>
      </w:r>
    </w:p>
    <w:p w14:paraId="00000113">
      <w:pPr>
        <w:numPr>
          <w:ilvl w:val="0"/>
          <w:numId w:val="1"/>
        </w:numPr>
        <w:pBdr>
          <w:left w:space="18"/>
        </w:pBdr>
        <w:spacing w:before="0" w:after="96" w:line="360"/>
        <w:ind w:left="0" w:right="0"/>
        <w:jc w:val="both"/>
        <w:rPr>
          <w:color w:val="1a1a1a"/>
        </w:rPr>
      </w:pPr>
      <w:r>
        <w:rPr>
          <w:rFonts w:hint="eastAsia" w:ascii="宋体" w:hAnsi="宋体" w:eastAsia="宋体" w:cs="宋体"/>
          <w:b w:val="1"/>
          <w:color w:val="1a1a1a"/>
          <w:sz w:val="18"/>
        </w:rPr>
        <w:t>欧洲是"高门槛、高质量"市场。</w:t>
      </w:r>
      <w:r>
        <w:rPr>
          <w:rFonts w:hint="eastAsia" w:ascii="宋体" w:hAnsi="宋体" w:eastAsia="宋体" w:cs="宋体"/>
          <w:color w:val="1a1a1a"/>
          <w:sz w:val="18"/>
        </w:rPr>
        <w:t>《人工智能法案》的合规要求抬高了部署成本，但也倒逼出可解释、可审计的智能体架构，金融合规与工业 4.0 场景增长稳健。</w:t>
      </w:r>
    </w:p>
    <w:p w14:paraId="00000114">
      <w:pPr>
        <w:pStyle w:val="000008"/>
        <w:keepNext w:val="1"/>
        <w:keepLines w:val="1"/>
        <w:shd w:val="clear" w:fill="1a237e"/>
        <w:spacing w:before="288" w:beforeAutospacing="1" w:after="216" w:afterAutospacing="1" w:line="360"/>
        <w:ind w:left="0" w:right="0"/>
        <w:jc w:val="left"/>
        <w:outlineLvl w:val="0"/>
        <w:rPr>
          <w:color w:val="ffffff"/>
          <w:kern w:val="44"/>
          <w:sz w:val="44"/>
          <w:szCs w:val="44"/>
        </w:rPr>
      </w:pPr>
      <w:bookmarkStart w:id="16" w:name="section-6"/>
      <w:r>
        <w:rPr>
          <w:rFonts w:hint="eastAsia" w:ascii="黑体" w:hAnsi="黑体" w:eastAsia="黑体" w:cs="黑体"/>
          <w:b w:val="1"/>
          <w:color w:val="ffffff"/>
          <w:sz w:val="26"/>
        </w:rPr>
        <w:t>6. 细分赛道格局</w:t>
      </w:r>
      <w:bookmarkEnd w:id="16"/>
    </w:p>
    <w:p w14:paraId="00000115">
      <w:pPr>
        <w:spacing w:before="0" w:after="192" w:line="360"/>
        <w:ind w:left="0" w:right="0" w:firstLine="480"/>
        <w:jc w:val="both"/>
        <w:rPr>
          <w:color w:val="1a1a1a"/>
        </w:rPr>
      </w:pPr>
      <w:r>
        <w:rPr>
          <w:rFonts w:hint="eastAsia" w:ascii="宋体" w:hAnsi="宋体" w:eastAsia="宋体" w:cs="宋体"/>
          <w:color w:val="1a1a1a"/>
          <w:sz w:val="18"/>
        </w:rPr>
        <w:t>细分赛道份额揭示需求的真实结构。本章从产品形态、应用场景、部署模式三个切面拆解市场构成。</w:t>
      </w:r>
    </w:p>
    <w:p w14:paraId="00000116">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17" w:name="section-6-1"/>
      <w:r>
        <w:rPr>
          <w:rFonts w:hint="eastAsia" w:ascii="黑体" w:hAnsi="黑体" w:eastAsia="黑体" w:cs="黑体"/>
          <w:b w:val="1"/>
          <w:color w:val="1a237e"/>
          <w:sz w:val="22"/>
        </w:rPr>
        <w:t>6.1 按产品形态：通用平台占近四成，工具中间件增速最快</w:t>
      </w:r>
      <w:bookmarkEnd w:id="17"/>
    </w:p>
    <w:p w14:paraId="00000117">
      <w:pPr>
        <w:spacing w:before="0" w:after="192" w:line="360"/>
        <w:ind w:left="0" w:right="0" w:firstLine="480"/>
        <w:jc w:val="both"/>
        <w:rPr>
          <w:color w:val="1a1a1a"/>
        </w:rPr>
      </w:pPr>
      <w:r>
        <w:rPr>
          <w:rFonts w:hint="eastAsia" w:ascii="宋体" w:hAnsi="宋体" w:eastAsia="宋体" w:cs="宋体"/>
          <w:color w:val="1a1a1a"/>
          <w:sz w:val="18"/>
        </w:rPr>
        <w:t>2025 年全球市场按产品类型划分（IIM 口径）：通用型 Agent 平台约占 37%，垂直行业 Agent 套件约占 31%，开发工具与中间件约占 22%，Agent 运营与监控服务约占 10%。其中平台及工具类产品增速高达 81%，反映出企业"自主构建智能体能力"的强烈需求（IIM，2026年）。</w:t>
      </w:r>
    </w:p>
    <w:p w14:paraId="00000118">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18" w:name="section-6-2"/>
      <w:r>
        <w:rPr>
          <w:rFonts w:hint="eastAsia" w:ascii="黑体" w:hAnsi="黑体" w:eastAsia="黑体" w:cs="黑体"/>
          <w:b w:val="1"/>
          <w:color w:val="1a237e"/>
          <w:sz w:val="22"/>
        </w:rPr>
        <w:t>6.2 按应用场景：客服最成熟，代码生成增速最猛</w:t>
      </w:r>
      <w:bookmarkEnd w:id="18"/>
    </w:p>
    <w:p w14:paraId="00000119">
      <w:pPr>
        <w:spacing w:before="0" w:after="192" w:line="360"/>
        <w:ind w:left="0" w:right="0" w:firstLine="480"/>
        <w:jc w:val="both"/>
        <w:rPr>
          <w:color w:val="1a1a1a"/>
        </w:rPr>
      </w:pPr>
      <w:r>
        <w:rPr>
          <w:rFonts w:hint="eastAsia" w:ascii="宋体" w:hAnsi="宋体" w:eastAsia="宋体" w:cs="宋体"/>
          <w:b w:val="1"/>
          <w:color w:val="1a1a1a"/>
          <w:sz w:val="18"/>
        </w:rPr>
        <w:t>表7：全球 AI 智能体应用场景结构（2025）</w:t>
      </w:r>
    </w:p>
    <w:tbl>
      <w:tblPr>
        <w:tblW w:w="8306" w:type="dxa"/>
        <w:shd w:color="1a1a1a"/>
        <w:tblLayout w:type="autofit"/>
        <w:tblCellMar>
          <w:top w:w="0" w:type="dxa"/>
          <w:left w:w="0" w:type="dxa"/>
          <w:bottom w:w="0" w:type="dxa"/>
          <w:right w:w="0" w:type="dxa"/>
        </w:tblCellMar>
      </w:tblPr>
      <w:tblGrid>
        <w:gridCol w:w="1661"/>
        <w:gridCol w:w="1661"/>
        <w:gridCol w:w="1661"/>
        <w:gridCol w:w="1661"/>
        <w:gridCol w:w="1661"/>
      </w:tblGrid>
      <w:tr>
        <w:trPr>
          <w:tblHeader w:val="1"/>
        </w:trPr>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1A">
            <w:pPr>
              <w:jc w:val="left"/>
              <w:rPr>
                <w:b w:val="1"/>
                <w:bCs w:val="1"/>
                <w:color w:val="1a1a1a"/>
              </w:rPr>
            </w:pPr>
            <w:r>
              <w:rPr>
                <w:rFonts w:hint="eastAsia" w:ascii="宋体" w:hAnsi="宋体" w:eastAsia="宋体" w:cs="宋体"/>
                <w:b w:val="1"/>
                <w:color w:val="1a1a1a"/>
                <w:sz w:val="16"/>
              </w:rPr>
              <w:t>应用场景</w:t>
            </w:r>
          </w:p>
        </w:tc>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1B">
            <w:pPr>
              <w:jc w:val="left"/>
              <w:rPr>
                <w:b w:val="1"/>
                <w:bCs w:val="1"/>
                <w:color w:val="1a1a1a"/>
              </w:rPr>
            </w:pPr>
            <w:r>
              <w:rPr>
                <w:rFonts w:hint="eastAsia" w:ascii="宋体" w:hAnsi="宋体" w:eastAsia="宋体" w:cs="宋体"/>
                <w:b w:val="1"/>
                <w:color w:val="1a1a1a"/>
                <w:sz w:val="16"/>
              </w:rPr>
              <w:t>2025年规模</w:t>
            </w:r>
          </w:p>
        </w:tc>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1C">
            <w:pPr>
              <w:jc w:val="left"/>
              <w:rPr>
                <w:b w:val="1"/>
                <w:bCs w:val="1"/>
                <w:color w:val="1a1a1a"/>
              </w:rPr>
            </w:pPr>
            <w:r>
              <w:rPr>
                <w:rFonts w:hint="eastAsia" w:ascii="宋体" w:hAnsi="宋体" w:eastAsia="宋体" w:cs="宋体"/>
                <w:b w:val="1"/>
                <w:color w:val="1a1a1a"/>
                <w:sz w:val="16"/>
              </w:rPr>
              <w:t>份额</w:t>
            </w:r>
          </w:p>
        </w:tc>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1D">
            <w:pPr>
              <w:jc w:val="left"/>
              <w:rPr>
                <w:b w:val="1"/>
                <w:bCs w:val="1"/>
                <w:color w:val="1a1a1a"/>
              </w:rPr>
            </w:pPr>
            <w:r>
              <w:rPr>
                <w:rFonts w:hint="eastAsia" w:ascii="宋体" w:hAnsi="宋体" w:eastAsia="宋体" w:cs="宋体"/>
                <w:b w:val="1"/>
                <w:color w:val="1a1a1a"/>
                <w:sz w:val="16"/>
              </w:rPr>
              <w:t>同比增速</w:t>
            </w:r>
          </w:p>
        </w:tc>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1E">
            <w:pPr>
              <w:jc w:val="left"/>
              <w:rPr>
                <w:b w:val="1"/>
                <w:bCs w:val="1"/>
                <w:color w:val="1a1a1a"/>
              </w:rPr>
            </w:pPr>
            <w:r>
              <w:rPr>
                <w:rFonts w:hint="eastAsia" w:ascii="宋体" w:hAnsi="宋体" w:eastAsia="宋体" w:cs="宋体"/>
                <w:b w:val="1"/>
                <w:color w:val="1a1a1a"/>
                <w:sz w:val="16"/>
              </w:rPr>
              <w:t>需求特征</w:t>
            </w:r>
          </w:p>
        </w:tc>
      </w:tr>
      <w:tr>
        <w:trPr/>
        <w:tc>
          <w:tcPr>
            <w:tcW w:w="1661" w:type="dxa"/>
            <w:tcBorders>
              <w:left w:val="none" w:sz="8"/>
              <w:right w:val="none" w:sz="8"/>
            </w:tcBorders>
            <w:tcMar>
              <w:top w:w="72" w:type="dxa"/>
              <w:left w:w="144" w:type="dxa"/>
              <w:bottom w:w="72" w:type="dxa"/>
              <w:right w:w="144" w:type="dxa"/>
            </w:tcMar>
            <w:vAlign w:val="center"/>
          </w:tcPr>
          <w:p w14:paraId="0000011F">
            <w:pPr>
              <w:jc w:val="left"/>
              <w:rPr>
                <w:color w:val="1a1a1a"/>
              </w:rPr>
            </w:pPr>
            <w:r>
              <w:rPr>
                <w:rFonts w:hint="eastAsia" w:ascii="宋体" w:hAnsi="宋体" w:eastAsia="宋体" w:cs="宋体"/>
                <w:color w:val="1a1a1a"/>
                <w:sz w:val="16"/>
              </w:rPr>
              <w:t>智能客服与虚拟助手</w:t>
            </w:r>
          </w:p>
        </w:tc>
        <w:tc>
          <w:tcPr>
            <w:tcW w:w="1661" w:type="dxa"/>
            <w:tcBorders>
              <w:left w:val="none" w:sz="8"/>
              <w:right w:val="none" w:sz="8"/>
            </w:tcBorders>
            <w:tcMar>
              <w:top w:w="72" w:type="dxa"/>
              <w:left w:w="144" w:type="dxa"/>
              <w:bottom w:w="72" w:type="dxa"/>
              <w:right w:w="144" w:type="dxa"/>
            </w:tcMar>
            <w:vAlign w:val="center"/>
          </w:tcPr>
          <w:p w14:paraId="00000120">
            <w:pPr>
              <w:jc w:val="right"/>
              <w:rPr>
                <w:color w:val="1a1a1a"/>
              </w:rPr>
            </w:pPr>
            <w:r>
              <w:rPr>
                <w:rFonts w:hint="eastAsia" w:ascii="Calibri" w:hAnsi="Calibri" w:eastAsia="Calibri" w:cs="Calibri"/>
                <w:color w:val="1a1a1a"/>
                <w:sz w:val="16"/>
              </w:rPr>
              <w:t>110 亿美元</w:t>
            </w:r>
          </w:p>
        </w:tc>
        <w:tc>
          <w:tcPr>
            <w:tcW w:w="1661" w:type="dxa"/>
            <w:tcBorders>
              <w:left w:val="none" w:sz="8"/>
              <w:right w:val="none" w:sz="8"/>
            </w:tcBorders>
            <w:tcMar>
              <w:top w:w="72" w:type="dxa"/>
              <w:left w:w="144" w:type="dxa"/>
              <w:bottom w:w="72" w:type="dxa"/>
              <w:right w:w="144" w:type="dxa"/>
            </w:tcMar>
            <w:vAlign w:val="center"/>
          </w:tcPr>
          <w:p w14:paraId="00000121">
            <w:pPr>
              <w:jc w:val="right"/>
              <w:rPr>
                <w:color w:val="1a1a1a"/>
              </w:rPr>
            </w:pPr>
            <w:r>
              <w:rPr>
                <w:rFonts w:hint="eastAsia" w:ascii="Calibri" w:hAnsi="Calibri" w:eastAsia="Calibri" w:cs="Calibri"/>
                <w:color w:val="1a1a1a"/>
                <w:sz w:val="16"/>
              </w:rPr>
              <w:t>约 26%</w:t>
            </w:r>
          </w:p>
        </w:tc>
        <w:tc>
          <w:tcPr>
            <w:tcW w:w="1661" w:type="dxa"/>
            <w:tcBorders>
              <w:left w:val="none" w:sz="8"/>
              <w:right w:val="none" w:sz="8"/>
            </w:tcBorders>
            <w:tcMar>
              <w:top w:w="72" w:type="dxa"/>
              <w:left w:w="144" w:type="dxa"/>
              <w:bottom w:w="72" w:type="dxa"/>
              <w:right w:w="144" w:type="dxa"/>
            </w:tcMar>
            <w:vAlign w:val="center"/>
          </w:tcPr>
          <w:p w14:paraId="00000122">
            <w:pPr>
              <w:jc w:val="right"/>
              <w:rPr>
                <w:color w:val="1a1a1a"/>
              </w:rPr>
            </w:pPr>
            <w:r>
              <w:rPr>
                <w:rFonts w:hint="eastAsia" w:ascii="Calibri" w:hAnsi="Calibri" w:eastAsia="Calibri" w:cs="Calibri"/>
                <w:color w:val="1a1a1a"/>
                <w:sz w:val="16"/>
              </w:rPr>
              <w:t>稳健</w:t>
            </w:r>
          </w:p>
        </w:tc>
        <w:tc>
          <w:tcPr>
            <w:tcW w:w="1661" w:type="dxa"/>
            <w:tcBorders>
              <w:left w:val="none" w:sz="8"/>
              <w:right w:val="none" w:sz="8"/>
            </w:tcBorders>
            <w:tcMar>
              <w:top w:w="72" w:type="dxa"/>
              <w:left w:w="144" w:type="dxa"/>
              <w:bottom w:w="72" w:type="dxa"/>
              <w:right w:w="144" w:type="dxa"/>
            </w:tcMar>
            <w:vAlign w:val="center"/>
          </w:tcPr>
          <w:p w14:paraId="00000123">
            <w:pPr>
              <w:jc w:val="left"/>
              <w:rPr>
                <w:color w:val="1a1a1a"/>
              </w:rPr>
            </w:pPr>
            <w:r>
              <w:rPr>
                <w:rFonts w:hint="eastAsia" w:ascii="宋体" w:hAnsi="宋体" w:eastAsia="宋体" w:cs="宋体"/>
                <w:color w:val="1a1a1a"/>
                <w:sz w:val="16"/>
              </w:rPr>
              <w:t>最成熟的落地场景</w:t>
            </w:r>
          </w:p>
        </w:tc>
      </w:tr>
      <w:tr>
        <w:trPr/>
        <w:tc>
          <w:tcPr>
            <w:tcW w:w="1661" w:type="dxa"/>
            <w:tcBorders>
              <w:left w:val="none" w:sz="8"/>
              <w:right w:val="none" w:sz="8"/>
            </w:tcBorders>
            <w:tcMar>
              <w:top w:w="72" w:type="dxa"/>
              <w:left w:w="144" w:type="dxa"/>
              <w:bottom w:w="72" w:type="dxa"/>
              <w:right w:w="144" w:type="dxa"/>
            </w:tcMar>
            <w:vAlign w:val="center"/>
          </w:tcPr>
          <w:p w14:paraId="00000124">
            <w:pPr>
              <w:jc w:val="left"/>
              <w:rPr>
                <w:color w:val="1a1a1a"/>
              </w:rPr>
            </w:pPr>
            <w:r>
              <w:rPr>
                <w:rFonts w:hint="eastAsia" w:ascii="宋体" w:hAnsi="宋体" w:eastAsia="宋体" w:cs="宋体"/>
                <w:color w:val="1a1a1a"/>
                <w:sz w:val="16"/>
              </w:rPr>
              <w:t>代码生成与软件工程</w:t>
            </w:r>
          </w:p>
        </w:tc>
        <w:tc>
          <w:tcPr>
            <w:tcW w:w="1661" w:type="dxa"/>
            <w:tcBorders>
              <w:left w:val="none" w:sz="8"/>
              <w:right w:val="none" w:sz="8"/>
            </w:tcBorders>
            <w:tcMar>
              <w:top w:w="72" w:type="dxa"/>
              <w:left w:w="144" w:type="dxa"/>
              <w:bottom w:w="72" w:type="dxa"/>
              <w:right w:w="144" w:type="dxa"/>
            </w:tcMar>
            <w:vAlign w:val="center"/>
          </w:tcPr>
          <w:p w14:paraId="00000125">
            <w:pPr>
              <w:jc w:val="right"/>
              <w:rPr>
                <w:color w:val="1a1a1a"/>
              </w:rPr>
            </w:pPr>
            <w:r>
              <w:rPr>
                <w:rFonts w:hint="eastAsia" w:ascii="Calibri" w:hAnsi="Calibri" w:eastAsia="Calibri" w:cs="Calibri"/>
                <w:color w:val="1a1a1a"/>
                <w:sz w:val="16"/>
              </w:rPr>
              <w:t>78 亿美元</w:t>
            </w:r>
          </w:p>
        </w:tc>
        <w:tc>
          <w:tcPr>
            <w:tcW w:w="1661" w:type="dxa"/>
            <w:tcBorders>
              <w:left w:val="none" w:sz="8"/>
              <w:right w:val="none" w:sz="8"/>
            </w:tcBorders>
            <w:tcMar>
              <w:top w:w="72" w:type="dxa"/>
              <w:left w:w="144" w:type="dxa"/>
              <w:bottom w:w="72" w:type="dxa"/>
              <w:right w:w="144" w:type="dxa"/>
            </w:tcMar>
            <w:vAlign w:val="center"/>
          </w:tcPr>
          <w:p w14:paraId="00000126">
            <w:pPr>
              <w:jc w:val="right"/>
              <w:rPr>
                <w:color w:val="1a1a1a"/>
              </w:rPr>
            </w:pPr>
            <w:r>
              <w:rPr>
                <w:rFonts w:hint="eastAsia" w:ascii="Calibri" w:hAnsi="Calibri" w:eastAsia="Calibri" w:cs="Calibri"/>
                <w:color w:val="1a1a1a"/>
                <w:sz w:val="16"/>
              </w:rPr>
              <w:t>约 19%</w:t>
            </w:r>
          </w:p>
        </w:tc>
        <w:tc>
          <w:tcPr>
            <w:tcW w:w="1661" w:type="dxa"/>
            <w:tcBorders>
              <w:left w:val="none" w:sz="8"/>
              <w:right w:val="none" w:sz="8"/>
            </w:tcBorders>
            <w:tcMar>
              <w:top w:w="72" w:type="dxa"/>
              <w:left w:w="144" w:type="dxa"/>
              <w:bottom w:w="72" w:type="dxa"/>
              <w:right w:w="144" w:type="dxa"/>
            </w:tcMar>
            <w:vAlign w:val="center"/>
          </w:tcPr>
          <w:p w14:paraId="00000127">
            <w:pPr>
              <w:jc w:val="right"/>
              <w:rPr>
                <w:color w:val="1a1a1a"/>
              </w:rPr>
            </w:pPr>
            <w:r>
              <w:rPr>
                <w:rFonts w:ascii="Calibri" w:hAnsi="Calibri" w:eastAsia="Calibri" w:cs="Calibri"/>
                <w:color w:val="1a1a1a"/>
                <w:sz w:val="16"/>
              </w:rPr>
              <w:t>+144%</w:t>
            </w:r>
          </w:p>
        </w:tc>
        <w:tc>
          <w:tcPr>
            <w:tcW w:w="1661" w:type="dxa"/>
            <w:tcBorders>
              <w:left w:val="none" w:sz="8"/>
              <w:right w:val="none" w:sz="8"/>
            </w:tcBorders>
            <w:tcMar>
              <w:top w:w="72" w:type="dxa"/>
              <w:left w:w="144" w:type="dxa"/>
              <w:bottom w:w="72" w:type="dxa"/>
              <w:right w:w="144" w:type="dxa"/>
            </w:tcMar>
            <w:vAlign w:val="center"/>
          </w:tcPr>
          <w:p w14:paraId="00000128">
            <w:pPr>
              <w:jc w:val="left"/>
              <w:rPr>
                <w:color w:val="1a1a1a"/>
              </w:rPr>
            </w:pPr>
            <w:r>
              <w:rPr>
                <w:rFonts w:hint="eastAsia" w:ascii="宋体" w:hAnsi="宋体" w:eastAsia="宋体" w:cs="宋体"/>
                <w:color w:val="1a1a1a"/>
                <w:sz w:val="16"/>
              </w:rPr>
              <w:t>增速最快的赛道</w:t>
            </w:r>
          </w:p>
        </w:tc>
      </w:tr>
      <w:tr>
        <w:trPr/>
        <w:tc>
          <w:tcPr>
            <w:tcW w:w="1661" w:type="dxa"/>
            <w:tcBorders>
              <w:left w:val="none" w:sz="8"/>
              <w:right w:val="none" w:sz="8"/>
            </w:tcBorders>
            <w:tcMar>
              <w:top w:w="72" w:type="dxa"/>
              <w:left w:w="144" w:type="dxa"/>
              <w:bottom w:w="72" w:type="dxa"/>
              <w:right w:w="144" w:type="dxa"/>
            </w:tcMar>
            <w:vAlign w:val="center"/>
          </w:tcPr>
          <w:p w14:paraId="00000129">
            <w:pPr>
              <w:jc w:val="left"/>
              <w:rPr>
                <w:color w:val="1a1a1a"/>
              </w:rPr>
            </w:pPr>
            <w:r>
              <w:rPr>
                <w:rFonts w:hint="eastAsia" w:ascii="宋体" w:hAnsi="宋体" w:eastAsia="宋体" w:cs="宋体"/>
                <w:color w:val="1a1a1a"/>
                <w:sz w:val="16"/>
              </w:rPr>
              <w:t>工业自动化（质检、供应链）</w:t>
            </w:r>
          </w:p>
        </w:tc>
        <w:tc>
          <w:tcPr>
            <w:tcW w:w="1661" w:type="dxa"/>
            <w:tcBorders>
              <w:left w:val="none" w:sz="8"/>
              <w:right w:val="none" w:sz="8"/>
            </w:tcBorders>
            <w:tcMar>
              <w:top w:w="72" w:type="dxa"/>
              <w:left w:w="144" w:type="dxa"/>
              <w:bottom w:w="72" w:type="dxa"/>
              <w:right w:w="144" w:type="dxa"/>
            </w:tcMar>
            <w:vAlign w:val="center"/>
          </w:tcPr>
          <w:p w14:paraId="0000012A">
            <w:pPr>
              <w:jc w:val="right"/>
              <w:rPr>
                <w:color w:val="1a1a1a"/>
              </w:rPr>
            </w:pPr>
            <w:r>
              <w:rPr>
                <w:rFonts w:hint="eastAsia" w:ascii="Calibri" w:hAnsi="Calibri" w:eastAsia="Calibri" w:cs="Calibri"/>
                <w:color w:val="1a1a1a"/>
                <w:sz w:val="16"/>
              </w:rPr>
              <w:t>65 亿美元</w:t>
            </w:r>
          </w:p>
        </w:tc>
        <w:tc>
          <w:tcPr>
            <w:tcW w:w="1661" w:type="dxa"/>
            <w:tcBorders>
              <w:left w:val="none" w:sz="8"/>
              <w:right w:val="none" w:sz="8"/>
            </w:tcBorders>
            <w:tcMar>
              <w:top w:w="72" w:type="dxa"/>
              <w:left w:w="144" w:type="dxa"/>
              <w:bottom w:w="72" w:type="dxa"/>
              <w:right w:w="144" w:type="dxa"/>
            </w:tcMar>
            <w:vAlign w:val="center"/>
          </w:tcPr>
          <w:p w14:paraId="0000012B">
            <w:pPr>
              <w:jc w:val="right"/>
              <w:rPr>
                <w:color w:val="1a1a1a"/>
              </w:rPr>
            </w:pPr>
            <w:r>
              <w:rPr>
                <w:rFonts w:hint="eastAsia" w:ascii="Calibri" w:hAnsi="Calibri" w:eastAsia="Calibri" w:cs="Calibri"/>
                <w:color w:val="1a1a1a"/>
                <w:sz w:val="16"/>
              </w:rPr>
              <w:t>约 15%</w:t>
            </w:r>
          </w:p>
        </w:tc>
        <w:tc>
          <w:tcPr>
            <w:tcW w:w="1661" w:type="dxa"/>
            <w:tcBorders>
              <w:left w:val="none" w:sz="8"/>
              <w:right w:val="none" w:sz="8"/>
            </w:tcBorders>
            <w:tcMar>
              <w:top w:w="72" w:type="dxa"/>
              <w:left w:w="144" w:type="dxa"/>
              <w:bottom w:w="72" w:type="dxa"/>
              <w:right w:w="144" w:type="dxa"/>
            </w:tcMar>
            <w:vAlign w:val="center"/>
          </w:tcPr>
          <w:p w14:paraId="0000012C">
            <w:pPr>
              <w:jc w:val="right"/>
              <w:rPr>
                <w:color w:val="1a1a1a"/>
              </w:rPr>
            </w:pPr>
            <w:r>
              <w:rPr>
                <w:rFonts w:ascii="Calibri" w:hAnsi="Calibri" w:eastAsia="Calibri" w:cs="Calibri"/>
                <w:color w:val="1a1a1a"/>
                <w:sz w:val="16"/>
              </w:rPr>
              <w:t>+55%</w:t>
            </w:r>
          </w:p>
        </w:tc>
        <w:tc>
          <w:tcPr>
            <w:tcW w:w="1661" w:type="dxa"/>
            <w:tcBorders>
              <w:left w:val="none" w:sz="8"/>
              <w:right w:val="none" w:sz="8"/>
            </w:tcBorders>
            <w:tcMar>
              <w:top w:w="72" w:type="dxa"/>
              <w:left w:w="144" w:type="dxa"/>
              <w:bottom w:w="72" w:type="dxa"/>
              <w:right w:w="144" w:type="dxa"/>
            </w:tcMar>
            <w:vAlign w:val="center"/>
          </w:tcPr>
          <w:p w14:paraId="0000012D">
            <w:pPr>
              <w:jc w:val="left"/>
              <w:rPr>
                <w:color w:val="1a1a1a"/>
              </w:rPr>
            </w:pPr>
            <w:r>
              <w:rPr>
                <w:rFonts w:hint="eastAsia" w:ascii="宋体" w:hAnsi="宋体" w:eastAsia="宋体" w:cs="宋体"/>
                <w:color w:val="1a1a1a"/>
                <w:sz w:val="16"/>
              </w:rPr>
              <w:t>制造业智能化核心</w:t>
            </w:r>
          </w:p>
        </w:tc>
      </w:tr>
      <w:tr>
        <w:trPr/>
        <w:tc>
          <w:tcPr>
            <w:tcW w:w="1661" w:type="dxa"/>
            <w:tcBorders>
              <w:left w:val="none" w:sz="8"/>
              <w:right w:val="none" w:sz="8"/>
            </w:tcBorders>
            <w:tcMar>
              <w:top w:w="72" w:type="dxa"/>
              <w:left w:w="144" w:type="dxa"/>
              <w:bottom w:w="72" w:type="dxa"/>
              <w:right w:w="144" w:type="dxa"/>
            </w:tcMar>
            <w:vAlign w:val="center"/>
          </w:tcPr>
          <w:p w14:paraId="0000012E">
            <w:pPr>
              <w:jc w:val="left"/>
              <w:rPr>
                <w:color w:val="1a1a1a"/>
              </w:rPr>
            </w:pPr>
            <w:r>
              <w:rPr>
                <w:rFonts w:hint="eastAsia" w:ascii="宋体" w:hAnsi="宋体" w:eastAsia="宋体" w:cs="宋体"/>
                <w:color w:val="1a1a1a"/>
                <w:sz w:val="16"/>
              </w:rPr>
              <w:t>医疗诊断辅助</w:t>
            </w:r>
          </w:p>
        </w:tc>
        <w:tc>
          <w:tcPr>
            <w:tcW w:w="1661" w:type="dxa"/>
            <w:tcBorders>
              <w:left w:val="none" w:sz="8"/>
              <w:right w:val="none" w:sz="8"/>
            </w:tcBorders>
            <w:tcMar>
              <w:top w:w="72" w:type="dxa"/>
              <w:left w:w="144" w:type="dxa"/>
              <w:bottom w:w="72" w:type="dxa"/>
              <w:right w:w="144" w:type="dxa"/>
            </w:tcMar>
            <w:vAlign w:val="center"/>
          </w:tcPr>
          <w:p w14:paraId="0000012F">
            <w:pPr>
              <w:jc w:val="right"/>
              <w:rPr>
                <w:color w:val="1a1a1a"/>
              </w:rPr>
            </w:pPr>
            <w:r>
              <w:rPr>
                <w:rFonts w:hint="eastAsia" w:ascii="Calibri" w:hAnsi="Calibri" w:eastAsia="Calibri" w:cs="Calibri"/>
                <w:color w:val="1a1a1a"/>
                <w:sz w:val="16"/>
              </w:rPr>
              <w:t>42 亿美元</w:t>
            </w:r>
          </w:p>
        </w:tc>
        <w:tc>
          <w:tcPr>
            <w:tcW w:w="1661" w:type="dxa"/>
            <w:tcBorders>
              <w:left w:val="none" w:sz="8"/>
              <w:right w:val="none" w:sz="8"/>
            </w:tcBorders>
            <w:tcMar>
              <w:top w:w="72" w:type="dxa"/>
              <w:left w:w="144" w:type="dxa"/>
              <w:bottom w:w="72" w:type="dxa"/>
              <w:right w:w="144" w:type="dxa"/>
            </w:tcMar>
            <w:vAlign w:val="center"/>
          </w:tcPr>
          <w:p w14:paraId="00000130">
            <w:pPr>
              <w:jc w:val="right"/>
              <w:rPr>
                <w:color w:val="1a1a1a"/>
              </w:rPr>
            </w:pPr>
            <w:r>
              <w:rPr>
                <w:rFonts w:hint="eastAsia" w:ascii="Calibri" w:hAnsi="Calibri" w:eastAsia="Calibri" w:cs="Calibri"/>
                <w:color w:val="1a1a1a"/>
                <w:sz w:val="16"/>
              </w:rPr>
              <w:t>约 10%</w:t>
            </w:r>
          </w:p>
        </w:tc>
        <w:tc>
          <w:tcPr>
            <w:tcW w:w="1661" w:type="dxa"/>
            <w:tcBorders>
              <w:left w:val="none" w:sz="8"/>
              <w:right w:val="none" w:sz="8"/>
            </w:tcBorders>
            <w:tcMar>
              <w:top w:w="72" w:type="dxa"/>
              <w:left w:w="144" w:type="dxa"/>
              <w:bottom w:w="72" w:type="dxa"/>
              <w:right w:w="144" w:type="dxa"/>
            </w:tcMar>
            <w:vAlign w:val="center"/>
          </w:tcPr>
          <w:p w14:paraId="00000131">
            <w:pPr>
              <w:jc w:val="right"/>
              <w:rPr>
                <w:color w:val="1a1a1a"/>
              </w:rPr>
            </w:pPr>
            <w:r>
              <w:rPr>
                <w:rFonts w:hint="eastAsia" w:ascii="Calibri" w:hAnsi="Calibri" w:eastAsia="Calibri" w:cs="Calibri"/>
                <w:color w:val="1a1a1a"/>
                <w:sz w:val="16"/>
              </w:rPr>
              <w:t>稳健</w:t>
            </w:r>
          </w:p>
        </w:tc>
        <w:tc>
          <w:tcPr>
            <w:tcW w:w="1661" w:type="dxa"/>
            <w:tcBorders>
              <w:left w:val="none" w:sz="8"/>
              <w:right w:val="none" w:sz="8"/>
            </w:tcBorders>
            <w:tcMar>
              <w:top w:w="72" w:type="dxa"/>
              <w:left w:w="144" w:type="dxa"/>
              <w:bottom w:w="72" w:type="dxa"/>
              <w:right w:w="144" w:type="dxa"/>
            </w:tcMar>
            <w:vAlign w:val="center"/>
          </w:tcPr>
          <w:p w14:paraId="00000132">
            <w:pPr>
              <w:jc w:val="left"/>
              <w:rPr>
                <w:color w:val="1a1a1a"/>
              </w:rPr>
            </w:pPr>
            <w:r>
              <w:rPr>
                <w:rFonts w:hint="eastAsia" w:ascii="宋体" w:hAnsi="宋体" w:eastAsia="宋体" w:cs="宋体"/>
                <w:color w:val="1a1a1a"/>
                <w:sz w:val="16"/>
              </w:rPr>
              <w:t>高合规、高价值</w:t>
            </w:r>
          </w:p>
        </w:tc>
      </w:tr>
      <w:tr>
        <w:trPr/>
        <w:tc>
          <w:tcPr>
            <w:tcW w:w="1661" w:type="dxa"/>
            <w:tcBorders>
              <w:left w:val="none" w:sz="8"/>
              <w:bottom w:val="single" w:color="1a1a1a" w:sz="12"/>
              <w:right w:val="none" w:sz="8"/>
            </w:tcBorders>
            <w:tcMar>
              <w:top w:w="72" w:type="dxa"/>
              <w:left w:w="144" w:type="dxa"/>
              <w:bottom w:w="72" w:type="dxa"/>
              <w:right w:w="144" w:type="dxa"/>
            </w:tcMar>
            <w:vAlign w:val="center"/>
          </w:tcPr>
          <w:p w14:paraId="00000133">
            <w:pPr>
              <w:jc w:val="left"/>
              <w:rPr>
                <w:color w:val="1a1a1a"/>
              </w:rPr>
            </w:pPr>
            <w:r>
              <w:rPr>
                <w:rFonts w:hint="eastAsia" w:ascii="宋体" w:hAnsi="宋体" w:eastAsia="宋体" w:cs="宋体"/>
                <w:color w:val="1a1a1a"/>
                <w:sz w:val="16"/>
              </w:rPr>
              <w:t>金融风控</w:t>
            </w:r>
          </w:p>
        </w:tc>
        <w:tc>
          <w:tcPr>
            <w:tcW w:w="1661" w:type="dxa"/>
            <w:tcBorders>
              <w:left w:val="none" w:sz="8"/>
              <w:bottom w:val="single" w:color="1a1a1a" w:sz="12"/>
              <w:right w:val="none" w:sz="8"/>
            </w:tcBorders>
            <w:tcMar>
              <w:top w:w="72" w:type="dxa"/>
              <w:left w:w="144" w:type="dxa"/>
              <w:bottom w:w="72" w:type="dxa"/>
              <w:right w:w="144" w:type="dxa"/>
            </w:tcMar>
            <w:vAlign w:val="center"/>
          </w:tcPr>
          <w:p w14:paraId="00000134">
            <w:pPr>
              <w:jc w:val="right"/>
              <w:rPr>
                <w:color w:val="1a1a1a"/>
              </w:rPr>
            </w:pPr>
            <w:r>
              <w:rPr>
                <w:rFonts w:hint="eastAsia" w:ascii="Calibri" w:hAnsi="Calibri" w:eastAsia="Calibri" w:cs="Calibri"/>
                <w:color w:val="1a1a1a"/>
                <w:sz w:val="16"/>
              </w:rPr>
              <w:t>38 亿美元</w:t>
            </w:r>
          </w:p>
        </w:tc>
        <w:tc>
          <w:tcPr>
            <w:tcW w:w="1661" w:type="dxa"/>
            <w:tcBorders>
              <w:left w:val="none" w:sz="8"/>
              <w:bottom w:val="single" w:color="1a1a1a" w:sz="12"/>
              <w:right w:val="none" w:sz="8"/>
            </w:tcBorders>
            <w:tcMar>
              <w:top w:w="72" w:type="dxa"/>
              <w:left w:w="144" w:type="dxa"/>
              <w:bottom w:w="72" w:type="dxa"/>
              <w:right w:w="144" w:type="dxa"/>
            </w:tcMar>
            <w:vAlign w:val="center"/>
          </w:tcPr>
          <w:p w14:paraId="00000135">
            <w:pPr>
              <w:jc w:val="right"/>
              <w:rPr>
                <w:color w:val="1a1a1a"/>
              </w:rPr>
            </w:pPr>
            <w:r>
              <w:rPr>
                <w:rFonts w:hint="eastAsia" w:ascii="Calibri" w:hAnsi="Calibri" w:eastAsia="Calibri" w:cs="Calibri"/>
                <w:color w:val="1a1a1a"/>
                <w:sz w:val="16"/>
              </w:rPr>
              <w:t>约 9%</w:t>
            </w:r>
          </w:p>
        </w:tc>
        <w:tc>
          <w:tcPr>
            <w:tcW w:w="1661" w:type="dxa"/>
            <w:tcBorders>
              <w:left w:val="none" w:sz="8"/>
              <w:bottom w:val="single" w:color="1a1a1a" w:sz="12"/>
              <w:right w:val="none" w:sz="8"/>
            </w:tcBorders>
            <w:tcMar>
              <w:top w:w="72" w:type="dxa"/>
              <w:left w:w="144" w:type="dxa"/>
              <w:bottom w:w="72" w:type="dxa"/>
              <w:right w:w="144" w:type="dxa"/>
            </w:tcMar>
            <w:vAlign w:val="center"/>
          </w:tcPr>
          <w:p w14:paraId="00000136">
            <w:pPr>
              <w:jc w:val="right"/>
              <w:rPr>
                <w:color w:val="1a1a1a"/>
              </w:rPr>
            </w:pPr>
            <w:r>
              <w:rPr>
                <w:rFonts w:hint="eastAsia" w:ascii="Calibri" w:hAnsi="Calibri" w:eastAsia="Calibri" w:cs="Calibri"/>
                <w:color w:val="1a1a1a"/>
                <w:sz w:val="16"/>
              </w:rPr>
              <w:t>稳健</w:t>
            </w:r>
          </w:p>
        </w:tc>
        <w:tc>
          <w:tcPr>
            <w:tcW w:w="1661" w:type="dxa"/>
            <w:tcBorders>
              <w:left w:val="none" w:sz="8"/>
              <w:bottom w:val="single" w:color="1a1a1a" w:sz="12"/>
              <w:right w:val="none" w:sz="8"/>
            </w:tcBorders>
            <w:tcMar>
              <w:top w:w="72" w:type="dxa"/>
              <w:left w:w="144" w:type="dxa"/>
              <w:bottom w:w="72" w:type="dxa"/>
              <w:right w:w="144" w:type="dxa"/>
            </w:tcMar>
            <w:vAlign w:val="center"/>
          </w:tcPr>
          <w:p w14:paraId="00000137">
            <w:pPr>
              <w:jc w:val="left"/>
              <w:rPr>
                <w:color w:val="1a1a1a"/>
              </w:rPr>
            </w:pPr>
            <w:r>
              <w:rPr>
                <w:rFonts w:hint="eastAsia" w:ascii="宋体" w:hAnsi="宋体" w:eastAsia="宋体" w:cs="宋体"/>
                <w:color w:val="1a1a1a"/>
                <w:sz w:val="16"/>
              </w:rPr>
              <w:t>部署率最高行业</w:t>
            </w:r>
          </w:p>
        </w:tc>
      </w:tr>
    </w:tbl>
    <w:p w14:paraId="00000138">
      <w:pPr>
        <w:spacing w:before="0" w:after="192" w:line="360"/>
        <w:ind w:left="0" w:right="0" w:firstLine="480"/>
        <w:jc w:val="both"/>
        <w:rPr>
          <w:color w:val="1a1a1a"/>
        </w:rPr>
      </w:pPr>
      <w:r>
        <w:rPr>
          <w:rFonts w:hint="eastAsia" w:ascii="宋体" w:hAnsi="宋体" w:eastAsia="宋体" w:cs="宋体"/>
          <w:color w:val="1a1a1a"/>
          <w:sz w:val="18"/>
        </w:rPr>
        <w:t>资料来源：据 IIM（2026年）公开数据整理。</w:t>
      </w:r>
    </w:p>
    <w:p w14:paraId="00000139">
      <w:pPr>
        <w:spacing w:before="0" w:after="192" w:line="360"/>
        <w:ind w:left="0" w:right="0" w:firstLine="480"/>
        <w:jc w:val="both"/>
        <w:rPr>
          <w:color w:val="1a1a1a"/>
        </w:rPr>
      </w:pPr>
      <w:r>
        <w:rPr>
          <w:rFonts w:hint="eastAsia" w:ascii="宋体" w:hAnsi="宋体" w:eastAsia="宋体" w:cs="宋体"/>
          <w:color w:val="1a1a1a"/>
          <w:sz w:val="18"/>
        </w:rPr>
        <w:t>2026 年结构进一步演变：智能客服与对话式代理占比升至 33.5%，流程自动化代理占 23.3%（IIM，2026年）。从工具调用量看，软件工程独占 49.7%，医疗、法律、教育等 16 个垂直行业各自份额均不超过 9%。值得注意的是，编程类 Agent 已占企业部门级 AI 支出的 55%（约 40 亿美元），超过其他所有用例之和；医疗是增速最快的纯垂直赛道（2025 年约 15 亿美元，较 2024 年的 4.5 亿美元接近三倍）（据 AgentMarketCap，2026年4月）。</w:t>
      </w:r>
    </w:p>
    <w:p w14:paraId="0000013A">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19" w:name="section-6-3"/>
      <w:r>
        <w:rPr>
          <w:rFonts w:hint="eastAsia" w:ascii="黑体" w:hAnsi="黑体" w:eastAsia="黑体" w:cs="黑体"/>
          <w:b w:val="1"/>
          <w:color w:val="1a237e"/>
          <w:sz w:val="22"/>
        </w:rPr>
        <w:t>6.3 按产品与部署模式</w:t>
      </w:r>
      <w:bookmarkEnd w:id="19"/>
    </w:p>
    <w:p w14:paraId="0000013B">
      <w:pPr>
        <w:spacing w:before="0" w:after="192" w:line="360"/>
        <w:ind w:left="0" w:right="0" w:firstLine="480"/>
        <w:jc w:val="both"/>
        <w:rPr>
          <w:color w:val="1a1a1a"/>
        </w:rPr>
      </w:pPr>
      <w:r>
        <w:rPr>
          <w:rFonts w:hint="eastAsia" w:ascii="宋体" w:hAnsi="宋体" w:eastAsia="宋体" w:cs="宋体"/>
          <w:color w:val="1a1a1a"/>
          <w:sz w:val="18"/>
        </w:rPr>
        <w:t>据 Globe Market Research（2026年）：单体智能体（Single-Agent）系统 2025 年占 65.3%，多智能体（Multi-Agent）架构占 34.7%，但多智能体系统预计以 48.5% 的复合增速成为增长最快的架构形态（MarketsandMarkets，2025年4月）；开箱即用型（Ready-to-deploy）Agent 占 69.7%，反映企业对快速部署的偏好；按部署模式，云端部署约占 61%，本地部署 27%，混合部署 12%，金融与政府机构更倾向本地或混合方案以保障数据安全（IIM，2026年）。</w:t>
      </w:r>
    </w:p>
    <w:p w14:paraId="0000013C">
      <w:pPr>
        <w:pStyle w:val="000008"/>
        <w:keepNext w:val="1"/>
        <w:keepLines w:val="1"/>
        <w:shd w:val="clear" w:fill="1a237e"/>
        <w:spacing w:before="288" w:beforeAutospacing="1" w:after="216" w:afterAutospacing="1" w:line="360"/>
        <w:ind w:left="0" w:right="0"/>
        <w:jc w:val="left"/>
        <w:outlineLvl w:val="0"/>
        <w:rPr>
          <w:color w:val="ffffff"/>
          <w:kern w:val="44"/>
          <w:sz w:val="44"/>
          <w:szCs w:val="44"/>
        </w:rPr>
      </w:pPr>
      <w:bookmarkStart w:id="20" w:name="section-7"/>
      <w:r>
        <w:rPr>
          <w:rFonts w:hint="eastAsia" w:ascii="黑体" w:hAnsi="黑体" w:eastAsia="黑体" w:cs="黑体"/>
          <w:b w:val="1"/>
          <w:color w:val="ffffff"/>
          <w:sz w:val="26"/>
        </w:rPr>
        <w:t>7. 中国市场格局</w:t>
      </w:r>
      <w:bookmarkEnd w:id="20"/>
    </w:p>
    <w:p w14:paraId="0000013D">
      <w:pPr>
        <w:spacing w:before="0" w:after="192" w:line="360"/>
        <w:ind w:left="0" w:right="0" w:firstLine="480"/>
        <w:jc w:val="both"/>
        <w:rPr>
          <w:color w:val="1a1a1a"/>
        </w:rPr>
      </w:pPr>
      <w:r>
        <w:rPr>
          <w:rFonts w:hint="eastAsia" w:ascii="宋体" w:hAnsi="宋体" w:eastAsia="宋体" w:cs="宋体"/>
          <w:color w:val="1a1a1a"/>
          <w:sz w:val="18"/>
        </w:rPr>
        <w:t>中国市场以领先全球的增速和独特的生态结构，成为全球智能体竞争的关键变量。本章从市场规模、综合平台、细分赛道三个层面呈现中国份额格局。</w:t>
      </w:r>
    </w:p>
    <w:p w14:paraId="0000013E">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21" w:name="section-7-1"/>
      <w:r>
        <w:rPr>
          <w:rFonts w:hint="eastAsia" w:ascii="黑体" w:hAnsi="黑体" w:eastAsia="黑体" w:cs="黑体"/>
          <w:b w:val="1"/>
          <w:color w:val="1a237e"/>
          <w:sz w:val="22"/>
        </w:rPr>
        <w:t>7.1 市场规模：增速领先全球</w:t>
      </w:r>
      <w:bookmarkEnd w:id="21"/>
    </w:p>
    <w:p w14:paraId="0000013F">
      <w:pPr>
        <w:spacing w:before="0" w:after="192" w:line="360"/>
        <w:ind w:left="0" w:right="0" w:firstLine="480"/>
        <w:jc w:val="both"/>
        <w:rPr>
          <w:color w:val="1a1a1a"/>
        </w:rPr>
      </w:pPr>
      <w:r>
        <w:rPr>
          <w:rFonts w:hint="eastAsia" w:ascii="宋体" w:hAnsi="宋体" w:eastAsia="宋体" w:cs="宋体"/>
          <w:color w:val="1a1a1a"/>
          <w:sz w:val="18"/>
        </w:rPr>
        <w:t>中国企业级智能体市场 2025 年规模约 190-232 亿元人民币（IDC、第一新声等机构口径），2026 年预计增至 449 亿元，2029 年预测从 3320 亿元到更高量级不等，年复合增长率普遍在 100% 以上。渗透率方面，中国工业企业智能体渗透率从 9.6% 飙升至 47.5%（2025-2026），增速显著快于全球平均水平。另据 IIM 宽口径测算，2026 年中国通用人工智能体规模约 203 亿美元，占全球总量的 35%（该口径含国内智能化总支出，引用时需注意与窄口径的差异）。</w:t>
      </w:r>
    </w:p>
    <w:p w14:paraId="00000140">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22" w:name="section-7-2"/>
      <w:r>
        <w:rPr>
          <w:rFonts w:hint="eastAsia" w:ascii="黑体" w:hAnsi="黑体" w:eastAsia="黑体" w:cs="黑体"/>
          <w:b w:val="1"/>
          <w:color w:val="1a237e"/>
          <w:sz w:val="22"/>
        </w:rPr>
        <w:t>7.2 综合平台份额：五大巨头分食半壁江山</w:t>
      </w:r>
      <w:bookmarkEnd w:id="22"/>
    </w:p>
    <w:p w14:paraId="00000141">
      <w:pPr>
        <w:spacing w:before="0" w:after="192" w:line="360"/>
        <w:ind w:left="0" w:right="0" w:firstLine="480"/>
        <w:jc w:val="both"/>
        <w:rPr>
          <w:color w:val="1a1a1a"/>
        </w:rPr>
      </w:pPr>
      <w:r>
        <w:rPr>
          <w:rFonts w:hint="eastAsia" w:ascii="宋体" w:hAnsi="宋体" w:eastAsia="宋体" w:cs="宋体"/>
          <w:b w:val="1"/>
          <w:color w:val="1a1a1a"/>
          <w:sz w:val="18"/>
        </w:rPr>
        <w:t>表8：中国 AI Agent 综合市场份额（IDC，2026年3月）</w:t>
      </w:r>
    </w:p>
    <w:tbl>
      <w:tblPr>
        <w:tblW w:w="8306" w:type="dxa"/>
        <w:shd w:color="1a1a1a"/>
        <w:tblLayout w:type="autofit"/>
        <w:tblCellMar>
          <w:top w:w="0" w:type="dxa"/>
          <w:left w:w="0" w:type="dxa"/>
          <w:bottom w:w="0" w:type="dxa"/>
          <w:right w:w="0" w:type="dxa"/>
        </w:tblCellMar>
      </w:tblPr>
      <w:tblGrid>
        <w:gridCol w:w="1661"/>
        <w:gridCol w:w="1661"/>
        <w:gridCol w:w="1661"/>
        <w:gridCol w:w="1661"/>
        <w:gridCol w:w="1661"/>
      </w:tblGrid>
      <w:tr>
        <w:trPr>
          <w:tblHeader w:val="1"/>
        </w:trPr>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42">
            <w:pPr>
              <w:jc w:val="left"/>
              <w:rPr>
                <w:b w:val="1"/>
                <w:bCs w:val="1"/>
                <w:color w:val="1a1a1a"/>
              </w:rPr>
            </w:pPr>
            <w:r>
              <w:rPr>
                <w:rFonts w:hint="eastAsia" w:ascii="宋体" w:hAnsi="宋体" w:eastAsia="宋体" w:cs="宋体"/>
                <w:b w:val="1"/>
                <w:color w:val="1a1a1a"/>
                <w:sz w:val="16"/>
              </w:rPr>
              <w:t>排名</w:t>
            </w:r>
          </w:p>
        </w:tc>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43">
            <w:pPr>
              <w:jc w:val="left"/>
              <w:rPr>
                <w:b w:val="1"/>
                <w:bCs w:val="1"/>
                <w:color w:val="1a1a1a"/>
              </w:rPr>
            </w:pPr>
            <w:r>
              <w:rPr>
                <w:rFonts w:hint="eastAsia" w:ascii="宋体" w:hAnsi="宋体" w:eastAsia="宋体" w:cs="宋体"/>
                <w:b w:val="1"/>
                <w:color w:val="1a1a1a"/>
                <w:sz w:val="16"/>
              </w:rPr>
              <w:t>厂商</w:t>
            </w:r>
          </w:p>
        </w:tc>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44">
            <w:pPr>
              <w:jc w:val="left"/>
              <w:rPr>
                <w:b w:val="1"/>
                <w:bCs w:val="1"/>
                <w:color w:val="1a1a1a"/>
              </w:rPr>
            </w:pPr>
            <w:r>
              <w:rPr>
                <w:rFonts w:hint="eastAsia" w:ascii="宋体" w:hAnsi="宋体" w:eastAsia="宋体" w:cs="宋体"/>
                <w:b w:val="1"/>
                <w:color w:val="1a1a1a"/>
                <w:sz w:val="16"/>
              </w:rPr>
              <w:t>份额</w:t>
            </w:r>
          </w:p>
        </w:tc>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45">
            <w:pPr>
              <w:jc w:val="left"/>
              <w:rPr>
                <w:b w:val="1"/>
                <w:bCs w:val="1"/>
                <w:color w:val="1a1a1a"/>
              </w:rPr>
            </w:pPr>
            <w:r>
              <w:rPr>
                <w:rFonts w:hint="eastAsia" w:ascii="宋体" w:hAnsi="宋体" w:eastAsia="宋体" w:cs="宋体"/>
                <w:b w:val="1"/>
                <w:color w:val="1a1a1a"/>
                <w:sz w:val="16"/>
              </w:rPr>
              <w:t>核心平台</w:t>
            </w:r>
          </w:p>
        </w:tc>
        <w:tc>
          <w:tcPr>
            <w:tcW w:w="1661"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46">
            <w:pPr>
              <w:jc w:val="left"/>
              <w:rPr>
                <w:b w:val="1"/>
                <w:bCs w:val="1"/>
                <w:color w:val="1a1a1a"/>
              </w:rPr>
            </w:pPr>
            <w:r>
              <w:rPr>
                <w:rFonts w:hint="eastAsia" w:ascii="宋体" w:hAnsi="宋体" w:eastAsia="宋体" w:cs="宋体"/>
                <w:b w:val="1"/>
                <w:color w:val="1a1a1a"/>
                <w:sz w:val="16"/>
              </w:rPr>
              <w:t>优势场景</w:t>
            </w:r>
          </w:p>
        </w:tc>
      </w:tr>
      <w:tr>
        <w:trPr/>
        <w:tc>
          <w:tcPr>
            <w:tcW w:w="1661" w:type="dxa"/>
            <w:tcBorders>
              <w:left w:val="none" w:sz="8"/>
              <w:right w:val="none" w:sz="8"/>
            </w:tcBorders>
            <w:tcMar>
              <w:top w:w="72" w:type="dxa"/>
              <w:left w:w="144" w:type="dxa"/>
              <w:bottom w:w="72" w:type="dxa"/>
              <w:right w:w="144" w:type="dxa"/>
            </w:tcMar>
            <w:vAlign w:val="center"/>
          </w:tcPr>
          <w:p w14:paraId="00000147">
            <w:pPr>
              <w:jc w:val="right"/>
              <w:rPr>
                <w:color w:val="1a1a1a"/>
              </w:rPr>
            </w:pPr>
            <w:r>
              <w:rPr>
                <w:rFonts w:ascii="Calibri" w:hAnsi="Calibri" w:eastAsia="Calibri" w:cs="Calibri"/>
                <w:color w:val="1a1a1a"/>
                <w:sz w:val="16"/>
              </w:rPr>
              <w:t>1</w:t>
            </w:r>
          </w:p>
        </w:tc>
        <w:tc>
          <w:tcPr>
            <w:tcW w:w="1661" w:type="dxa"/>
            <w:tcBorders>
              <w:left w:val="none" w:sz="8"/>
              <w:right w:val="none" w:sz="8"/>
            </w:tcBorders>
            <w:tcMar>
              <w:top w:w="72" w:type="dxa"/>
              <w:left w:w="144" w:type="dxa"/>
              <w:bottom w:w="72" w:type="dxa"/>
              <w:right w:w="144" w:type="dxa"/>
            </w:tcMar>
            <w:vAlign w:val="center"/>
          </w:tcPr>
          <w:p w14:paraId="00000148">
            <w:pPr>
              <w:jc w:val="left"/>
              <w:rPr>
                <w:color w:val="1a1a1a"/>
              </w:rPr>
            </w:pPr>
            <w:r>
              <w:rPr>
                <w:rFonts w:hint="eastAsia" w:ascii="宋体" w:hAnsi="宋体" w:eastAsia="宋体" w:cs="宋体"/>
                <w:color w:val="1a1a1a"/>
                <w:sz w:val="16"/>
              </w:rPr>
              <w:t>字节跳动</w:t>
            </w:r>
          </w:p>
        </w:tc>
        <w:tc>
          <w:tcPr>
            <w:tcW w:w="1661" w:type="dxa"/>
            <w:tcBorders>
              <w:left w:val="none" w:sz="8"/>
              <w:right w:val="none" w:sz="8"/>
            </w:tcBorders>
            <w:tcMar>
              <w:top w:w="72" w:type="dxa"/>
              <w:left w:w="144" w:type="dxa"/>
              <w:bottom w:w="72" w:type="dxa"/>
              <w:right w:w="144" w:type="dxa"/>
            </w:tcMar>
            <w:vAlign w:val="center"/>
          </w:tcPr>
          <w:p w14:paraId="00000149">
            <w:pPr>
              <w:jc w:val="right"/>
              <w:rPr>
                <w:color w:val="1a1a1a"/>
              </w:rPr>
            </w:pPr>
            <w:r>
              <w:rPr>
                <w:rFonts w:ascii="Calibri" w:hAnsi="Calibri" w:eastAsia="Calibri" w:cs="Calibri"/>
                <w:color w:val="1a1a1a"/>
                <w:sz w:val="16"/>
              </w:rPr>
              <w:t>18%</w:t>
            </w:r>
          </w:p>
        </w:tc>
        <w:tc>
          <w:tcPr>
            <w:tcW w:w="1661" w:type="dxa"/>
            <w:tcBorders>
              <w:left w:val="none" w:sz="8"/>
              <w:right w:val="none" w:sz="8"/>
            </w:tcBorders>
            <w:tcMar>
              <w:top w:w="72" w:type="dxa"/>
              <w:left w:w="144" w:type="dxa"/>
              <w:bottom w:w="72" w:type="dxa"/>
              <w:right w:w="144" w:type="dxa"/>
            </w:tcMar>
            <w:vAlign w:val="center"/>
          </w:tcPr>
          <w:p w14:paraId="0000014A">
            <w:pPr>
              <w:jc w:val="left"/>
              <w:rPr>
                <w:color w:val="1a1a1a"/>
              </w:rPr>
            </w:pPr>
            <w:r>
              <w:rPr>
                <w:rFonts w:hint="eastAsia" w:ascii="宋体" w:hAnsi="宋体" w:eastAsia="宋体" w:cs="宋体"/>
                <w:color w:val="1a1a1a"/>
                <w:sz w:val="16"/>
              </w:rPr>
              <w:t>豆包 + Coze 扣子</w:t>
            </w:r>
          </w:p>
        </w:tc>
        <w:tc>
          <w:tcPr>
            <w:tcW w:w="1661" w:type="dxa"/>
            <w:tcBorders>
              <w:left w:val="none" w:sz="8"/>
              <w:right w:val="none" w:sz="8"/>
            </w:tcBorders>
            <w:tcMar>
              <w:top w:w="72" w:type="dxa"/>
              <w:left w:w="144" w:type="dxa"/>
              <w:bottom w:w="72" w:type="dxa"/>
              <w:right w:w="144" w:type="dxa"/>
            </w:tcMar>
            <w:vAlign w:val="center"/>
          </w:tcPr>
          <w:p w14:paraId="0000014B">
            <w:pPr>
              <w:jc w:val="left"/>
              <w:rPr>
                <w:color w:val="1a1a1a"/>
              </w:rPr>
            </w:pPr>
            <w:r>
              <w:rPr>
                <w:rFonts w:hint="eastAsia" w:ascii="宋体" w:hAnsi="宋体" w:eastAsia="宋体" w:cs="宋体"/>
                <w:color w:val="1a1a1a"/>
                <w:sz w:val="16"/>
              </w:rPr>
              <w:t>C 端流量 + 低代码开发，生态最大</w:t>
            </w:r>
          </w:p>
        </w:tc>
      </w:tr>
      <w:tr>
        <w:trPr/>
        <w:tc>
          <w:tcPr>
            <w:tcW w:w="1661" w:type="dxa"/>
            <w:tcBorders>
              <w:left w:val="none" w:sz="8"/>
              <w:right w:val="none" w:sz="8"/>
            </w:tcBorders>
            <w:tcMar>
              <w:top w:w="72" w:type="dxa"/>
              <w:left w:w="144" w:type="dxa"/>
              <w:bottom w:w="72" w:type="dxa"/>
              <w:right w:w="144" w:type="dxa"/>
            </w:tcMar>
            <w:vAlign w:val="center"/>
          </w:tcPr>
          <w:p w14:paraId="0000014C">
            <w:pPr>
              <w:jc w:val="right"/>
              <w:rPr>
                <w:color w:val="1a1a1a"/>
              </w:rPr>
            </w:pPr>
            <w:r>
              <w:rPr>
                <w:rFonts w:ascii="Calibri" w:hAnsi="Calibri" w:eastAsia="Calibri" w:cs="Calibri"/>
                <w:color w:val="1a1a1a"/>
                <w:sz w:val="16"/>
              </w:rPr>
              <w:t>2</w:t>
            </w:r>
          </w:p>
        </w:tc>
        <w:tc>
          <w:tcPr>
            <w:tcW w:w="1661" w:type="dxa"/>
            <w:tcBorders>
              <w:left w:val="none" w:sz="8"/>
              <w:right w:val="none" w:sz="8"/>
            </w:tcBorders>
            <w:tcMar>
              <w:top w:w="72" w:type="dxa"/>
              <w:left w:w="144" w:type="dxa"/>
              <w:bottom w:w="72" w:type="dxa"/>
              <w:right w:w="144" w:type="dxa"/>
            </w:tcMar>
            <w:vAlign w:val="center"/>
          </w:tcPr>
          <w:p w14:paraId="0000014D">
            <w:pPr>
              <w:jc w:val="left"/>
              <w:rPr>
                <w:color w:val="1a1a1a"/>
              </w:rPr>
            </w:pPr>
            <w:r>
              <w:rPr>
                <w:rFonts w:hint="eastAsia" w:ascii="宋体" w:hAnsi="宋体" w:eastAsia="宋体" w:cs="宋体"/>
                <w:color w:val="1a1a1a"/>
                <w:sz w:val="16"/>
              </w:rPr>
              <w:t>百度</w:t>
            </w:r>
          </w:p>
        </w:tc>
        <w:tc>
          <w:tcPr>
            <w:tcW w:w="1661" w:type="dxa"/>
            <w:tcBorders>
              <w:left w:val="none" w:sz="8"/>
              <w:right w:val="none" w:sz="8"/>
            </w:tcBorders>
            <w:tcMar>
              <w:top w:w="72" w:type="dxa"/>
              <w:left w:w="144" w:type="dxa"/>
              <w:bottom w:w="72" w:type="dxa"/>
              <w:right w:w="144" w:type="dxa"/>
            </w:tcMar>
            <w:vAlign w:val="center"/>
          </w:tcPr>
          <w:p w14:paraId="0000014E">
            <w:pPr>
              <w:jc w:val="right"/>
              <w:rPr>
                <w:color w:val="1a1a1a"/>
              </w:rPr>
            </w:pPr>
            <w:r>
              <w:rPr>
                <w:rFonts w:ascii="Calibri" w:hAnsi="Calibri" w:eastAsia="Calibri" w:cs="Calibri"/>
                <w:color w:val="1a1a1a"/>
                <w:sz w:val="16"/>
              </w:rPr>
              <w:t>12%</w:t>
            </w:r>
          </w:p>
        </w:tc>
        <w:tc>
          <w:tcPr>
            <w:tcW w:w="1661" w:type="dxa"/>
            <w:tcBorders>
              <w:left w:val="none" w:sz="8"/>
              <w:right w:val="none" w:sz="8"/>
            </w:tcBorders>
            <w:tcMar>
              <w:top w:w="72" w:type="dxa"/>
              <w:left w:w="144" w:type="dxa"/>
              <w:bottom w:w="72" w:type="dxa"/>
              <w:right w:w="144" w:type="dxa"/>
            </w:tcMar>
            <w:vAlign w:val="center"/>
          </w:tcPr>
          <w:p w14:paraId="0000014F">
            <w:pPr>
              <w:jc w:val="left"/>
              <w:rPr>
                <w:color w:val="1a1a1a"/>
              </w:rPr>
            </w:pPr>
            <w:r>
              <w:rPr>
                <w:rFonts w:hint="eastAsia" w:ascii="宋体" w:hAnsi="宋体" w:eastAsia="宋体" w:cs="宋体"/>
                <w:color w:val="1a1a1a"/>
                <w:sz w:val="16"/>
              </w:rPr>
              <w:t>文心千帆 AgentBuilder</w:t>
            </w:r>
          </w:p>
        </w:tc>
        <w:tc>
          <w:tcPr>
            <w:tcW w:w="1661" w:type="dxa"/>
            <w:tcBorders>
              <w:left w:val="none" w:sz="8"/>
              <w:right w:val="none" w:sz="8"/>
            </w:tcBorders>
            <w:tcMar>
              <w:top w:w="72" w:type="dxa"/>
              <w:left w:w="144" w:type="dxa"/>
              <w:bottom w:w="72" w:type="dxa"/>
              <w:right w:w="144" w:type="dxa"/>
            </w:tcMar>
            <w:vAlign w:val="center"/>
          </w:tcPr>
          <w:p w14:paraId="00000150">
            <w:pPr>
              <w:jc w:val="left"/>
              <w:rPr>
                <w:color w:val="1a1a1a"/>
              </w:rPr>
            </w:pPr>
            <w:r>
              <w:rPr>
                <w:rFonts w:hint="eastAsia" w:ascii="宋体" w:hAnsi="宋体" w:eastAsia="宋体" w:cs="宋体"/>
                <w:color w:val="1a1a1a"/>
                <w:sz w:val="16"/>
              </w:rPr>
              <w:t>知识密集型场景、政企标杆</w:t>
            </w:r>
          </w:p>
        </w:tc>
      </w:tr>
      <w:tr>
        <w:trPr/>
        <w:tc>
          <w:tcPr>
            <w:tcW w:w="1661" w:type="dxa"/>
            <w:tcBorders>
              <w:left w:val="none" w:sz="8"/>
              <w:right w:val="none" w:sz="8"/>
            </w:tcBorders>
            <w:tcMar>
              <w:top w:w="72" w:type="dxa"/>
              <w:left w:w="144" w:type="dxa"/>
              <w:bottom w:w="72" w:type="dxa"/>
              <w:right w:w="144" w:type="dxa"/>
            </w:tcMar>
            <w:vAlign w:val="center"/>
          </w:tcPr>
          <w:p w14:paraId="00000151">
            <w:pPr>
              <w:jc w:val="right"/>
              <w:rPr>
                <w:color w:val="1a1a1a"/>
              </w:rPr>
            </w:pPr>
            <w:r>
              <w:rPr>
                <w:rFonts w:ascii="Calibri" w:hAnsi="Calibri" w:eastAsia="Calibri" w:cs="Calibri"/>
                <w:color w:val="1a1a1a"/>
                <w:sz w:val="16"/>
              </w:rPr>
              <w:t>3</w:t>
            </w:r>
          </w:p>
        </w:tc>
        <w:tc>
          <w:tcPr>
            <w:tcW w:w="1661" w:type="dxa"/>
            <w:tcBorders>
              <w:left w:val="none" w:sz="8"/>
              <w:right w:val="none" w:sz="8"/>
            </w:tcBorders>
            <w:tcMar>
              <w:top w:w="72" w:type="dxa"/>
              <w:left w:w="144" w:type="dxa"/>
              <w:bottom w:w="72" w:type="dxa"/>
              <w:right w:w="144" w:type="dxa"/>
            </w:tcMar>
            <w:vAlign w:val="center"/>
          </w:tcPr>
          <w:p w14:paraId="00000152">
            <w:pPr>
              <w:jc w:val="left"/>
              <w:rPr>
                <w:color w:val="1a1a1a"/>
              </w:rPr>
            </w:pPr>
            <w:r>
              <w:rPr>
                <w:rFonts w:hint="eastAsia" w:ascii="宋体" w:hAnsi="宋体" w:eastAsia="宋体" w:cs="宋体"/>
                <w:color w:val="1a1a1a"/>
                <w:sz w:val="16"/>
              </w:rPr>
              <w:t>阿里巴巴</w:t>
            </w:r>
          </w:p>
        </w:tc>
        <w:tc>
          <w:tcPr>
            <w:tcW w:w="1661" w:type="dxa"/>
            <w:tcBorders>
              <w:left w:val="none" w:sz="8"/>
              <w:right w:val="none" w:sz="8"/>
            </w:tcBorders>
            <w:tcMar>
              <w:top w:w="72" w:type="dxa"/>
              <w:left w:w="144" w:type="dxa"/>
              <w:bottom w:w="72" w:type="dxa"/>
              <w:right w:w="144" w:type="dxa"/>
            </w:tcMar>
            <w:vAlign w:val="center"/>
          </w:tcPr>
          <w:p w14:paraId="00000153">
            <w:pPr>
              <w:jc w:val="right"/>
              <w:rPr>
                <w:color w:val="1a1a1a"/>
              </w:rPr>
            </w:pPr>
            <w:r>
              <w:rPr>
                <w:rFonts w:ascii="Calibri" w:hAnsi="Calibri" w:eastAsia="Calibri" w:cs="Calibri"/>
                <w:color w:val="1a1a1a"/>
                <w:sz w:val="16"/>
              </w:rPr>
              <w:t>10%</w:t>
            </w:r>
          </w:p>
        </w:tc>
        <w:tc>
          <w:tcPr>
            <w:tcW w:w="1661" w:type="dxa"/>
            <w:tcBorders>
              <w:left w:val="none" w:sz="8"/>
              <w:right w:val="none" w:sz="8"/>
            </w:tcBorders>
            <w:tcMar>
              <w:top w:w="72" w:type="dxa"/>
              <w:left w:w="144" w:type="dxa"/>
              <w:bottom w:w="72" w:type="dxa"/>
              <w:right w:w="144" w:type="dxa"/>
            </w:tcMar>
            <w:vAlign w:val="center"/>
          </w:tcPr>
          <w:p w14:paraId="00000154">
            <w:pPr>
              <w:jc w:val="left"/>
              <w:rPr>
                <w:color w:val="1a1a1a"/>
              </w:rPr>
            </w:pPr>
            <w:r>
              <w:rPr>
                <w:rFonts w:hint="eastAsia" w:ascii="宋体" w:hAnsi="宋体" w:eastAsia="宋体" w:cs="宋体"/>
                <w:color w:val="1a1a1a"/>
                <w:sz w:val="16"/>
              </w:rPr>
              <w:t>通义百炼 + 钉钉 AI</w:t>
            </w:r>
          </w:p>
        </w:tc>
        <w:tc>
          <w:tcPr>
            <w:tcW w:w="1661" w:type="dxa"/>
            <w:tcBorders>
              <w:left w:val="none" w:sz="8"/>
              <w:right w:val="none" w:sz="8"/>
            </w:tcBorders>
            <w:tcMar>
              <w:top w:w="72" w:type="dxa"/>
              <w:left w:w="144" w:type="dxa"/>
              <w:bottom w:w="72" w:type="dxa"/>
              <w:right w:w="144" w:type="dxa"/>
            </w:tcMar>
            <w:vAlign w:val="center"/>
          </w:tcPr>
          <w:p w14:paraId="00000155">
            <w:pPr>
              <w:jc w:val="left"/>
              <w:rPr>
                <w:color w:val="1a1a1a"/>
              </w:rPr>
            </w:pPr>
            <w:r>
              <w:rPr>
                <w:rFonts w:hint="eastAsia" w:ascii="宋体" w:hAnsi="宋体" w:eastAsia="宋体" w:cs="宋体"/>
                <w:color w:val="1a1a1a"/>
                <w:sz w:val="16"/>
              </w:rPr>
              <w:t>电商零售、云钉一体</w:t>
            </w:r>
          </w:p>
        </w:tc>
      </w:tr>
      <w:tr>
        <w:trPr/>
        <w:tc>
          <w:tcPr>
            <w:tcW w:w="1661" w:type="dxa"/>
            <w:tcBorders>
              <w:left w:val="none" w:sz="8"/>
              <w:right w:val="none" w:sz="8"/>
            </w:tcBorders>
            <w:tcMar>
              <w:top w:w="72" w:type="dxa"/>
              <w:left w:w="144" w:type="dxa"/>
              <w:bottom w:w="72" w:type="dxa"/>
              <w:right w:w="144" w:type="dxa"/>
            </w:tcMar>
            <w:vAlign w:val="center"/>
          </w:tcPr>
          <w:p w14:paraId="00000156">
            <w:pPr>
              <w:jc w:val="right"/>
              <w:rPr>
                <w:color w:val="1a1a1a"/>
              </w:rPr>
            </w:pPr>
            <w:r>
              <w:rPr>
                <w:rFonts w:ascii="Calibri" w:hAnsi="Calibri" w:eastAsia="Calibri" w:cs="Calibri"/>
                <w:color w:val="1a1a1a"/>
                <w:sz w:val="16"/>
              </w:rPr>
              <w:t>4</w:t>
            </w:r>
          </w:p>
        </w:tc>
        <w:tc>
          <w:tcPr>
            <w:tcW w:w="1661" w:type="dxa"/>
            <w:tcBorders>
              <w:left w:val="none" w:sz="8"/>
              <w:right w:val="none" w:sz="8"/>
            </w:tcBorders>
            <w:tcMar>
              <w:top w:w="72" w:type="dxa"/>
              <w:left w:w="144" w:type="dxa"/>
              <w:bottom w:w="72" w:type="dxa"/>
              <w:right w:w="144" w:type="dxa"/>
            </w:tcMar>
            <w:vAlign w:val="center"/>
          </w:tcPr>
          <w:p w14:paraId="00000157">
            <w:pPr>
              <w:jc w:val="left"/>
              <w:rPr>
                <w:color w:val="1a1a1a"/>
              </w:rPr>
            </w:pPr>
            <w:r>
              <w:rPr>
                <w:rFonts w:hint="eastAsia" w:ascii="宋体" w:hAnsi="宋体" w:eastAsia="宋体" w:cs="宋体"/>
                <w:color w:val="1a1a1a"/>
                <w:sz w:val="16"/>
              </w:rPr>
              <w:t>腾讯</w:t>
            </w:r>
          </w:p>
        </w:tc>
        <w:tc>
          <w:tcPr>
            <w:tcW w:w="1661" w:type="dxa"/>
            <w:tcBorders>
              <w:left w:val="none" w:sz="8"/>
              <w:right w:val="none" w:sz="8"/>
            </w:tcBorders>
            <w:tcMar>
              <w:top w:w="72" w:type="dxa"/>
              <w:left w:w="144" w:type="dxa"/>
              <w:bottom w:w="72" w:type="dxa"/>
              <w:right w:w="144" w:type="dxa"/>
            </w:tcMar>
            <w:vAlign w:val="center"/>
          </w:tcPr>
          <w:p w14:paraId="00000158">
            <w:pPr>
              <w:jc w:val="right"/>
              <w:rPr>
                <w:color w:val="1a1a1a"/>
              </w:rPr>
            </w:pPr>
            <w:r>
              <w:rPr>
                <w:rFonts w:ascii="Calibri" w:hAnsi="Calibri" w:eastAsia="Calibri" w:cs="Calibri"/>
                <w:color w:val="1a1a1a"/>
                <w:sz w:val="16"/>
              </w:rPr>
              <w:t>10%</w:t>
            </w:r>
          </w:p>
        </w:tc>
        <w:tc>
          <w:tcPr>
            <w:tcW w:w="1661" w:type="dxa"/>
            <w:tcBorders>
              <w:left w:val="none" w:sz="8"/>
              <w:right w:val="none" w:sz="8"/>
            </w:tcBorders>
            <w:tcMar>
              <w:top w:w="72" w:type="dxa"/>
              <w:left w:w="144" w:type="dxa"/>
              <w:bottom w:w="72" w:type="dxa"/>
              <w:right w:w="144" w:type="dxa"/>
            </w:tcMar>
            <w:vAlign w:val="center"/>
          </w:tcPr>
          <w:p w14:paraId="00000159">
            <w:pPr>
              <w:jc w:val="left"/>
              <w:rPr>
                <w:color w:val="1a1a1a"/>
              </w:rPr>
            </w:pPr>
            <w:r>
              <w:rPr>
                <w:rFonts w:hint="eastAsia" w:ascii="宋体" w:hAnsi="宋体" w:eastAsia="宋体" w:cs="宋体"/>
                <w:color w:val="1a1a1a"/>
                <w:sz w:val="16"/>
              </w:rPr>
              <w:t>腾讯元器 + 混元</w:t>
            </w:r>
          </w:p>
        </w:tc>
        <w:tc>
          <w:tcPr>
            <w:tcW w:w="1661" w:type="dxa"/>
            <w:tcBorders>
              <w:left w:val="none" w:sz="8"/>
              <w:right w:val="none" w:sz="8"/>
            </w:tcBorders>
            <w:tcMar>
              <w:top w:w="72" w:type="dxa"/>
              <w:left w:w="144" w:type="dxa"/>
              <w:bottom w:w="72" w:type="dxa"/>
              <w:right w:w="144" w:type="dxa"/>
            </w:tcMar>
            <w:vAlign w:val="center"/>
          </w:tcPr>
          <w:p w14:paraId="0000015A">
            <w:pPr>
              <w:jc w:val="left"/>
              <w:rPr>
                <w:color w:val="1a1a1a"/>
              </w:rPr>
            </w:pPr>
            <w:r>
              <w:rPr>
                <w:rFonts w:hint="eastAsia" w:ascii="宋体" w:hAnsi="宋体" w:eastAsia="宋体" w:cs="宋体"/>
                <w:color w:val="1a1a1a"/>
                <w:sz w:val="16"/>
              </w:rPr>
              <w:t>微信生态分发</w:t>
            </w:r>
          </w:p>
        </w:tc>
      </w:tr>
      <w:tr>
        <w:trPr/>
        <w:tc>
          <w:tcPr>
            <w:tcW w:w="1661" w:type="dxa"/>
            <w:tcBorders>
              <w:left w:val="none" w:sz="8"/>
              <w:right w:val="none" w:sz="8"/>
            </w:tcBorders>
            <w:tcMar>
              <w:top w:w="72" w:type="dxa"/>
              <w:left w:w="144" w:type="dxa"/>
              <w:bottom w:w="72" w:type="dxa"/>
              <w:right w:w="144" w:type="dxa"/>
            </w:tcMar>
            <w:vAlign w:val="center"/>
          </w:tcPr>
          <w:p w14:paraId="0000015B">
            <w:pPr>
              <w:jc w:val="right"/>
              <w:rPr>
                <w:color w:val="1a1a1a"/>
              </w:rPr>
            </w:pPr>
            <w:r>
              <w:rPr>
                <w:rFonts w:ascii="Calibri" w:hAnsi="Calibri" w:eastAsia="Calibri" w:cs="Calibri"/>
                <w:color w:val="1a1a1a"/>
                <w:sz w:val="16"/>
              </w:rPr>
              <w:t>5</w:t>
            </w:r>
          </w:p>
        </w:tc>
        <w:tc>
          <w:tcPr>
            <w:tcW w:w="1661" w:type="dxa"/>
            <w:tcBorders>
              <w:left w:val="none" w:sz="8"/>
              <w:right w:val="none" w:sz="8"/>
            </w:tcBorders>
            <w:tcMar>
              <w:top w:w="72" w:type="dxa"/>
              <w:left w:w="144" w:type="dxa"/>
              <w:bottom w:w="72" w:type="dxa"/>
              <w:right w:w="144" w:type="dxa"/>
            </w:tcMar>
            <w:vAlign w:val="center"/>
          </w:tcPr>
          <w:p w14:paraId="0000015C">
            <w:pPr>
              <w:jc w:val="left"/>
              <w:rPr>
                <w:color w:val="1a1a1a"/>
              </w:rPr>
            </w:pPr>
            <w:r>
              <w:rPr>
                <w:rFonts w:hint="eastAsia" w:ascii="宋体" w:hAnsi="宋体" w:eastAsia="宋体" w:cs="宋体"/>
                <w:color w:val="1a1a1a"/>
                <w:sz w:val="16"/>
              </w:rPr>
              <w:t>华为</w:t>
            </w:r>
          </w:p>
        </w:tc>
        <w:tc>
          <w:tcPr>
            <w:tcW w:w="1661" w:type="dxa"/>
            <w:tcBorders>
              <w:left w:val="none" w:sz="8"/>
              <w:right w:val="none" w:sz="8"/>
            </w:tcBorders>
            <w:tcMar>
              <w:top w:w="72" w:type="dxa"/>
              <w:left w:w="144" w:type="dxa"/>
              <w:bottom w:w="72" w:type="dxa"/>
              <w:right w:w="144" w:type="dxa"/>
            </w:tcMar>
            <w:vAlign w:val="center"/>
          </w:tcPr>
          <w:p w14:paraId="0000015D">
            <w:pPr>
              <w:jc w:val="right"/>
              <w:rPr>
                <w:color w:val="1a1a1a"/>
              </w:rPr>
            </w:pPr>
            <w:r>
              <w:rPr>
                <w:rFonts w:ascii="Calibri" w:hAnsi="Calibri" w:eastAsia="Calibri" w:cs="Calibri"/>
                <w:color w:val="1a1a1a"/>
                <w:sz w:val="16"/>
              </w:rPr>
              <w:t>5%</w:t>
            </w:r>
          </w:p>
        </w:tc>
        <w:tc>
          <w:tcPr>
            <w:tcW w:w="1661" w:type="dxa"/>
            <w:tcBorders>
              <w:left w:val="none" w:sz="8"/>
              <w:right w:val="none" w:sz="8"/>
            </w:tcBorders>
            <w:tcMar>
              <w:top w:w="72" w:type="dxa"/>
              <w:left w:w="144" w:type="dxa"/>
              <w:bottom w:w="72" w:type="dxa"/>
              <w:right w:w="144" w:type="dxa"/>
            </w:tcMar>
            <w:vAlign w:val="center"/>
          </w:tcPr>
          <w:p w14:paraId="0000015E">
            <w:pPr>
              <w:jc w:val="left"/>
              <w:rPr>
                <w:color w:val="1a1a1a"/>
              </w:rPr>
            </w:pPr>
            <w:r>
              <w:rPr>
                <w:rFonts w:hint="eastAsia" w:ascii="宋体" w:hAnsi="宋体" w:eastAsia="宋体" w:cs="宋体"/>
                <w:color w:val="1a1a1a"/>
                <w:sz w:val="16"/>
              </w:rPr>
              <w:t>盘古 + 昇腾云</w:t>
            </w:r>
          </w:p>
        </w:tc>
        <w:tc>
          <w:tcPr>
            <w:tcW w:w="1661" w:type="dxa"/>
            <w:tcBorders>
              <w:left w:val="none" w:sz="8"/>
              <w:right w:val="none" w:sz="8"/>
            </w:tcBorders>
            <w:tcMar>
              <w:top w:w="72" w:type="dxa"/>
              <w:left w:w="144" w:type="dxa"/>
              <w:bottom w:w="72" w:type="dxa"/>
              <w:right w:w="144" w:type="dxa"/>
            </w:tcMar>
            <w:vAlign w:val="center"/>
          </w:tcPr>
          <w:p w14:paraId="0000015F">
            <w:pPr>
              <w:jc w:val="left"/>
              <w:rPr>
                <w:color w:val="1a1a1a"/>
              </w:rPr>
            </w:pPr>
            <w:r>
              <w:rPr>
                <w:rFonts w:hint="eastAsia" w:ascii="宋体" w:hAnsi="宋体" w:eastAsia="宋体" w:cs="宋体"/>
                <w:color w:val="1a1a1a"/>
                <w:sz w:val="16"/>
              </w:rPr>
              <w:t>政企、信创、工业</w:t>
            </w:r>
          </w:p>
        </w:tc>
      </w:tr>
      <w:tr>
        <w:trPr/>
        <w:tc>
          <w:tcPr>
            <w:tcW w:w="1661" w:type="dxa"/>
            <w:tcBorders>
              <w:left w:val="none" w:sz="8"/>
              <w:bottom w:val="single" w:color="1a1a1a" w:sz="12"/>
              <w:right w:val="none" w:sz="8"/>
            </w:tcBorders>
            <w:tcMar>
              <w:top w:w="72" w:type="dxa"/>
              <w:left w:w="144" w:type="dxa"/>
              <w:bottom w:w="72" w:type="dxa"/>
              <w:right w:w="144" w:type="dxa"/>
            </w:tcMar>
            <w:vAlign w:val="center"/>
          </w:tcPr>
          <w:p w14:paraId="00000160">
            <w:pPr>
              <w:jc w:val="right"/>
              <w:rPr>
                <w:color w:val="1a1a1a"/>
              </w:rPr>
            </w:pPr>
            <w:r>
              <w:rPr>
                <w:rFonts w:ascii="Calibri" w:hAnsi="Calibri" w:eastAsia="Calibri" w:cs="Calibri"/>
                <w:color w:val="1a1a1a"/>
                <w:sz w:val="16"/>
              </w:rPr>
              <w:t>—</w:t>
            </w:r>
          </w:p>
        </w:tc>
        <w:tc>
          <w:tcPr>
            <w:tcW w:w="1661" w:type="dxa"/>
            <w:tcBorders>
              <w:left w:val="none" w:sz="8"/>
              <w:bottom w:val="single" w:color="1a1a1a" w:sz="12"/>
              <w:right w:val="none" w:sz="8"/>
            </w:tcBorders>
            <w:tcMar>
              <w:top w:w="72" w:type="dxa"/>
              <w:left w:w="144" w:type="dxa"/>
              <w:bottom w:w="72" w:type="dxa"/>
              <w:right w:w="144" w:type="dxa"/>
            </w:tcMar>
            <w:vAlign w:val="center"/>
          </w:tcPr>
          <w:p w14:paraId="00000161">
            <w:pPr>
              <w:jc w:val="left"/>
              <w:rPr>
                <w:color w:val="1a1a1a"/>
              </w:rPr>
            </w:pPr>
            <w:r>
              <w:rPr>
                <w:rFonts w:ascii="宋体" w:hAnsi="宋体" w:eastAsia="宋体" w:cs="宋体"/>
                <w:color w:val="1a1a1a"/>
                <w:sz w:val="16"/>
              </w:rPr>
              <w:t>CR5</w:t>
            </w:r>
          </w:p>
        </w:tc>
        <w:tc>
          <w:tcPr>
            <w:tcW w:w="1661" w:type="dxa"/>
            <w:tcBorders>
              <w:left w:val="none" w:sz="8"/>
              <w:bottom w:val="single" w:color="1a1a1a" w:sz="12"/>
              <w:right w:val="none" w:sz="8"/>
            </w:tcBorders>
            <w:tcMar>
              <w:top w:w="72" w:type="dxa"/>
              <w:left w:w="144" w:type="dxa"/>
              <w:bottom w:w="72" w:type="dxa"/>
              <w:right w:w="144" w:type="dxa"/>
            </w:tcMar>
            <w:vAlign w:val="center"/>
          </w:tcPr>
          <w:p w14:paraId="00000162">
            <w:pPr>
              <w:jc w:val="right"/>
              <w:rPr>
                <w:color w:val="1a1a1a"/>
              </w:rPr>
            </w:pPr>
            <w:r>
              <w:rPr>
                <w:rFonts w:ascii="Calibri" w:hAnsi="Calibri" w:eastAsia="Calibri" w:cs="Calibri"/>
                <w:color w:val="1a1a1a"/>
                <w:sz w:val="16"/>
              </w:rPr>
              <w:t>55%</w:t>
            </w:r>
          </w:p>
        </w:tc>
        <w:tc>
          <w:tcPr>
            <w:tcW w:w="1661" w:type="dxa"/>
            <w:tcBorders>
              <w:left w:val="none" w:sz="8"/>
              <w:bottom w:val="single" w:color="1a1a1a" w:sz="12"/>
              <w:right w:val="none" w:sz="8"/>
            </w:tcBorders>
            <w:tcMar>
              <w:top w:w="72" w:type="dxa"/>
              <w:left w:w="144" w:type="dxa"/>
              <w:bottom w:w="72" w:type="dxa"/>
              <w:right w:w="144" w:type="dxa"/>
            </w:tcMar>
            <w:vAlign w:val="center"/>
          </w:tcPr>
          <w:p w14:paraId="00000163">
            <w:pPr>
              <w:jc w:val="left"/>
              <w:rPr>
                <w:color w:val="1a1a1a"/>
              </w:rPr>
            </w:pPr>
            <w:r>
              <w:rPr>
                <w:rFonts w:ascii="宋体" w:hAnsi="宋体" w:eastAsia="宋体" w:cs="宋体"/>
                <w:color w:val="1a1a1a"/>
                <w:sz w:val="16"/>
              </w:rPr>
              <w:t>—</w:t>
            </w:r>
          </w:p>
        </w:tc>
        <w:tc>
          <w:tcPr>
            <w:tcW w:w="1661" w:type="dxa"/>
            <w:tcBorders>
              <w:left w:val="none" w:sz="8"/>
              <w:bottom w:val="single" w:color="1a1a1a" w:sz="12"/>
              <w:right w:val="none" w:sz="8"/>
            </w:tcBorders>
            <w:tcMar>
              <w:top w:w="72" w:type="dxa"/>
              <w:left w:w="144" w:type="dxa"/>
              <w:bottom w:w="72" w:type="dxa"/>
              <w:right w:w="144" w:type="dxa"/>
            </w:tcMar>
            <w:vAlign w:val="center"/>
          </w:tcPr>
          <w:p w14:paraId="00000164">
            <w:pPr>
              <w:jc w:val="left"/>
              <w:rPr>
                <w:color w:val="1a1a1a"/>
              </w:rPr>
            </w:pPr>
            <w:r>
              <w:rPr>
                <w:rFonts w:hint="eastAsia" w:ascii="宋体" w:hAnsi="宋体" w:eastAsia="宋体" w:cs="宋体"/>
                <w:color w:val="1a1a1a"/>
                <w:sz w:val="16"/>
              </w:rPr>
              <w:t>头部通用平台垄断底层开发生态</w:t>
            </w:r>
          </w:p>
        </w:tc>
      </w:tr>
    </w:tbl>
    <w:p w14:paraId="00000165">
      <w:pPr>
        <w:spacing w:before="0" w:after="192" w:line="360"/>
        <w:ind w:left="0" w:right="0" w:firstLine="480"/>
        <w:jc w:val="both"/>
        <w:rPr>
          <w:color w:val="1a1a1a"/>
        </w:rPr>
      </w:pPr>
      <w:r>
        <w:rPr>
          <w:rFonts w:hint="eastAsia" w:ascii="宋体" w:hAnsi="宋体" w:eastAsia="宋体" w:cs="宋体"/>
          <w:color w:val="1a1a1a"/>
          <w:sz w:val="18"/>
        </w:rPr>
        <w:t>资料来源：据 IDC（2026年3月）中国 AI Agent 综合市场份额。</w:t>
      </w:r>
    </w:p>
    <w:p w14:paraId="00000166">
      <w:pPr>
        <w:spacing w:before="0" w:after="192" w:line="360"/>
        <w:ind w:left="0" w:right="0" w:firstLine="480"/>
        <w:jc w:val="both"/>
        <w:rPr>
          <w:color w:val="1a1a1a"/>
        </w:rPr>
      </w:pPr>
      <w:r>
        <w:rPr>
          <w:rFonts w:hint="eastAsia" w:ascii="宋体" w:hAnsi="宋体" w:eastAsia="宋体" w:cs="宋体"/>
          <w:color w:val="1a1a1a"/>
          <w:sz w:val="18"/>
        </w:rPr>
        <w:t>字节跳动暂居综合份额第一：Coze 平台 Web 端月活约 1500 万，开发者 300 万，企业客户 8 万家，插件生态 700+；豆包 C 端月活约 2.3 亿，飞书办公生态打通 B 端。百度千帆平台累计生成约 130 万家企业智能体、政企客户超 10 万家，深度适配信创国产化，在政务审批、法律合同审查等知识密集型场景领先。阿里通义千问以 32.1% 的份额位居中国企业级大模型调用量第一，百炼平台支持 A2A 多智能体互通与金融级私有 RAG。</w:t>
      </w:r>
    </w:p>
    <w:p w14:paraId="00000167">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23" w:name="section-7-3"/>
      <w:r>
        <w:rPr>
          <w:rFonts w:hint="eastAsia" w:ascii="黑体" w:hAnsi="黑体" w:eastAsia="黑体" w:cs="黑体"/>
          <w:b w:val="1"/>
          <w:color w:val="1a237e"/>
          <w:sz w:val="22"/>
        </w:rPr>
        <w:t>7.3 细分赛道：办公Agent三强格局</w:t>
      </w:r>
      <w:bookmarkEnd w:id="23"/>
    </w:p>
    <w:p w14:paraId="00000168">
      <w:pPr>
        <w:spacing w:before="0" w:after="192" w:line="360"/>
        <w:ind w:left="0" w:right="0" w:firstLine="480"/>
        <w:jc w:val="both"/>
        <w:rPr>
          <w:color w:val="1a1a1a"/>
        </w:rPr>
      </w:pPr>
      <w:r>
        <w:rPr>
          <w:rFonts w:hint="eastAsia" w:ascii="宋体" w:hAnsi="宋体" w:eastAsia="宋体" w:cs="宋体"/>
          <w:color w:val="1a1a1a"/>
          <w:sz w:val="18"/>
        </w:rPr>
        <w:t>办公 Agent 是 2026 年中国市场最炙手可热的赛道。据易观分析（2026年6月）桌面端访问量数据：</w:t>
      </w:r>
    </w:p>
    <w:p w14:paraId="00000169">
      <w:pPr>
        <w:spacing w:before="0" w:after="192" w:line="360"/>
        <w:ind w:left="0" w:right="0" w:firstLine="480"/>
        <w:jc w:val="both"/>
        <w:rPr>
          <w:color w:val="1a1a1a"/>
        </w:rPr>
      </w:pPr>
      <w:r>
        <w:rPr>
          <w:rFonts w:hint="eastAsia" w:ascii="宋体" w:hAnsi="宋体" w:eastAsia="宋体" w:cs="宋体"/>
          <w:b w:val="1"/>
          <w:color w:val="1a1a1a"/>
          <w:sz w:val="18"/>
        </w:rPr>
        <w:t>表9：中国办公 Agent 市场桌面端访问量份额（易观分析，2026年6月）</w:t>
      </w:r>
    </w:p>
    <w:tbl>
      <w:tblPr>
        <w:tblW w:w="8306" w:type="dxa"/>
        <w:shd w:color="1a1a1a"/>
        <w:tblLayout w:type="autofit"/>
        <w:tblCellMar>
          <w:top w:w="0" w:type="dxa"/>
          <w:left w:w="0" w:type="dxa"/>
          <w:bottom w:w="0" w:type="dxa"/>
          <w:right w:w="0" w:type="dxa"/>
        </w:tblCellMar>
      </w:tblPr>
      <w:tblGrid>
        <w:gridCol w:w="2076"/>
        <w:gridCol w:w="2076"/>
        <w:gridCol w:w="2076"/>
        <w:gridCol w:w="2076"/>
      </w:tblGrid>
      <w:tr>
        <w:trPr>
          <w:tblHeader w:val="1"/>
        </w:trPr>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6A">
            <w:pPr>
              <w:jc w:val="left"/>
              <w:rPr>
                <w:b w:val="1"/>
                <w:bCs w:val="1"/>
                <w:color w:val="1a1a1a"/>
              </w:rPr>
            </w:pPr>
            <w:r>
              <w:rPr>
                <w:rFonts w:hint="eastAsia" w:ascii="宋体" w:hAnsi="宋体" w:eastAsia="宋体" w:cs="宋体"/>
                <w:b w:val="1"/>
                <w:color w:val="1a1a1a"/>
                <w:sz w:val="16"/>
              </w:rPr>
              <w:t>阵营</w:t>
            </w:r>
          </w:p>
        </w:tc>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6B">
            <w:pPr>
              <w:jc w:val="left"/>
              <w:rPr>
                <w:b w:val="1"/>
                <w:bCs w:val="1"/>
                <w:color w:val="1a1a1a"/>
              </w:rPr>
            </w:pPr>
            <w:r>
              <w:rPr>
                <w:rFonts w:hint="eastAsia" w:ascii="宋体" w:hAnsi="宋体" w:eastAsia="宋体" w:cs="宋体"/>
                <w:b w:val="1"/>
                <w:color w:val="1a1a1a"/>
                <w:sz w:val="16"/>
              </w:rPr>
              <w:t>代表产品</w:t>
            </w:r>
          </w:p>
        </w:tc>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6C">
            <w:pPr>
              <w:jc w:val="left"/>
              <w:rPr>
                <w:b w:val="1"/>
                <w:bCs w:val="1"/>
                <w:color w:val="1a1a1a"/>
              </w:rPr>
            </w:pPr>
            <w:r>
              <w:rPr>
                <w:rFonts w:hint="eastAsia" w:ascii="宋体" w:hAnsi="宋体" w:eastAsia="宋体" w:cs="宋体"/>
                <w:b w:val="1"/>
                <w:color w:val="1a1a1a"/>
                <w:sz w:val="16"/>
              </w:rPr>
              <w:t>月访问量</w:t>
            </w:r>
          </w:p>
        </w:tc>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6D">
            <w:pPr>
              <w:jc w:val="left"/>
              <w:rPr>
                <w:b w:val="1"/>
                <w:bCs w:val="1"/>
                <w:color w:val="1a1a1a"/>
              </w:rPr>
            </w:pPr>
            <w:r>
              <w:rPr>
                <w:rFonts w:hint="eastAsia" w:ascii="宋体" w:hAnsi="宋体" w:eastAsia="宋体" w:cs="宋体"/>
                <w:b w:val="1"/>
                <w:color w:val="1a1a1a"/>
                <w:sz w:val="16"/>
              </w:rPr>
              <w:t>份额</w:t>
            </w:r>
          </w:p>
        </w:tc>
      </w:tr>
      <w:tr>
        <w:trPr/>
        <w:tc>
          <w:tcPr>
            <w:tcW w:w="2076" w:type="dxa"/>
            <w:tcBorders>
              <w:left w:val="none" w:sz="8"/>
              <w:right w:val="none" w:sz="8"/>
            </w:tcBorders>
            <w:tcMar>
              <w:top w:w="72" w:type="dxa"/>
              <w:left w:w="144" w:type="dxa"/>
              <w:bottom w:w="72" w:type="dxa"/>
              <w:right w:w="144" w:type="dxa"/>
            </w:tcMar>
            <w:vAlign w:val="center"/>
          </w:tcPr>
          <w:p w14:paraId="0000016E">
            <w:pPr>
              <w:jc w:val="left"/>
              <w:rPr>
                <w:color w:val="1a1a1a"/>
              </w:rPr>
            </w:pPr>
            <w:r>
              <w:rPr>
                <w:rFonts w:hint="eastAsia" w:ascii="宋体" w:hAnsi="宋体" w:eastAsia="宋体" w:cs="宋体"/>
                <w:color w:val="1a1a1a"/>
                <w:sz w:val="16"/>
              </w:rPr>
              <w:t>腾讯系</w:t>
            </w:r>
          </w:p>
        </w:tc>
        <w:tc>
          <w:tcPr>
            <w:tcW w:w="2076" w:type="dxa"/>
            <w:tcBorders>
              <w:left w:val="none" w:sz="8"/>
              <w:right w:val="none" w:sz="8"/>
            </w:tcBorders>
            <w:tcMar>
              <w:top w:w="72" w:type="dxa"/>
              <w:left w:w="144" w:type="dxa"/>
              <w:bottom w:w="72" w:type="dxa"/>
              <w:right w:w="144" w:type="dxa"/>
            </w:tcMar>
            <w:vAlign w:val="center"/>
          </w:tcPr>
          <w:p w14:paraId="0000016F">
            <w:pPr>
              <w:jc w:val="left"/>
              <w:rPr>
                <w:color w:val="1a1a1a"/>
              </w:rPr>
            </w:pPr>
            <w:r>
              <w:rPr>
                <w:rFonts w:ascii="宋体" w:hAnsi="宋体" w:eastAsia="宋体" w:cs="宋体"/>
                <w:color w:val="1a1a1a"/>
                <w:sz w:val="16"/>
              </w:rPr>
              <w:t>WorkBuddy + CodeBuddy + QClaw + Marvis</w:t>
            </w:r>
          </w:p>
        </w:tc>
        <w:tc>
          <w:tcPr>
            <w:tcW w:w="2076" w:type="dxa"/>
            <w:tcBorders>
              <w:left w:val="none" w:sz="8"/>
              <w:right w:val="none" w:sz="8"/>
            </w:tcBorders>
            <w:tcMar>
              <w:top w:w="72" w:type="dxa"/>
              <w:left w:w="144" w:type="dxa"/>
              <w:bottom w:w="72" w:type="dxa"/>
              <w:right w:w="144" w:type="dxa"/>
            </w:tcMar>
            <w:vAlign w:val="center"/>
          </w:tcPr>
          <w:p w14:paraId="00000170">
            <w:pPr>
              <w:jc w:val="right"/>
              <w:rPr>
                <w:color w:val="1a1a1a"/>
              </w:rPr>
            </w:pPr>
            <w:r>
              <w:rPr>
                <w:rFonts w:hint="eastAsia" w:ascii="Calibri" w:hAnsi="Calibri" w:eastAsia="Calibri" w:cs="Calibri"/>
                <w:color w:val="1a1a1a"/>
                <w:sz w:val="16"/>
              </w:rPr>
              <w:t>3262 万次</w:t>
            </w:r>
          </w:p>
        </w:tc>
        <w:tc>
          <w:tcPr>
            <w:tcW w:w="2076" w:type="dxa"/>
            <w:tcBorders>
              <w:left w:val="none" w:sz="8"/>
              <w:right w:val="none" w:sz="8"/>
            </w:tcBorders>
            <w:tcMar>
              <w:top w:w="72" w:type="dxa"/>
              <w:left w:w="144" w:type="dxa"/>
              <w:bottom w:w="72" w:type="dxa"/>
              <w:right w:w="144" w:type="dxa"/>
            </w:tcMar>
            <w:vAlign w:val="center"/>
          </w:tcPr>
          <w:p w14:paraId="00000171">
            <w:pPr>
              <w:jc w:val="right"/>
              <w:rPr>
                <w:color w:val="1a1a1a"/>
              </w:rPr>
            </w:pPr>
            <w:r>
              <w:rPr>
                <w:rFonts w:ascii="Calibri" w:hAnsi="Calibri" w:eastAsia="Calibri" w:cs="Calibri"/>
                <w:color w:val="1a1a1a"/>
                <w:sz w:val="16"/>
              </w:rPr>
              <w:t>53.8%</w:t>
            </w:r>
          </w:p>
        </w:tc>
      </w:tr>
      <w:tr>
        <w:trPr/>
        <w:tc>
          <w:tcPr>
            <w:tcW w:w="2076" w:type="dxa"/>
            <w:tcBorders>
              <w:left w:val="none" w:sz="8"/>
              <w:right w:val="none" w:sz="8"/>
            </w:tcBorders>
            <w:tcMar>
              <w:top w:w="72" w:type="dxa"/>
              <w:left w:w="144" w:type="dxa"/>
              <w:bottom w:w="72" w:type="dxa"/>
              <w:right w:w="144" w:type="dxa"/>
            </w:tcMar>
            <w:vAlign w:val="center"/>
          </w:tcPr>
          <w:p w14:paraId="00000172">
            <w:pPr>
              <w:jc w:val="left"/>
              <w:rPr>
                <w:color w:val="1a1a1a"/>
              </w:rPr>
            </w:pPr>
            <w:r>
              <w:rPr>
                <w:rFonts w:hint="eastAsia" w:ascii="宋体" w:hAnsi="宋体" w:eastAsia="宋体" w:cs="宋体"/>
                <w:color w:val="1a1a1a"/>
                <w:sz w:val="16"/>
              </w:rPr>
              <w:t>字节系</w:t>
            </w:r>
          </w:p>
        </w:tc>
        <w:tc>
          <w:tcPr>
            <w:tcW w:w="2076" w:type="dxa"/>
            <w:tcBorders>
              <w:left w:val="none" w:sz="8"/>
              <w:right w:val="none" w:sz="8"/>
            </w:tcBorders>
            <w:tcMar>
              <w:top w:w="72" w:type="dxa"/>
              <w:left w:w="144" w:type="dxa"/>
              <w:bottom w:w="72" w:type="dxa"/>
              <w:right w:w="144" w:type="dxa"/>
            </w:tcMar>
            <w:vAlign w:val="center"/>
          </w:tcPr>
          <w:p w14:paraId="00000173">
            <w:pPr>
              <w:jc w:val="left"/>
              <w:rPr>
                <w:color w:val="1a1a1a"/>
              </w:rPr>
            </w:pPr>
            <w:r>
              <w:rPr>
                <w:rFonts w:hint="eastAsia" w:ascii="宋体" w:hAnsi="宋体" w:eastAsia="宋体" w:cs="宋体"/>
                <w:color w:val="1a1a1a"/>
                <w:sz w:val="16"/>
              </w:rPr>
              <w:t>TRAE IDE + 扣子</w:t>
            </w:r>
          </w:p>
        </w:tc>
        <w:tc>
          <w:tcPr>
            <w:tcW w:w="2076" w:type="dxa"/>
            <w:tcBorders>
              <w:left w:val="none" w:sz="8"/>
              <w:right w:val="none" w:sz="8"/>
            </w:tcBorders>
            <w:tcMar>
              <w:top w:w="72" w:type="dxa"/>
              <w:left w:w="144" w:type="dxa"/>
              <w:bottom w:w="72" w:type="dxa"/>
              <w:right w:w="144" w:type="dxa"/>
            </w:tcMar>
            <w:vAlign w:val="center"/>
          </w:tcPr>
          <w:p w14:paraId="00000174">
            <w:pPr>
              <w:jc w:val="right"/>
              <w:rPr>
                <w:color w:val="1a1a1a"/>
              </w:rPr>
            </w:pPr>
            <w:r>
              <w:rPr>
                <w:rFonts w:hint="eastAsia" w:ascii="Calibri" w:hAnsi="Calibri" w:eastAsia="Calibri" w:cs="Calibri"/>
                <w:color w:val="1a1a1a"/>
                <w:sz w:val="16"/>
              </w:rPr>
              <w:t>1441 万次</w:t>
            </w:r>
          </w:p>
        </w:tc>
        <w:tc>
          <w:tcPr>
            <w:tcW w:w="2076" w:type="dxa"/>
            <w:tcBorders>
              <w:left w:val="none" w:sz="8"/>
              <w:right w:val="none" w:sz="8"/>
            </w:tcBorders>
            <w:tcMar>
              <w:top w:w="72" w:type="dxa"/>
              <w:left w:w="144" w:type="dxa"/>
              <w:bottom w:w="72" w:type="dxa"/>
              <w:right w:w="144" w:type="dxa"/>
            </w:tcMar>
            <w:vAlign w:val="center"/>
          </w:tcPr>
          <w:p w14:paraId="00000175">
            <w:pPr>
              <w:jc w:val="right"/>
              <w:rPr>
                <w:color w:val="1a1a1a"/>
              </w:rPr>
            </w:pPr>
            <w:r>
              <w:rPr>
                <w:rFonts w:ascii="Calibri" w:hAnsi="Calibri" w:eastAsia="Calibri" w:cs="Calibri"/>
                <w:color w:val="1a1a1a"/>
                <w:sz w:val="16"/>
              </w:rPr>
              <w:t>23.8%</w:t>
            </w:r>
          </w:p>
        </w:tc>
      </w:tr>
      <w:tr>
        <w:trPr/>
        <w:tc>
          <w:tcPr>
            <w:tcW w:w="2076" w:type="dxa"/>
            <w:tcBorders>
              <w:left w:val="none" w:sz="8"/>
              <w:bottom w:val="single" w:color="1a1a1a" w:sz="12"/>
              <w:right w:val="none" w:sz="8"/>
            </w:tcBorders>
            <w:tcMar>
              <w:top w:w="72" w:type="dxa"/>
              <w:left w:w="144" w:type="dxa"/>
              <w:bottom w:w="72" w:type="dxa"/>
              <w:right w:w="144" w:type="dxa"/>
            </w:tcMar>
            <w:vAlign w:val="center"/>
          </w:tcPr>
          <w:p w14:paraId="00000176">
            <w:pPr>
              <w:jc w:val="left"/>
              <w:rPr>
                <w:color w:val="1a1a1a"/>
              </w:rPr>
            </w:pPr>
            <w:r>
              <w:rPr>
                <w:rFonts w:hint="eastAsia" w:ascii="宋体" w:hAnsi="宋体" w:eastAsia="宋体" w:cs="宋体"/>
                <w:color w:val="1a1a1a"/>
                <w:sz w:val="16"/>
              </w:rPr>
              <w:t>阿里系</w:t>
            </w:r>
          </w:p>
        </w:tc>
        <w:tc>
          <w:tcPr>
            <w:tcW w:w="2076" w:type="dxa"/>
            <w:tcBorders>
              <w:left w:val="none" w:sz="8"/>
              <w:bottom w:val="single" w:color="1a1a1a" w:sz="12"/>
              <w:right w:val="none" w:sz="8"/>
            </w:tcBorders>
            <w:tcMar>
              <w:top w:w="72" w:type="dxa"/>
              <w:left w:w="144" w:type="dxa"/>
              <w:bottom w:w="72" w:type="dxa"/>
              <w:right w:w="144" w:type="dxa"/>
            </w:tcMar>
            <w:vAlign w:val="center"/>
          </w:tcPr>
          <w:p w14:paraId="00000177">
            <w:pPr>
              <w:jc w:val="left"/>
              <w:rPr>
                <w:color w:val="1a1a1a"/>
              </w:rPr>
            </w:pPr>
            <w:r>
              <w:rPr>
                <w:rFonts w:hint="eastAsia" w:ascii="宋体" w:hAnsi="宋体" w:eastAsia="宋体" w:cs="宋体"/>
                <w:color w:val="1a1a1a"/>
                <w:sz w:val="16"/>
              </w:rPr>
              <w:t>QoderWork + 悟空</w:t>
            </w:r>
          </w:p>
        </w:tc>
        <w:tc>
          <w:tcPr>
            <w:tcW w:w="2076" w:type="dxa"/>
            <w:tcBorders>
              <w:left w:val="none" w:sz="8"/>
              <w:bottom w:val="single" w:color="1a1a1a" w:sz="12"/>
              <w:right w:val="none" w:sz="8"/>
            </w:tcBorders>
            <w:tcMar>
              <w:top w:w="72" w:type="dxa"/>
              <w:left w:w="144" w:type="dxa"/>
              <w:bottom w:w="72" w:type="dxa"/>
              <w:right w:w="144" w:type="dxa"/>
            </w:tcMar>
            <w:vAlign w:val="center"/>
          </w:tcPr>
          <w:p w14:paraId="00000178">
            <w:pPr>
              <w:jc w:val="right"/>
              <w:rPr>
                <w:color w:val="1a1a1a"/>
              </w:rPr>
            </w:pPr>
            <w:r>
              <w:rPr>
                <w:rFonts w:hint="eastAsia" w:ascii="Calibri" w:hAnsi="Calibri" w:eastAsia="Calibri" w:cs="Calibri"/>
                <w:color w:val="1a1a1a"/>
                <w:sz w:val="16"/>
              </w:rPr>
              <w:t>919 万次</w:t>
            </w:r>
          </w:p>
        </w:tc>
        <w:tc>
          <w:tcPr>
            <w:tcW w:w="2076" w:type="dxa"/>
            <w:tcBorders>
              <w:left w:val="none" w:sz="8"/>
              <w:bottom w:val="single" w:color="1a1a1a" w:sz="12"/>
              <w:right w:val="none" w:sz="8"/>
            </w:tcBorders>
            <w:tcMar>
              <w:top w:w="72" w:type="dxa"/>
              <w:left w:w="144" w:type="dxa"/>
              <w:bottom w:w="72" w:type="dxa"/>
              <w:right w:w="144" w:type="dxa"/>
            </w:tcMar>
            <w:vAlign w:val="center"/>
          </w:tcPr>
          <w:p w14:paraId="00000179">
            <w:pPr>
              <w:jc w:val="right"/>
              <w:rPr>
                <w:color w:val="1a1a1a"/>
              </w:rPr>
            </w:pPr>
            <w:r>
              <w:rPr>
                <w:rFonts w:ascii="Calibri" w:hAnsi="Calibri" w:eastAsia="Calibri" w:cs="Calibri"/>
                <w:color w:val="1a1a1a"/>
                <w:sz w:val="16"/>
              </w:rPr>
              <w:t>15.2%</w:t>
            </w:r>
          </w:p>
        </w:tc>
      </w:tr>
    </w:tbl>
    <w:p w14:paraId="0000017A">
      <w:pPr>
        <w:spacing w:before="0" w:after="192" w:line="360"/>
        <w:ind w:left="0" w:right="0" w:firstLine="480"/>
        <w:jc w:val="both"/>
        <w:rPr>
          <w:color w:val="1a1a1a"/>
        </w:rPr>
      </w:pPr>
      <w:r>
        <w:rPr>
          <w:rFonts w:hint="eastAsia" w:ascii="宋体" w:hAnsi="宋体" w:eastAsia="宋体" w:cs="宋体"/>
          <w:color w:val="1a1a1a"/>
          <w:sz w:val="18"/>
        </w:rPr>
        <w:t>资料来源：据易观分析（2026年6月）桌面端访问量统计。</w:t>
      </w:r>
    </w:p>
    <w:p w14:paraId="0000017B">
      <w:pPr>
        <w:spacing w:before="0" w:after="192" w:line="360"/>
        <w:ind w:left="0" w:right="0" w:firstLine="480"/>
        <w:jc w:val="both"/>
        <w:rPr>
          <w:color w:val="1a1a1a"/>
        </w:rPr>
      </w:pPr>
      <w:r>
        <w:rPr>
          <w:rFonts w:hint="eastAsia" w:ascii="宋体" w:hAnsi="宋体" w:eastAsia="宋体" w:cs="宋体"/>
          <w:color w:val="1a1a1a"/>
          <w:sz w:val="18"/>
        </w:rPr>
        <w:t>2026 年 7 月底至 8 月初，字节、阿里、腾讯在一周内相继对 AI 办公业务线进行大规模组织与产品调整——字节将飞书拆解并入豆包与火山，阿里将三款 Agent 合并为"千问办公"，腾讯将 QClaw 并入 WorkBuddy 部门——标志着办公入口之争进入白热化阶段。</w:t>
      </w:r>
    </w:p>
    <w:p w14:paraId="0000017C">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24" w:name="section-7-4"/>
      <w:r>
        <w:rPr>
          <w:rFonts w:hint="eastAsia" w:ascii="黑体" w:hAnsi="黑体" w:eastAsia="黑体" w:cs="黑体"/>
          <w:b w:val="1"/>
          <w:color w:val="1a237e"/>
          <w:sz w:val="22"/>
        </w:rPr>
        <w:t>7.4 细分赛道：私有化部署市场</w:t>
      </w:r>
      <w:bookmarkEnd w:id="24"/>
    </w:p>
    <w:p w14:paraId="0000017D">
      <w:pPr>
        <w:spacing w:before="0" w:after="192" w:line="360"/>
        <w:ind w:left="0" w:right="0" w:firstLine="480"/>
        <w:jc w:val="both"/>
        <w:rPr>
          <w:color w:val="1a1a1a"/>
        </w:rPr>
      </w:pPr>
      <w:r>
        <w:rPr>
          <w:rFonts w:hint="eastAsia" w:ascii="宋体" w:hAnsi="宋体" w:eastAsia="宋体" w:cs="宋体"/>
          <w:color w:val="1a1a1a"/>
          <w:sz w:val="18"/>
        </w:rPr>
        <w:t>私有化部署是企业级市场的硬门槛（信创兼容、幻觉控制、数据安全）。中国智能体开发平台私有化市场 2026 年收入约 17.5 亿元，火山引擎、腾讯云、阿里云主导前三；其中字节扣子以 17.8% 的私有化份额领跑（IIM，2026年）。云基础设施侧，阿里云以 35.8% 份额居中国 AI 云市场第一，腾讯云（约 12%）、火山引擎（约 10%）、百度云（约 9%）、京东云（约 4%）分列其后（据 China Briefing，2026年）。</w:t>
      </w:r>
    </w:p>
    <w:p w14:paraId="0000017E">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25" w:name="section-7-5"/>
      <w:r>
        <w:rPr>
          <w:rFonts w:hint="eastAsia" w:ascii="黑体" w:hAnsi="黑体" w:eastAsia="黑体" w:cs="黑体"/>
          <w:b w:val="1"/>
          <w:color w:val="1a237e"/>
          <w:sz w:val="22"/>
        </w:rPr>
        <w:t>7.5 中国市场的结构性特征</w:t>
      </w:r>
      <w:bookmarkEnd w:id="25"/>
    </w:p>
    <w:p w14:paraId="0000017F">
      <w:pPr>
        <w:spacing w:before="0" w:after="192" w:line="360"/>
        <w:ind w:left="0" w:right="0" w:firstLine="480"/>
        <w:jc w:val="both"/>
        <w:rPr>
          <w:color w:val="1a1a1a"/>
        </w:rPr>
      </w:pPr>
      <w:r>
        <w:rPr>
          <w:rFonts w:hint="eastAsia" w:ascii="宋体" w:hAnsi="宋体" w:eastAsia="宋体" w:cs="宋体"/>
          <w:color w:val="1a1a1a"/>
          <w:sz w:val="18"/>
        </w:rPr>
        <w:t>中国 AI 智能体市场呈现"科技巨头主导、垂直厂商深耕、创业公司突围"的三层结构：巨头阵营（百度、阿里、腾讯、字节等）占据超过 80% 的市场份额，集中度 CR4 约 78%；科大讯飞（AstronClaw 智能体矩阵）、用友网络（BIP 智能体平台，接入 4000 个企业级应用 API）、明略科技（服务 135 家世界 500 强）等构成垂直深耕阵营；中国 AI 智能体相关服务商总数已突破 300 家。政策端，2026 年工信部集中发布 6 项智能体行业标准，多智能体协同与智能体互联的标准化框架首次成形，为市场规范化奠定基础。</w:t>
      </w:r>
    </w:p>
    <w:p w14:paraId="00000180">
      <w:pPr>
        <w:pStyle w:val="000008"/>
        <w:keepNext w:val="1"/>
        <w:keepLines w:val="1"/>
        <w:shd w:val="clear" w:fill="1a237e"/>
        <w:spacing w:before="288" w:beforeAutospacing="1" w:after="216" w:afterAutospacing="1" w:line="360"/>
        <w:ind w:left="0" w:right="0"/>
        <w:jc w:val="left"/>
        <w:outlineLvl w:val="0"/>
        <w:rPr>
          <w:color w:val="ffffff"/>
          <w:kern w:val="44"/>
          <w:sz w:val="44"/>
          <w:szCs w:val="44"/>
        </w:rPr>
      </w:pPr>
      <w:bookmarkStart w:id="26" w:name="section-8"/>
      <w:r>
        <w:rPr>
          <w:rFonts w:hint="eastAsia" w:ascii="黑体" w:hAnsi="黑体" w:eastAsia="黑体" w:cs="黑体"/>
          <w:b w:val="1"/>
          <w:color w:val="ffffff"/>
          <w:sz w:val="26"/>
        </w:rPr>
        <w:t>8. 产业链价值分布</w:t>
      </w:r>
      <w:bookmarkEnd w:id="26"/>
    </w:p>
    <w:p w14:paraId="00000181">
      <w:pPr>
        <w:spacing w:before="0" w:after="192" w:line="360"/>
        <w:ind w:left="0" w:right="0" w:firstLine="480"/>
        <w:jc w:val="both"/>
        <w:rPr>
          <w:color w:val="1a1a1a"/>
        </w:rPr>
      </w:pPr>
      <w:r>
        <w:rPr>
          <w:rFonts w:hint="eastAsia" w:ascii="宋体" w:hAnsi="宋体" w:eastAsia="宋体" w:cs="宋体"/>
          <w:color w:val="1a1a1a"/>
          <w:sz w:val="18"/>
        </w:rPr>
        <w:t>智能体产业链可分为三层，价值量与壁垒沿层递增后再分配：</w:t>
      </w:r>
    </w:p>
    <w:p w14:paraId="00000182">
      <w:pPr>
        <w:spacing w:before="0" w:after="192" w:line="360"/>
        <w:ind w:left="0" w:right="0" w:firstLine="480"/>
        <w:jc w:val="both"/>
        <w:rPr>
          <w:color w:val="1a1a1a"/>
        </w:rPr>
      </w:pPr>
      <w:r>
        <w:rPr>
          <w:rFonts w:hint="eastAsia" w:ascii="宋体" w:hAnsi="宋体" w:eastAsia="宋体" w:cs="宋体"/>
          <w:b w:val="1"/>
          <w:color w:val="1a1a1a"/>
          <w:sz w:val="18"/>
        </w:rPr>
        <w:t>表10：AI 智能体产业链结构与价值分布</w:t>
      </w:r>
    </w:p>
    <w:tbl>
      <w:tblPr>
        <w:tblW w:w="8306" w:type="dxa"/>
        <w:shd w:color="1a1a1a"/>
        <w:tblLayout w:type="autofit"/>
        <w:tblCellMar>
          <w:top w:w="0" w:type="dxa"/>
          <w:left w:w="0" w:type="dxa"/>
          <w:bottom w:w="0" w:type="dxa"/>
          <w:right w:w="0" w:type="dxa"/>
        </w:tblCellMar>
      </w:tblPr>
      <w:tblGrid>
        <w:gridCol w:w="2076"/>
        <w:gridCol w:w="2076"/>
        <w:gridCol w:w="2076"/>
        <w:gridCol w:w="2076"/>
      </w:tblGrid>
      <w:tr>
        <w:trPr>
          <w:tblHeader w:val="1"/>
        </w:trPr>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83">
            <w:pPr>
              <w:jc w:val="left"/>
              <w:rPr>
                <w:b w:val="1"/>
                <w:bCs w:val="1"/>
                <w:color w:val="1a1a1a"/>
              </w:rPr>
            </w:pPr>
            <w:r>
              <w:rPr>
                <w:rFonts w:hint="eastAsia" w:ascii="宋体" w:hAnsi="宋体" w:eastAsia="宋体" w:cs="宋体"/>
                <w:b w:val="1"/>
                <w:color w:val="1a1a1a"/>
                <w:sz w:val="16"/>
              </w:rPr>
              <w:t>层级</w:t>
            </w:r>
          </w:p>
        </w:tc>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84">
            <w:pPr>
              <w:jc w:val="left"/>
              <w:rPr>
                <w:b w:val="1"/>
                <w:bCs w:val="1"/>
                <w:color w:val="1a1a1a"/>
              </w:rPr>
            </w:pPr>
            <w:r>
              <w:rPr>
                <w:rFonts w:hint="eastAsia" w:ascii="宋体" w:hAnsi="宋体" w:eastAsia="宋体" w:cs="宋体"/>
                <w:b w:val="1"/>
                <w:color w:val="1a1a1a"/>
                <w:sz w:val="16"/>
              </w:rPr>
              <w:t>环节</w:t>
            </w:r>
          </w:p>
        </w:tc>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85">
            <w:pPr>
              <w:jc w:val="left"/>
              <w:rPr>
                <w:b w:val="1"/>
                <w:bCs w:val="1"/>
                <w:color w:val="1a1a1a"/>
              </w:rPr>
            </w:pPr>
            <w:r>
              <w:rPr>
                <w:rFonts w:hint="eastAsia" w:ascii="宋体" w:hAnsi="宋体" w:eastAsia="宋体" w:cs="宋体"/>
                <w:b w:val="1"/>
                <w:color w:val="1a1a1a"/>
                <w:sz w:val="16"/>
              </w:rPr>
              <w:t>代表企业</w:t>
            </w:r>
          </w:p>
        </w:tc>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86">
            <w:pPr>
              <w:jc w:val="left"/>
              <w:rPr>
                <w:b w:val="1"/>
                <w:bCs w:val="1"/>
                <w:color w:val="1a1a1a"/>
              </w:rPr>
            </w:pPr>
            <w:r>
              <w:rPr>
                <w:rFonts w:hint="eastAsia" w:ascii="宋体" w:hAnsi="宋体" w:eastAsia="宋体" w:cs="宋体"/>
                <w:b w:val="1"/>
                <w:color w:val="1a1a1a"/>
                <w:sz w:val="16"/>
              </w:rPr>
              <w:t>价值特征</w:t>
            </w:r>
          </w:p>
        </w:tc>
      </w:tr>
      <w:tr>
        <w:trPr/>
        <w:tc>
          <w:tcPr>
            <w:tcW w:w="2076" w:type="dxa"/>
            <w:tcBorders>
              <w:left w:val="none" w:sz="8"/>
              <w:right w:val="none" w:sz="8"/>
            </w:tcBorders>
            <w:tcMar>
              <w:top w:w="72" w:type="dxa"/>
              <w:left w:w="144" w:type="dxa"/>
              <w:bottom w:w="72" w:type="dxa"/>
              <w:right w:w="144" w:type="dxa"/>
            </w:tcMar>
            <w:vAlign w:val="center"/>
          </w:tcPr>
          <w:p w14:paraId="00000187">
            <w:pPr>
              <w:jc w:val="left"/>
              <w:rPr>
                <w:color w:val="1a1a1a"/>
              </w:rPr>
            </w:pPr>
            <w:r>
              <w:rPr>
                <w:rFonts w:hint="eastAsia" w:ascii="宋体" w:hAnsi="宋体" w:eastAsia="宋体" w:cs="宋体"/>
                <w:color w:val="1a1a1a"/>
                <w:sz w:val="16"/>
              </w:rPr>
              <w:t>上游</w:t>
            </w:r>
          </w:p>
        </w:tc>
        <w:tc>
          <w:tcPr>
            <w:tcW w:w="2076" w:type="dxa"/>
            <w:tcBorders>
              <w:left w:val="none" w:sz="8"/>
              <w:right w:val="none" w:sz="8"/>
            </w:tcBorders>
            <w:tcMar>
              <w:top w:w="72" w:type="dxa"/>
              <w:left w:w="144" w:type="dxa"/>
              <w:bottom w:w="72" w:type="dxa"/>
              <w:right w:w="144" w:type="dxa"/>
            </w:tcMar>
            <w:vAlign w:val="center"/>
          </w:tcPr>
          <w:p w14:paraId="00000188">
            <w:pPr>
              <w:jc w:val="left"/>
              <w:rPr>
                <w:color w:val="1a1a1a"/>
              </w:rPr>
            </w:pPr>
            <w:r>
              <w:rPr>
                <w:rFonts w:hint="eastAsia" w:ascii="宋体" w:hAnsi="宋体" w:eastAsia="宋体" w:cs="宋体"/>
                <w:color w:val="1a1a1a"/>
                <w:sz w:val="16"/>
              </w:rPr>
              <w:t>算力芯片与云基础设施</w:t>
            </w:r>
          </w:p>
        </w:tc>
        <w:tc>
          <w:tcPr>
            <w:tcW w:w="2076" w:type="dxa"/>
            <w:tcBorders>
              <w:left w:val="none" w:sz="8"/>
              <w:right w:val="none" w:sz="8"/>
            </w:tcBorders>
            <w:tcMar>
              <w:top w:w="72" w:type="dxa"/>
              <w:left w:w="144" w:type="dxa"/>
              <w:bottom w:w="72" w:type="dxa"/>
              <w:right w:w="144" w:type="dxa"/>
            </w:tcMar>
            <w:vAlign w:val="center"/>
          </w:tcPr>
          <w:p w14:paraId="00000189">
            <w:pPr>
              <w:jc w:val="left"/>
              <w:rPr>
                <w:color w:val="1a1a1a"/>
              </w:rPr>
            </w:pPr>
            <w:r>
              <w:rPr>
                <w:rFonts w:hint="eastAsia" w:ascii="宋体" w:hAnsi="宋体" w:eastAsia="宋体" w:cs="宋体"/>
                <w:color w:val="1a1a1a"/>
                <w:sz w:val="16"/>
              </w:rPr>
              <w:t>英伟达、微软 Azure、AWS、谷歌云、阿里云、火山引擎</w:t>
            </w:r>
          </w:p>
        </w:tc>
        <w:tc>
          <w:tcPr>
            <w:tcW w:w="2076" w:type="dxa"/>
            <w:tcBorders>
              <w:left w:val="none" w:sz="8"/>
              <w:right w:val="none" w:sz="8"/>
            </w:tcBorders>
            <w:tcMar>
              <w:top w:w="72" w:type="dxa"/>
              <w:left w:w="144" w:type="dxa"/>
              <w:bottom w:w="72" w:type="dxa"/>
              <w:right w:w="144" w:type="dxa"/>
            </w:tcMar>
            <w:vAlign w:val="center"/>
          </w:tcPr>
          <w:p w14:paraId="0000018A">
            <w:pPr>
              <w:jc w:val="left"/>
              <w:rPr>
                <w:color w:val="1a1a1a"/>
              </w:rPr>
            </w:pPr>
            <w:r>
              <w:rPr>
                <w:rFonts w:hint="eastAsia" w:ascii="宋体" w:hAnsi="宋体" w:eastAsia="宋体" w:cs="宋体"/>
                <w:color w:val="1a1a1a"/>
                <w:sz w:val="16"/>
              </w:rPr>
              <w:t>资本开支壁垒最高，占基础设施支出的核心</w:t>
            </w:r>
          </w:p>
        </w:tc>
      </w:tr>
      <w:tr>
        <w:trPr/>
        <w:tc>
          <w:tcPr>
            <w:tcW w:w="2076" w:type="dxa"/>
            <w:tcBorders>
              <w:left w:val="none" w:sz="8"/>
              <w:right w:val="none" w:sz="8"/>
            </w:tcBorders>
            <w:tcMar>
              <w:top w:w="72" w:type="dxa"/>
              <w:left w:w="144" w:type="dxa"/>
              <w:bottom w:w="72" w:type="dxa"/>
              <w:right w:w="144" w:type="dxa"/>
            </w:tcMar>
            <w:vAlign w:val="center"/>
          </w:tcPr>
          <w:p w14:paraId="0000018B">
            <w:pPr>
              <w:jc w:val="left"/>
              <w:rPr>
                <w:color w:val="1a1a1a"/>
              </w:rPr>
            </w:pPr>
            <w:r>
              <w:rPr>
                <w:rFonts w:hint="eastAsia" w:ascii="宋体" w:hAnsi="宋体" w:eastAsia="宋体" w:cs="宋体"/>
                <w:color w:val="1a1a1a"/>
                <w:sz w:val="16"/>
              </w:rPr>
              <w:t>中游</w:t>
            </w:r>
          </w:p>
        </w:tc>
        <w:tc>
          <w:tcPr>
            <w:tcW w:w="2076" w:type="dxa"/>
            <w:tcBorders>
              <w:left w:val="none" w:sz="8"/>
              <w:right w:val="none" w:sz="8"/>
            </w:tcBorders>
            <w:tcMar>
              <w:top w:w="72" w:type="dxa"/>
              <w:left w:w="144" w:type="dxa"/>
              <w:bottom w:w="72" w:type="dxa"/>
              <w:right w:w="144" w:type="dxa"/>
            </w:tcMar>
            <w:vAlign w:val="center"/>
          </w:tcPr>
          <w:p w14:paraId="0000018C">
            <w:pPr>
              <w:jc w:val="left"/>
              <w:rPr>
                <w:color w:val="1a1a1a"/>
              </w:rPr>
            </w:pPr>
            <w:r>
              <w:rPr>
                <w:rFonts w:hint="eastAsia" w:ascii="宋体" w:hAnsi="宋体" w:eastAsia="宋体" w:cs="宋体"/>
                <w:color w:val="1a1a1a"/>
                <w:sz w:val="16"/>
              </w:rPr>
              <w:t>大模型底座与开发平台</w:t>
            </w:r>
          </w:p>
        </w:tc>
        <w:tc>
          <w:tcPr>
            <w:tcW w:w="2076" w:type="dxa"/>
            <w:tcBorders>
              <w:left w:val="none" w:sz="8"/>
              <w:right w:val="none" w:sz="8"/>
            </w:tcBorders>
            <w:tcMar>
              <w:top w:w="72" w:type="dxa"/>
              <w:left w:w="144" w:type="dxa"/>
              <w:bottom w:w="72" w:type="dxa"/>
              <w:right w:w="144" w:type="dxa"/>
            </w:tcMar>
            <w:vAlign w:val="center"/>
          </w:tcPr>
          <w:p w14:paraId="0000018D">
            <w:pPr>
              <w:jc w:val="left"/>
              <w:rPr>
                <w:color w:val="1a1a1a"/>
              </w:rPr>
            </w:pPr>
            <w:r>
              <w:rPr>
                <w:rFonts w:hint="eastAsia" w:ascii="宋体" w:hAnsi="宋体" w:eastAsia="宋体" w:cs="宋体"/>
                <w:color w:val="1a1a1a"/>
                <w:sz w:val="16"/>
              </w:rPr>
              <w:t>OpenAI、Anthropic、百度、阿里、字节、智谱</w:t>
            </w:r>
          </w:p>
        </w:tc>
        <w:tc>
          <w:tcPr>
            <w:tcW w:w="2076" w:type="dxa"/>
            <w:tcBorders>
              <w:left w:val="none" w:sz="8"/>
              <w:right w:val="none" w:sz="8"/>
            </w:tcBorders>
            <w:tcMar>
              <w:top w:w="72" w:type="dxa"/>
              <w:left w:w="144" w:type="dxa"/>
              <w:bottom w:w="72" w:type="dxa"/>
              <w:right w:w="144" w:type="dxa"/>
            </w:tcMar>
            <w:vAlign w:val="center"/>
          </w:tcPr>
          <w:p w14:paraId="0000018E">
            <w:pPr>
              <w:jc w:val="left"/>
              <w:rPr>
                <w:color w:val="1a1a1a"/>
              </w:rPr>
            </w:pPr>
            <w:r>
              <w:rPr>
                <w:rFonts w:hint="eastAsia" w:ascii="宋体" w:hAnsi="宋体" w:eastAsia="宋体" w:cs="宋体"/>
                <w:color w:val="1a1a1a"/>
                <w:sz w:val="16"/>
              </w:rPr>
              <w:t>模型调用量向头部集中（千问 32.1% 居首）</w:t>
            </w:r>
          </w:p>
        </w:tc>
      </w:tr>
      <w:tr>
        <w:trPr/>
        <w:tc>
          <w:tcPr>
            <w:tcW w:w="2076" w:type="dxa"/>
            <w:tcBorders>
              <w:left w:val="none" w:sz="8"/>
              <w:bottom w:val="single" w:color="1a1a1a" w:sz="12"/>
              <w:right w:val="none" w:sz="8"/>
            </w:tcBorders>
            <w:tcMar>
              <w:top w:w="72" w:type="dxa"/>
              <w:left w:w="144" w:type="dxa"/>
              <w:bottom w:w="72" w:type="dxa"/>
              <w:right w:w="144" w:type="dxa"/>
            </w:tcMar>
            <w:vAlign w:val="center"/>
          </w:tcPr>
          <w:p w14:paraId="0000018F">
            <w:pPr>
              <w:jc w:val="left"/>
              <w:rPr>
                <w:color w:val="1a1a1a"/>
              </w:rPr>
            </w:pPr>
            <w:r>
              <w:rPr>
                <w:rFonts w:hint="eastAsia" w:ascii="宋体" w:hAnsi="宋体" w:eastAsia="宋体" w:cs="宋体"/>
                <w:color w:val="1a1a1a"/>
                <w:sz w:val="16"/>
              </w:rPr>
              <w:t>下游</w:t>
            </w:r>
          </w:p>
        </w:tc>
        <w:tc>
          <w:tcPr>
            <w:tcW w:w="2076" w:type="dxa"/>
            <w:tcBorders>
              <w:left w:val="none" w:sz="8"/>
              <w:bottom w:val="single" w:color="1a1a1a" w:sz="12"/>
              <w:right w:val="none" w:sz="8"/>
            </w:tcBorders>
            <w:tcMar>
              <w:top w:w="72" w:type="dxa"/>
              <w:left w:w="144" w:type="dxa"/>
              <w:bottom w:w="72" w:type="dxa"/>
              <w:right w:w="144" w:type="dxa"/>
            </w:tcMar>
            <w:vAlign w:val="center"/>
          </w:tcPr>
          <w:p w14:paraId="00000190">
            <w:pPr>
              <w:jc w:val="left"/>
              <w:rPr>
                <w:color w:val="1a1a1a"/>
              </w:rPr>
            </w:pPr>
            <w:r>
              <w:rPr>
                <w:rFonts w:hint="eastAsia" w:ascii="宋体" w:hAnsi="宋体" w:eastAsia="宋体" w:cs="宋体"/>
                <w:color w:val="1a1a1a"/>
                <w:sz w:val="16"/>
              </w:rPr>
              <w:t>行业应用与运营服务</w:t>
            </w:r>
          </w:p>
        </w:tc>
        <w:tc>
          <w:tcPr>
            <w:tcW w:w="2076" w:type="dxa"/>
            <w:tcBorders>
              <w:left w:val="none" w:sz="8"/>
              <w:bottom w:val="single" w:color="1a1a1a" w:sz="12"/>
              <w:right w:val="none" w:sz="8"/>
            </w:tcBorders>
            <w:tcMar>
              <w:top w:w="72" w:type="dxa"/>
              <w:left w:w="144" w:type="dxa"/>
              <w:bottom w:w="72" w:type="dxa"/>
              <w:right w:w="144" w:type="dxa"/>
            </w:tcMar>
            <w:vAlign w:val="center"/>
          </w:tcPr>
          <w:p w14:paraId="00000191">
            <w:pPr>
              <w:jc w:val="left"/>
              <w:rPr>
                <w:color w:val="1a1a1a"/>
              </w:rPr>
            </w:pPr>
            <w:r>
              <w:rPr>
                <w:rFonts w:hint="eastAsia" w:ascii="宋体" w:hAnsi="宋体" w:eastAsia="宋体" w:cs="宋体"/>
                <w:color w:val="1a1a1a"/>
                <w:sz w:val="16"/>
              </w:rPr>
              <w:t>Salesforce、ServiceNow、UiPath、讯飞、用友及 300+ 垂直厂商</w:t>
            </w:r>
          </w:p>
        </w:tc>
        <w:tc>
          <w:tcPr>
            <w:tcW w:w="2076" w:type="dxa"/>
            <w:tcBorders>
              <w:left w:val="none" w:sz="8"/>
              <w:bottom w:val="single" w:color="1a1a1a" w:sz="12"/>
              <w:right w:val="none" w:sz="8"/>
            </w:tcBorders>
            <w:tcMar>
              <w:top w:w="72" w:type="dxa"/>
              <w:left w:w="144" w:type="dxa"/>
              <w:bottom w:w="72" w:type="dxa"/>
              <w:right w:w="144" w:type="dxa"/>
            </w:tcMar>
            <w:vAlign w:val="center"/>
          </w:tcPr>
          <w:p w14:paraId="00000192">
            <w:pPr>
              <w:jc w:val="left"/>
              <w:rPr>
                <w:color w:val="1a1a1a"/>
              </w:rPr>
            </w:pPr>
            <w:r>
              <w:rPr>
                <w:rFonts w:hint="eastAsia" w:ascii="宋体" w:hAnsi="宋体" w:eastAsia="宋体" w:cs="宋体"/>
                <w:color w:val="1a1a1a"/>
                <w:sz w:val="16"/>
              </w:rPr>
              <w:t>场景 know-how 决定留存与定价权</w:t>
            </w:r>
          </w:p>
        </w:tc>
      </w:tr>
    </w:tbl>
    <w:p w14:paraId="00000193">
      <w:pPr>
        <w:spacing w:before="0" w:after="192" w:line="360"/>
        <w:ind w:left="0" w:right="0" w:firstLine="480"/>
        <w:jc w:val="both"/>
        <w:rPr>
          <w:color w:val="1a1a1a"/>
        </w:rPr>
      </w:pPr>
      <w:r>
        <w:rPr>
          <w:rFonts w:hint="eastAsia" w:ascii="宋体" w:hAnsi="宋体" w:eastAsia="宋体" w:cs="宋体"/>
          <w:color w:val="1a1a1a"/>
          <w:sz w:val="18"/>
        </w:rPr>
        <w:t>资料来源：据 Market.us、IIM 2026 年公开数据整理。</w:t>
      </w:r>
    </w:p>
    <w:p w14:paraId="00000194">
      <w:pPr>
        <w:spacing w:before="0" w:after="192" w:line="360"/>
        <w:ind w:left="0" w:right="0" w:firstLine="480"/>
        <w:jc w:val="both"/>
        <w:rPr>
          <w:color w:val="1a1a1a"/>
        </w:rPr>
      </w:pPr>
      <w:r>
        <w:rPr>
          <w:rFonts w:hint="eastAsia" w:ascii="宋体" w:hAnsi="宋体" w:eastAsia="宋体" w:cs="宋体"/>
          <w:color w:val="1a1a1a"/>
          <w:sz w:val="18"/>
        </w:rPr>
        <w:t>从价值分配看，上游基础设施层集中度最高（三大云厂商合计约 45%-55%），中游模型层呈"一超多强"，下游应用层最为分散、也最可能出现颠覆性变量。技术储备方面，截至 2025 年底全球 AI Agent 相关专利申请累计超 8.6 万件，中国申请量占比约 37%-40%，美国约 29%-35%，欧洲约 13%-18%；头部企业专利集中度（CR5）仅 28%，技术竞争仍处于相对分散的窗口期，中小创新主体仍有较大突围空间（IIM，2026年）。</w:t>
      </w:r>
    </w:p>
    <w:p w14:paraId="00000195">
      <w:pPr>
        <w:pStyle w:val="000008"/>
        <w:keepNext w:val="1"/>
        <w:keepLines w:val="1"/>
        <w:shd w:val="clear" w:fill="1a237e"/>
        <w:spacing w:before="288" w:beforeAutospacing="1" w:after="216" w:afterAutospacing="1" w:line="360"/>
        <w:ind w:left="0" w:right="0"/>
        <w:jc w:val="left"/>
        <w:outlineLvl w:val="0"/>
        <w:rPr>
          <w:color w:val="ffffff"/>
          <w:kern w:val="44"/>
          <w:sz w:val="44"/>
          <w:szCs w:val="44"/>
        </w:rPr>
      </w:pPr>
      <w:bookmarkStart w:id="27" w:name="section-9"/>
      <w:r>
        <w:rPr>
          <w:rFonts w:hint="eastAsia" w:ascii="黑体" w:hAnsi="黑体" w:eastAsia="黑体" w:cs="黑体"/>
          <w:b w:val="1"/>
          <w:color w:val="ffffff"/>
          <w:sz w:val="26"/>
        </w:rPr>
        <w:t>9. 趋势预判（2026-2030）</w:t>
      </w:r>
      <w:bookmarkEnd w:id="27"/>
    </w:p>
    <w:p w14:paraId="00000196">
      <w:pPr>
        <w:spacing w:before="0" w:after="192" w:line="360"/>
        <w:ind w:left="0" w:right="0" w:firstLine="480"/>
        <w:jc w:val="both"/>
        <w:rPr>
          <w:color w:val="1a1a1a"/>
        </w:rPr>
      </w:pPr>
      <w:r>
        <w:rPr>
          <w:rFonts w:hint="eastAsia" w:ascii="宋体" w:hAnsi="宋体" w:eastAsia="宋体" w:cs="宋体"/>
          <w:color w:val="1a1a1a"/>
          <w:sz w:val="18"/>
        </w:rPr>
        <w:t>基于前述份额结构与产业动力，本报告对 2026-2030 年市场演化提出五个方向性判断：</w:t>
      </w:r>
    </w:p>
    <w:p w14:paraId="00000197">
      <w:pPr>
        <w:numPr>
          <w:ilvl w:val="0"/>
          <w:numId w:val="1"/>
        </w:numPr>
        <w:pBdr>
          <w:left w:space="18"/>
        </w:pBdr>
        <w:spacing w:before="0" w:after="96" w:line="360"/>
        <w:ind w:left="0" w:right="0"/>
        <w:jc w:val="both"/>
        <w:rPr>
          <w:color w:val="1a1a1a"/>
        </w:rPr>
      </w:pPr>
      <w:r>
        <w:rPr>
          <w:rFonts w:hint="eastAsia" w:ascii="宋体" w:hAnsi="宋体" w:eastAsia="宋体" w:cs="宋体"/>
          <w:b w:val="1"/>
          <w:color w:val="1a1a1a"/>
          <w:sz w:val="18"/>
        </w:rPr>
        <w:t>总量继续高增长，口径逐步收敛。</w:t>
      </w:r>
      <w:r>
        <w:rPr>
          <w:rFonts w:hint="eastAsia" w:ascii="宋体" w:hAnsi="宋体" w:eastAsia="宋体" w:cs="宋体"/>
          <w:color w:val="1a1a1a"/>
          <w:sz w:val="18"/>
        </w:rPr>
        <w:t>窄口径下 2030 年全球市场约 427-527 亿美元，宽口径下可达 1680-2800 亿美元；随着行业标准成形（中国已发布 6 项智能体行业标准），统计口径有望逐步收敛，市场份额的可比性将增强。</w:t>
      </w:r>
    </w:p>
    <w:p w14:paraId="00000198">
      <w:pPr>
        <w:numPr>
          <w:ilvl w:val="0"/>
          <w:numId w:val="1"/>
        </w:numPr>
        <w:pBdr>
          <w:left w:space="18"/>
        </w:pBdr>
        <w:spacing w:before="0" w:after="96" w:line="360"/>
        <w:ind w:left="0" w:right="0"/>
        <w:jc w:val="both"/>
        <w:rPr>
          <w:color w:val="1a1a1a"/>
        </w:rPr>
      </w:pPr>
      <w:r>
        <w:rPr>
          <w:rFonts w:hint="eastAsia" w:ascii="宋体" w:hAnsi="宋体" w:eastAsia="宋体" w:cs="宋体"/>
          <w:b w:val="1"/>
          <w:color w:val="1a1a1a"/>
          <w:sz w:val="18"/>
        </w:rPr>
        <w:t>格局从"巨头垄断"走向"垄断 + 垂直深挖"的哑铃结构。</w:t>
      </w:r>
      <w:r>
        <w:rPr>
          <w:rFonts w:hint="eastAsia" w:ascii="宋体" w:hAnsi="宋体" w:eastAsia="宋体" w:cs="宋体"/>
          <w:color w:val="1a1a1a"/>
          <w:sz w:val="18"/>
        </w:rPr>
        <w:t>通用平台层将由巨头把持，但 CR5 已现松动；垂直行业 Agent 是增速最快的细分（MarketsandMarkets 预测垂直 AI Agent 2025-2030 年 CAGR 达 62.7%），领域知识构成真正护城河。</w:t>
      </w:r>
    </w:p>
    <w:p w14:paraId="00000199">
      <w:pPr>
        <w:numPr>
          <w:ilvl w:val="0"/>
          <w:numId w:val="1"/>
        </w:numPr>
        <w:pBdr>
          <w:left w:space="18"/>
        </w:pBdr>
        <w:spacing w:before="0" w:after="96" w:line="360"/>
        <w:ind w:left="0" w:right="0"/>
        <w:jc w:val="both"/>
        <w:rPr>
          <w:color w:val="1a1a1a"/>
        </w:rPr>
      </w:pPr>
      <w:r>
        <w:rPr>
          <w:rFonts w:hint="eastAsia" w:ascii="宋体" w:hAnsi="宋体" w:eastAsia="宋体" w:cs="宋体"/>
          <w:b w:val="1"/>
          <w:color w:val="1a1a1a"/>
          <w:sz w:val="18"/>
        </w:rPr>
        <w:t>多智能体协同成为下一代竞争焦点。</w:t>
      </w:r>
      <w:r>
        <w:rPr>
          <w:rFonts w:hint="eastAsia" w:ascii="宋体" w:hAnsi="宋体" w:eastAsia="宋体" w:cs="宋体"/>
          <w:color w:val="1a1a1a"/>
          <w:sz w:val="18"/>
        </w:rPr>
        <w:t>多智能体系统预计以 48.5% 的 CAGR 增长，A2A 等智能体互联协议与多智能体协同标准的落地将重塑平台竞争规则。</w:t>
      </w:r>
    </w:p>
    <w:p w14:paraId="0000019A">
      <w:pPr>
        <w:numPr>
          <w:ilvl w:val="0"/>
          <w:numId w:val="1"/>
        </w:numPr>
        <w:pBdr>
          <w:left w:space="18"/>
        </w:pBdr>
        <w:spacing w:before="0" w:after="96" w:line="360"/>
        <w:ind w:left="0" w:right="0"/>
        <w:jc w:val="both"/>
        <w:rPr>
          <w:color w:val="1a1a1a"/>
        </w:rPr>
      </w:pPr>
      <w:r>
        <w:rPr>
          <w:rFonts w:hint="eastAsia" w:ascii="宋体" w:hAnsi="宋体" w:eastAsia="宋体" w:cs="宋体"/>
          <w:b w:val="1"/>
          <w:color w:val="1a1a1a"/>
          <w:sz w:val="18"/>
        </w:rPr>
        <w:t>中国力量从"本土替代"走向"全球输出"。</w:t>
      </w:r>
      <w:r>
        <w:rPr>
          <w:rFonts w:hint="eastAsia" w:ascii="宋体" w:hAnsi="宋体" w:eastAsia="宋体" w:cs="宋体"/>
          <w:color w:val="1a1a1a"/>
          <w:sz w:val="18"/>
        </w:rPr>
        <w:t>中国模型（Qwen、GLM、Kimi 等）已获得国际采用（如 Airbnb 客服智能体采用 Qwen），叠加 22% 的全球智能体融资占比，中国厂商有望在东南亚、中东等市场复制国内打法。</w:t>
      </w:r>
    </w:p>
    <w:p w14:paraId="0000019B">
      <w:pPr>
        <w:numPr>
          <w:ilvl w:val="0"/>
          <w:numId w:val="1"/>
        </w:numPr>
        <w:pBdr>
          <w:left w:space="18"/>
        </w:pBdr>
        <w:spacing w:before="0" w:after="96" w:line="360"/>
        <w:ind w:left="0" w:right="0"/>
        <w:jc w:val="both"/>
        <w:rPr>
          <w:color w:val="1a1a1a"/>
        </w:rPr>
      </w:pPr>
      <w:r>
        <w:rPr>
          <w:rFonts w:hint="eastAsia" w:ascii="宋体" w:hAnsi="宋体" w:eastAsia="宋体" w:cs="宋体"/>
          <w:b w:val="1"/>
          <w:color w:val="1a1a1a"/>
          <w:sz w:val="18"/>
        </w:rPr>
        <w:t>落地能力取代技术演示成为份额分水岭。</w:t>
      </w:r>
      <w:r>
        <w:rPr>
          <w:rFonts w:hint="eastAsia" w:ascii="宋体" w:hAnsi="宋体" w:eastAsia="宋体" w:cs="宋体"/>
          <w:color w:val="1a1a1a"/>
          <w:sz w:val="18"/>
        </w:rPr>
        <w:t>在超过 40% 项目可能被取消的预期下（Gartner），能交付可量化 ROI 的厂商将获得持续份额，预计 2027-2028 年行业将出现第一轮整合与洗牌。</w:t>
      </w:r>
    </w:p>
    <w:p w14:paraId="0000019C">
      <w:pPr>
        <w:pStyle w:val="000008"/>
        <w:keepNext w:val="1"/>
        <w:keepLines w:val="1"/>
        <w:shd w:val="clear" w:fill="1a237e"/>
        <w:spacing w:before="288" w:beforeAutospacing="1" w:after="216" w:afterAutospacing="1" w:line="360"/>
        <w:ind w:left="0" w:right="0"/>
        <w:jc w:val="left"/>
        <w:outlineLvl w:val="0"/>
        <w:rPr>
          <w:color w:val="ffffff"/>
          <w:kern w:val="44"/>
          <w:sz w:val="44"/>
          <w:szCs w:val="44"/>
        </w:rPr>
      </w:pPr>
      <w:bookmarkStart w:id="28" w:name="section-10"/>
      <w:r>
        <w:rPr>
          <w:rFonts w:hint="eastAsia" w:ascii="黑体" w:hAnsi="黑体" w:eastAsia="黑体" w:cs="黑体"/>
          <w:b w:val="1"/>
          <w:color w:val="ffffff"/>
          <w:sz w:val="26"/>
        </w:rPr>
        <w:t>10. 结论与建议</w:t>
      </w:r>
      <w:bookmarkEnd w:id="28"/>
    </w:p>
    <w:p w14:paraId="0000019D">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29" w:name="section-10-1"/>
      <w:r>
        <w:rPr>
          <w:rFonts w:hint="eastAsia" w:ascii="黑体" w:hAnsi="黑体" w:eastAsia="黑体" w:cs="黑体"/>
          <w:b w:val="1"/>
          <w:color w:val="1a237e"/>
          <w:sz w:val="22"/>
        </w:rPr>
        <w:t>10.1 核心结论</w:t>
      </w:r>
      <w:bookmarkEnd w:id="29"/>
    </w:p>
    <w:p w14:paraId="0000019E">
      <w:pPr>
        <w:spacing w:before="0" w:after="192" w:line="360"/>
        <w:ind w:left="0" w:right="0" w:firstLine="480"/>
        <w:jc w:val="both"/>
        <w:rPr>
          <w:color w:val="1a1a1a"/>
        </w:rPr>
      </w:pPr>
      <w:r>
        <w:rPr>
          <w:rFonts w:hint="eastAsia" w:ascii="宋体" w:hAnsi="宋体" w:eastAsia="宋体" w:cs="宋体"/>
          <w:color w:val="1a1a1a"/>
          <w:sz w:val="18"/>
        </w:rPr>
        <w:t>全球 AI 智能体市场正处于高速成长期，2025-2030 年复合增速预计 40%-50% 以上；竞争格局上，微软（17.2%）、Salesforce（14.5%）、ServiceNow（11.8%）领跑宽口径应用市场，三大平台垄断 73% 的企业实际部署；区域上北美领跑（44.7%）、亚太提速（30.6%）；中国市场上字节（18%）、百度（12%）、阿里（10%）、腾讯（10%）、华为（5%）五大巨头合计约 55%，办公 Agent 赛道腾讯系（53.8%）暂时领先。</w:t>
      </w:r>
    </w:p>
    <w:p w14:paraId="0000019F">
      <w:pPr>
        <w:pStyle w:val="000006"/>
        <w:keepNext w:val="1"/>
        <w:keepLines w:val="1"/>
        <w:pBdr>
          <w:left w:val="single" w:color="1a237e" w:sz="24" w:space="9"/>
        </w:pBdr>
        <w:spacing w:before="216" w:beforeAutospacing="1" w:after="144" w:afterAutospacing="1" w:line="312"/>
        <w:ind w:left="0" w:right="0"/>
        <w:jc w:val="left"/>
        <w:outlineLvl w:val="1"/>
        <w:rPr>
          <w:color w:val="1a237e"/>
          <w:sz w:val="32"/>
          <w:szCs w:val="32"/>
        </w:rPr>
      </w:pPr>
      <w:bookmarkStart w:id="30" w:name="section-10-2"/>
      <w:r>
        <w:rPr>
          <w:rFonts w:hint="eastAsia" w:ascii="黑体" w:hAnsi="黑体" w:eastAsia="黑体" w:cs="黑体"/>
          <w:b w:val="1"/>
          <w:color w:val="1a237e"/>
          <w:sz w:val="22"/>
        </w:rPr>
        <w:t>10.2 对不同类型读者的建议</w:t>
      </w:r>
      <w:bookmarkEnd w:id="30"/>
    </w:p>
    <w:p w14:paraId="000001A0">
      <w:pPr>
        <w:numPr>
          <w:ilvl w:val="0"/>
          <w:numId w:val="1"/>
        </w:numPr>
        <w:pBdr>
          <w:left w:space="18"/>
        </w:pBdr>
        <w:spacing w:before="0" w:after="96" w:line="360"/>
        <w:ind w:left="0" w:right="0"/>
        <w:jc w:val="both"/>
        <w:rPr>
          <w:color w:val="1a1a1a"/>
        </w:rPr>
      </w:pPr>
      <w:r>
        <w:rPr>
          <w:rFonts w:hint="eastAsia" w:ascii="宋体" w:hAnsi="宋体" w:eastAsia="宋体" w:cs="宋体"/>
          <w:b w:val="1"/>
          <w:color w:val="1a1a1a"/>
          <w:sz w:val="18"/>
        </w:rPr>
        <w:t>企业采购方：</w:t>
      </w:r>
      <w:r>
        <w:rPr>
          <w:rFonts w:hint="eastAsia" w:ascii="宋体" w:hAnsi="宋体" w:eastAsia="宋体" w:cs="宋体"/>
          <w:color w:val="1a1a1a"/>
          <w:sz w:val="18"/>
        </w:rPr>
        <w:t>选型的第一决策因素不是功能而是"数据在哪里"——Salesforce 重度用户选 Agentforce 可跳过 60%-80% 的集成工作；建议采用双平台策略（41% 的企业已同时在两个以上平台运行智能体）以对冲供应商锁定风险（据 Digital Applied，2026年）。</w:t>
      </w:r>
    </w:p>
    <w:p w14:paraId="000001A1">
      <w:pPr>
        <w:numPr>
          <w:ilvl w:val="0"/>
          <w:numId w:val="1"/>
        </w:numPr>
        <w:pBdr>
          <w:left w:space="18"/>
        </w:pBdr>
        <w:spacing w:before="0" w:after="96" w:line="360"/>
        <w:ind w:left="0" w:right="0"/>
        <w:jc w:val="both"/>
        <w:rPr>
          <w:color w:val="1a1a1a"/>
        </w:rPr>
      </w:pPr>
      <w:r>
        <w:rPr>
          <w:rFonts w:hint="eastAsia" w:ascii="宋体" w:hAnsi="宋体" w:eastAsia="宋体" w:cs="宋体"/>
          <w:b w:val="1"/>
          <w:color w:val="1a1a1a"/>
          <w:sz w:val="18"/>
        </w:rPr>
        <w:t>初创与垂直厂商：</w:t>
      </w:r>
      <w:r>
        <w:rPr>
          <w:rFonts w:hint="eastAsia" w:ascii="宋体" w:hAnsi="宋体" w:eastAsia="宋体" w:cs="宋体"/>
          <w:color w:val="1a1a1a"/>
          <w:sz w:val="18"/>
        </w:rPr>
        <w:t>避开通用平台红海，深耕高门槛垂直场景（医疗、法律、金融合规），以领域 know-how 与可量化 ROI 建立壁垒；垂直 Agent 62.7% 的预期 CAGR 是最佳赛道。</w:t>
      </w:r>
    </w:p>
    <w:p w14:paraId="000001A2">
      <w:pPr>
        <w:numPr>
          <w:ilvl w:val="0"/>
          <w:numId w:val="1"/>
        </w:numPr>
        <w:pBdr>
          <w:left w:space="18"/>
        </w:pBdr>
        <w:spacing w:before="0" w:after="96" w:line="360"/>
        <w:ind w:left="0" w:right="0"/>
        <w:jc w:val="both"/>
        <w:rPr>
          <w:color w:val="1a1a1a"/>
        </w:rPr>
      </w:pPr>
      <w:r>
        <w:rPr>
          <w:rFonts w:hint="eastAsia" w:ascii="宋体" w:hAnsi="宋体" w:eastAsia="宋体" w:cs="宋体"/>
          <w:b w:val="1"/>
          <w:color w:val="1a1a1a"/>
          <w:sz w:val="18"/>
        </w:rPr>
        <w:t>投资者：</w:t>
      </w:r>
      <w:r>
        <w:rPr>
          <w:rFonts w:hint="eastAsia" w:ascii="宋体" w:hAnsi="宋体" w:eastAsia="宋体" w:cs="宋体"/>
          <w:color w:val="1a1a1a"/>
          <w:sz w:val="18"/>
        </w:rPr>
        <w:t>关注三类信号——ARR 增速（如 Agentforce +240%）、生产部署率（而非试点数）、以及从试点到规模化的转化率；警惕纯演示型标的，86%-89% 的试点未达生产规模意味着概念估值存在系统性回调风险。</w:t>
      </w:r>
    </w:p>
    <w:p w14:paraId="000001A3">
      <w:pPr>
        <w:pStyle w:val="000008"/>
        <w:keepNext w:val="1"/>
        <w:keepLines w:val="1"/>
        <w:shd w:val="clear" w:fill="1a237e"/>
        <w:spacing w:before="288" w:beforeAutospacing="1" w:after="216" w:afterAutospacing="1" w:line="360"/>
        <w:ind w:left="0" w:right="0"/>
        <w:jc w:val="left"/>
        <w:outlineLvl w:val="0"/>
        <w:rPr>
          <w:color w:val="ffffff"/>
          <w:kern w:val="44"/>
          <w:sz w:val="44"/>
          <w:szCs w:val="44"/>
        </w:rPr>
      </w:pPr>
      <w:bookmarkStart w:id="31" w:name="section-11"/>
      <w:r>
        <w:rPr>
          <w:rFonts w:hint="eastAsia" w:ascii="黑体" w:hAnsi="黑体" w:eastAsia="黑体" w:cs="黑体"/>
          <w:b w:val="1"/>
          <w:color w:val="ffffff"/>
          <w:sz w:val="26"/>
        </w:rPr>
        <w:t>11. 风险提示</w:t>
      </w:r>
      <w:bookmarkEnd w:id="31"/>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single" w:color="e65100" w:sz="24"/>
              <w:bottom w:val="none" w:sz="8"/>
              <w:right w:val="none" w:sz="8"/>
            </w:tcBorders>
            <w:shd w:val="clear" w:fill="fdf3ef"/>
            <w:tcMar>
              <w:top w:w="144" w:type="dxa"/>
              <w:left w:w="192" w:type="dxa"/>
              <w:bottom w:w="144" w:type="dxa"/>
              <w:right w:w="192" w:type="dxa"/>
            </w:tcMar>
            <w:vAlign w:val="center"/>
          </w:tcPr>
          <w:p w14:paraId="000001A4">
            <w:pPr>
              <w:jc w:val="left"/>
              <w:rPr>
                <w:color w:val="1a1a1a"/>
              </w:rPr>
            </w:pPr>
            <w:r>
              <w:t>none</w:t>
            </w:r>
          </w:p>
          <w:p w14:paraId="000001A5">
            <w:pPr>
              <w:spacing w:before="45" w:after="45"/>
              <w:ind w:left="0" w:right="0" w:firstLine="480"/>
              <w:jc w:val="both"/>
              <w:rPr>
                <w:color w:val="1a1a1a"/>
              </w:rPr>
            </w:pPr>
            <w:r>
              <w:rPr>
                <w:rFonts w:hint="eastAsia" w:ascii="宋体" w:hAnsi="宋体" w:eastAsia="宋体" w:cs="宋体"/>
                <w:b w:val="1"/>
                <w:color w:val="1a1a1a"/>
                <w:sz w:val="18"/>
              </w:rPr>
              <w:t>风险提示：</w:t>
            </w:r>
            <w:r>
              <w:rPr>
                <w:rFonts w:hint="eastAsia" w:ascii="宋体" w:hAnsi="宋体" w:eastAsia="宋体" w:cs="宋体"/>
                <w:color w:val="1a1a1a"/>
                <w:sz w:val="18"/>
              </w:rPr>
              <w:t>智能体市场的高速增长预测存在口径分歧与落地不确定性，以下五项风险因素可能实质性影响市场格局与份额演化路径，请予以关注。</w:t>
            </w:r>
          </w:p>
        </w:tc>
      </w:tr>
    </w:tbl>
    <w:p w14:paraId="000001A6">
      <w:pPr>
        <w:spacing w:line="240"/>
      </w:pPr>
      <w:r>
        <w:rPr>
          <w:sz w:val="4"/>
        </w:rPr>
        <w:t xml:space="preserve"> </w:t>
      </w:r>
    </w:p>
    <w:tbl>
      <w:tblPr>
        <w:tblW w:w="8306" w:type="dxa"/>
        <w:shd w:color="1a1a1a"/>
        <w:tblLayout w:type="autofit"/>
        <w:tblCellMar>
          <w:top w:w="0" w:type="dxa"/>
          <w:left w:w="0" w:type="dxa"/>
          <w:bottom w:w="0" w:type="dxa"/>
          <w:right w:w="0" w:type="dxa"/>
        </w:tblCellMar>
      </w:tblPr>
      <w:tblGrid>
        <w:gridCol w:w="8306"/>
      </w:tblGrid>
      <w:tr>
        <w:trPr>
          <w:tblHeader w:val="1"/>
        </w:trPr>
        <w:tc>
          <w:tcPr>
            <w:tcW w:w="8306" w:type="dxa"/>
            <w:tcBorders>
              <w:left w:val="single" w:color="1a237e" w:sz="18"/>
            </w:tcBorders>
            <w:shd w:val="clear" w:fill="eef2f9"/>
            <w:tcMar>
              <w:top w:w="192" w:type="dxa"/>
              <w:left w:w="192" w:type="dxa"/>
              <w:bottom w:w="0" w:type="dxa"/>
              <w:right w:w="192" w:type="dxa"/>
            </w:tcMar>
            <w:vAlign w:val="center"/>
          </w:tcPr>
          <w:p w14:paraId="000001A7">
            <w:pPr>
              <w:jc w:val="left"/>
              <w:rPr>
                <w:b w:val="1"/>
                <w:bCs w:val="1"/>
                <w:color w:val="1a237e"/>
              </w:rPr>
            </w:pPr>
            <w:r>
              <w:rPr>
                <w:rFonts w:hint="eastAsia" w:ascii="黑体" w:hAnsi="黑体" w:eastAsia="黑体" w:cs="黑体"/>
                <w:b w:val="1"/>
                <w:color w:val="1a237e"/>
                <w:sz w:val="20"/>
              </w:rPr>
              <w:t>风险提示</w:t>
            </w:r>
          </w:p>
        </w:tc>
      </w:tr>
      <w:tr>
        <w:trPr/>
        <w:tc>
          <w:tcPr>
            <w:tcW w:w="8306" w:type="dxa"/>
            <w:tcBorders>
              <w:left w:val="single" w:color="1a237e" w:sz="18"/>
            </w:tcBorders>
            <w:shd w:val="clear" w:fill="eef2f9"/>
            <w:tcMar>
              <w:top w:w="120" w:type="dxa"/>
              <w:left w:w="192" w:type="dxa"/>
              <w:bottom w:w="192" w:type="dxa"/>
              <w:right w:w="192" w:type="dxa"/>
            </w:tcMar>
            <w:vAlign w:val="center"/>
          </w:tcPr>
          <w:p w14:paraId="000001A8">
            <w:pPr>
              <w:spacing w:before="45" w:after="45"/>
              <w:ind w:left="0" w:right="0" w:firstLine="480"/>
              <w:jc w:val="both"/>
              <w:rPr>
                <w:color w:val="1a1a1a"/>
              </w:rPr>
            </w:pPr>
            <w:r>
              <w:rPr>
                <w:rFonts w:hint="eastAsia" w:ascii="宋体" w:hAnsi="宋体" w:eastAsia="宋体" w:cs="宋体"/>
                <w:b w:val="1"/>
                <w:color w:val="1a1a1a"/>
                <w:sz w:val="18"/>
              </w:rPr>
              <w:t>统计口径风险</w:t>
            </w:r>
            <w:r>
              <w:rPr>
                <w:rFonts w:hint="eastAsia" w:ascii="宋体" w:hAnsi="宋体" w:eastAsia="宋体" w:cs="宋体"/>
                <w:color w:val="1a1a1a"/>
                <w:sz w:val="18"/>
              </w:rPr>
              <w:t>：各机构对市场规模的测算差异可达 3-5 倍（窄口径 2025 年 53-99 亿美元 vs 宽口径 198-320 亿美元），若口径混用可能导致对市场空间与份额的判断出现数量级偏差，进而误导战略与投资决策。</w:t>
            </w:r>
          </w:p>
          <w:p w14:paraId="000001A9">
            <w:pPr>
              <w:spacing w:before="45" w:after="45"/>
              <w:ind w:left="0" w:right="0" w:firstLine="480"/>
              <w:jc w:val="both"/>
              <w:rPr>
                <w:color w:val="1a1a1a"/>
              </w:rPr>
            </w:pPr>
            <w:r>
              <w:rPr>
                <w:rFonts w:hint="eastAsia" w:ascii="宋体" w:hAnsi="宋体" w:eastAsia="宋体" w:cs="宋体"/>
                <w:b w:val="1"/>
                <w:color w:val="1a1a1a"/>
                <w:sz w:val="18"/>
              </w:rPr>
              <w:t>项目取消与规模化失败风险</w:t>
            </w:r>
            <w:r>
              <w:rPr>
                <w:rFonts w:hint="eastAsia" w:ascii="宋体" w:hAnsi="宋体" w:eastAsia="宋体" w:cs="宋体"/>
                <w:color w:val="1a1a1a"/>
                <w:sz w:val="18"/>
              </w:rPr>
              <w:t>：据 Gartner（2026年）预测，超过 40% 的 Agentic AI 项目将在 2027 年底前因定价上涨、商业价值不明确与风险管控不足而被暂停或取消；86%-89% 的企业试点从未达到有意义的生产规模。若落地经济性无法验证，当前的高增长预测将面临系统性下修。</w:t>
            </w:r>
          </w:p>
          <w:p w14:paraId="000001AA">
            <w:pPr>
              <w:spacing w:before="45" w:after="45"/>
              <w:ind w:left="0" w:right="0" w:firstLine="480"/>
              <w:jc w:val="both"/>
              <w:rPr>
                <w:color w:val="1a1a1a"/>
              </w:rPr>
            </w:pPr>
            <w:r>
              <w:rPr>
                <w:rFonts w:hint="eastAsia" w:ascii="宋体" w:hAnsi="宋体" w:eastAsia="宋体" w:cs="宋体"/>
                <w:b w:val="1"/>
                <w:color w:val="1a1a1a"/>
                <w:sz w:val="18"/>
              </w:rPr>
              <w:t>技术迭代与格局重构风险</w:t>
            </w:r>
            <w:r>
              <w:rPr>
                <w:rFonts w:hint="eastAsia" w:ascii="宋体" w:hAnsi="宋体" w:eastAsia="宋体" w:cs="宋体"/>
                <w:color w:val="1a1a1a"/>
                <w:sz w:val="18"/>
              </w:rPr>
              <w:t>：基础模型能力的跃迁（长上下文、自主规划、多模态）可能使现有平台架构快速过时；开源智能体框架的普及可能大幅压缩通用工具层利润，导致市场份额在 12-18 个月内剧烈重排。</w:t>
            </w:r>
          </w:p>
          <w:p w14:paraId="000001AB">
            <w:pPr>
              <w:spacing w:before="45" w:after="45"/>
              <w:ind w:left="0" w:right="0" w:firstLine="480"/>
              <w:jc w:val="both"/>
              <w:rPr>
                <w:color w:val="1a1a1a"/>
              </w:rPr>
            </w:pPr>
            <w:r>
              <w:rPr>
                <w:rFonts w:hint="eastAsia" w:ascii="宋体" w:hAnsi="宋体" w:eastAsia="宋体" w:cs="宋体"/>
                <w:b w:val="1"/>
                <w:color w:val="1a1a1a"/>
                <w:sz w:val="18"/>
              </w:rPr>
              <w:t>监管与合规风险</w:t>
            </w:r>
            <w:r>
              <w:rPr>
                <w:rFonts w:hint="eastAsia" w:ascii="宋体" w:hAnsi="宋体" w:eastAsia="宋体" w:cs="宋体"/>
                <w:color w:val="1a1a1a"/>
                <w:sz w:val="18"/>
              </w:rPr>
              <w:t>：欧盟《人工智能法案》已实质抬升欧洲市场部署成本，若其他司法辖区跟进严格监管，或数据跨境政策收紧，将影响厂商的区域扩张节奏与收入确认。</w:t>
            </w:r>
          </w:p>
          <w:p w14:paraId="000001AC">
            <w:pPr>
              <w:spacing w:before="45" w:after="45"/>
              <w:ind w:left="0" w:right="0" w:firstLine="480"/>
              <w:jc w:val="both"/>
              <w:rPr>
                <w:color w:val="1a1a1a"/>
              </w:rPr>
            </w:pPr>
            <w:r>
              <w:rPr>
                <w:rFonts w:hint="eastAsia" w:ascii="宋体" w:hAnsi="宋体" w:eastAsia="宋体" w:cs="宋体"/>
                <w:b w:val="1"/>
                <w:color w:val="1a1a1a"/>
                <w:sz w:val="18"/>
              </w:rPr>
              <w:t>数据时效风险</w:t>
            </w:r>
            <w:r>
              <w:rPr>
                <w:rFonts w:hint="eastAsia" w:ascii="宋体" w:hAnsi="宋体" w:eastAsia="宋体" w:cs="宋体"/>
                <w:color w:val="1a1a1a"/>
                <w:sz w:val="18"/>
              </w:rPr>
              <w:t>：本报告数据来自 2026 年 10 月的公开检索，非实时数据；智能体行业月度变化剧烈，关键决策前请以各公司财报与官方披露为准。</w:t>
            </w:r>
          </w:p>
        </w:tc>
      </w:tr>
    </w:tbl>
    <w:p w14:paraId="000001AD">
      <w:pPr>
        <w:pStyle w:val="000008"/>
        <w:keepNext w:val="1"/>
        <w:keepLines w:val="1"/>
        <w:shd w:val="clear" w:fill="1a237e"/>
        <w:spacing w:before="288" w:beforeAutospacing="1" w:after="216" w:afterAutospacing="1" w:line="360"/>
        <w:ind w:left="0" w:right="0"/>
        <w:jc w:val="left"/>
        <w:outlineLvl w:val="0"/>
        <w:rPr>
          <w:color w:val="ffffff"/>
          <w:kern w:val="44"/>
          <w:sz w:val="44"/>
          <w:szCs w:val="44"/>
        </w:rPr>
      </w:pPr>
      <w:bookmarkStart w:id="32" w:name="section-12"/>
      <w:r>
        <w:rPr>
          <w:rFonts w:hint="eastAsia" w:ascii="黑体" w:hAnsi="黑体" w:eastAsia="黑体" w:cs="黑体"/>
          <w:b w:val="1"/>
          <w:color w:val="ffffff"/>
          <w:sz w:val="26"/>
        </w:rPr>
        <w:t>附录A：主要数据来源与口径对照</w:t>
      </w:r>
      <w:bookmarkEnd w:id="32"/>
    </w:p>
    <w:p w14:paraId="000001AE">
      <w:pPr>
        <w:spacing w:before="0" w:after="192" w:line="360"/>
        <w:ind w:left="0" w:right="0" w:firstLine="480"/>
        <w:jc w:val="both"/>
        <w:rPr>
          <w:color w:val="1a1a1a"/>
        </w:rPr>
      </w:pPr>
      <w:r>
        <w:rPr>
          <w:rFonts w:hint="eastAsia" w:ascii="宋体" w:hAnsi="宋体" w:eastAsia="宋体" w:cs="宋体"/>
          <w:b w:val="1"/>
          <w:color w:val="1a1a1a"/>
          <w:sz w:val="18"/>
        </w:rPr>
        <w:t>表11：本报告主要数据来源一览</w:t>
      </w:r>
    </w:p>
    <w:tbl>
      <w:tblPr>
        <w:tblW w:w="8306" w:type="dxa"/>
        <w:shd w:color="1a1a1a"/>
        <w:tblLayout w:type="autofit"/>
        <w:tblCellMar>
          <w:top w:w="0" w:type="dxa"/>
          <w:left w:w="0" w:type="dxa"/>
          <w:bottom w:w="0" w:type="dxa"/>
          <w:right w:w="0" w:type="dxa"/>
        </w:tblCellMar>
      </w:tblPr>
      <w:tblGrid>
        <w:gridCol w:w="2076"/>
        <w:gridCol w:w="2076"/>
        <w:gridCol w:w="2076"/>
        <w:gridCol w:w="2076"/>
      </w:tblGrid>
      <w:tr>
        <w:trPr>
          <w:tblHeader w:val="1"/>
        </w:trPr>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AF">
            <w:pPr>
              <w:jc w:val="left"/>
              <w:rPr>
                <w:b w:val="1"/>
                <w:bCs w:val="1"/>
                <w:color w:val="1a1a1a"/>
              </w:rPr>
            </w:pPr>
            <w:r>
              <w:rPr>
                <w:rFonts w:hint="eastAsia" w:ascii="宋体" w:hAnsi="宋体" w:eastAsia="宋体" w:cs="宋体"/>
                <w:b w:val="1"/>
                <w:color w:val="1a1a1a"/>
                <w:sz w:val="16"/>
              </w:rPr>
              <w:t>数据主题</w:t>
            </w:r>
          </w:p>
        </w:tc>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B0">
            <w:pPr>
              <w:jc w:val="left"/>
              <w:rPr>
                <w:b w:val="1"/>
                <w:bCs w:val="1"/>
                <w:color w:val="1a1a1a"/>
              </w:rPr>
            </w:pPr>
            <w:r>
              <w:rPr>
                <w:rFonts w:hint="eastAsia" w:ascii="宋体" w:hAnsi="宋体" w:eastAsia="宋体" w:cs="宋体"/>
                <w:b w:val="1"/>
                <w:color w:val="1a1a1a"/>
                <w:sz w:val="16"/>
              </w:rPr>
              <w:t>来源机构</w:t>
            </w:r>
          </w:p>
        </w:tc>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B1">
            <w:pPr>
              <w:jc w:val="left"/>
              <w:rPr>
                <w:b w:val="1"/>
                <w:bCs w:val="1"/>
                <w:color w:val="1a1a1a"/>
              </w:rPr>
            </w:pPr>
            <w:r>
              <w:rPr>
                <w:rFonts w:hint="eastAsia" w:ascii="宋体" w:hAnsi="宋体" w:eastAsia="宋体" w:cs="宋体"/>
                <w:b w:val="1"/>
                <w:color w:val="1a1a1a"/>
                <w:sz w:val="16"/>
              </w:rPr>
              <w:t>发布时间</w:t>
            </w:r>
          </w:p>
        </w:tc>
        <w:tc>
          <w:tcPr>
            <w:tcW w:w="2076"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B2">
            <w:pPr>
              <w:jc w:val="left"/>
              <w:rPr>
                <w:b w:val="1"/>
                <w:bCs w:val="1"/>
                <w:color w:val="1a1a1a"/>
              </w:rPr>
            </w:pPr>
            <w:r>
              <w:rPr>
                <w:rFonts w:hint="eastAsia" w:ascii="宋体" w:hAnsi="宋体" w:eastAsia="宋体" w:cs="宋体"/>
                <w:b w:val="1"/>
                <w:color w:val="1a1a1a"/>
                <w:sz w:val="16"/>
              </w:rPr>
              <w:t>口径备注</w:t>
            </w:r>
          </w:p>
        </w:tc>
      </w:tr>
      <w:tr>
        <w:trPr/>
        <w:tc>
          <w:tcPr>
            <w:tcW w:w="2076" w:type="dxa"/>
            <w:tcBorders>
              <w:left w:val="none" w:sz="8"/>
              <w:right w:val="none" w:sz="8"/>
            </w:tcBorders>
            <w:tcMar>
              <w:top w:w="72" w:type="dxa"/>
              <w:left w:w="144" w:type="dxa"/>
              <w:bottom w:w="72" w:type="dxa"/>
              <w:right w:w="144" w:type="dxa"/>
            </w:tcMar>
            <w:vAlign w:val="center"/>
          </w:tcPr>
          <w:p w14:paraId="000001B3">
            <w:pPr>
              <w:jc w:val="left"/>
              <w:rPr>
                <w:color w:val="1a1a1a"/>
              </w:rPr>
            </w:pPr>
            <w:r>
              <w:rPr>
                <w:rFonts w:hint="eastAsia" w:ascii="宋体" w:hAnsi="宋体" w:eastAsia="宋体" w:cs="宋体"/>
                <w:color w:val="1a1a1a"/>
                <w:sz w:val="16"/>
              </w:rPr>
              <w:t>全球 AI Agents 市场规模与预测</w:t>
            </w:r>
          </w:p>
        </w:tc>
        <w:tc>
          <w:tcPr>
            <w:tcW w:w="2076" w:type="dxa"/>
            <w:tcBorders>
              <w:left w:val="none" w:sz="8"/>
              <w:right w:val="none" w:sz="8"/>
            </w:tcBorders>
            <w:tcMar>
              <w:top w:w="72" w:type="dxa"/>
              <w:left w:w="144" w:type="dxa"/>
              <w:bottom w:w="72" w:type="dxa"/>
              <w:right w:w="144" w:type="dxa"/>
            </w:tcMar>
            <w:vAlign w:val="center"/>
          </w:tcPr>
          <w:p w14:paraId="000001B4">
            <w:pPr>
              <w:jc w:val="left"/>
              <w:rPr>
                <w:color w:val="1a1a1a"/>
              </w:rPr>
            </w:pPr>
            <w:r>
              <w:rPr>
                <w:rFonts w:ascii="宋体" w:hAnsi="宋体" w:eastAsia="宋体" w:cs="宋体"/>
                <w:color w:val="1a1a1a"/>
                <w:sz w:val="16"/>
              </w:rPr>
              <w:t>MarketsandMarkets</w:t>
            </w:r>
          </w:p>
        </w:tc>
        <w:tc>
          <w:tcPr>
            <w:tcW w:w="2076" w:type="dxa"/>
            <w:tcBorders>
              <w:left w:val="none" w:sz="8"/>
              <w:right w:val="none" w:sz="8"/>
            </w:tcBorders>
            <w:tcMar>
              <w:top w:w="72" w:type="dxa"/>
              <w:left w:w="144" w:type="dxa"/>
              <w:bottom w:w="72" w:type="dxa"/>
              <w:right w:w="144" w:type="dxa"/>
            </w:tcMar>
            <w:vAlign w:val="center"/>
          </w:tcPr>
          <w:p w14:paraId="000001B5">
            <w:pPr>
              <w:jc w:val="right"/>
              <w:rPr>
                <w:color w:val="1a1a1a"/>
              </w:rPr>
            </w:pPr>
            <w:r>
              <w:rPr>
                <w:rFonts w:hint="eastAsia" w:ascii="Calibri" w:hAnsi="Calibri" w:eastAsia="Calibri" w:cs="Calibri"/>
                <w:color w:val="1a1a1a"/>
                <w:sz w:val="16"/>
              </w:rPr>
              <w:t>2025年4月</w:t>
            </w:r>
          </w:p>
        </w:tc>
        <w:tc>
          <w:tcPr>
            <w:tcW w:w="2076" w:type="dxa"/>
            <w:tcBorders>
              <w:left w:val="none" w:sz="8"/>
              <w:right w:val="none" w:sz="8"/>
            </w:tcBorders>
            <w:tcMar>
              <w:top w:w="72" w:type="dxa"/>
              <w:left w:w="144" w:type="dxa"/>
              <w:bottom w:w="72" w:type="dxa"/>
              <w:right w:w="144" w:type="dxa"/>
            </w:tcMar>
            <w:vAlign w:val="center"/>
          </w:tcPr>
          <w:p w14:paraId="000001B6">
            <w:pPr>
              <w:jc w:val="left"/>
              <w:rPr>
                <w:color w:val="1a1a1a"/>
              </w:rPr>
            </w:pPr>
            <w:r>
              <w:rPr>
                <w:rFonts w:hint="eastAsia" w:ascii="宋体" w:hAnsi="宋体" w:eastAsia="宋体" w:cs="宋体"/>
                <w:color w:val="1a1a1a"/>
                <w:sz w:val="16"/>
              </w:rPr>
              <w:t>软件产品口径</w:t>
            </w:r>
          </w:p>
        </w:tc>
      </w:tr>
      <w:tr>
        <w:trPr/>
        <w:tc>
          <w:tcPr>
            <w:tcW w:w="2076" w:type="dxa"/>
            <w:tcBorders>
              <w:left w:val="none" w:sz="8"/>
              <w:right w:val="none" w:sz="8"/>
            </w:tcBorders>
            <w:tcMar>
              <w:top w:w="72" w:type="dxa"/>
              <w:left w:w="144" w:type="dxa"/>
              <w:bottom w:w="72" w:type="dxa"/>
              <w:right w:w="144" w:type="dxa"/>
            </w:tcMar>
            <w:vAlign w:val="center"/>
          </w:tcPr>
          <w:p w14:paraId="000001B7">
            <w:pPr>
              <w:jc w:val="left"/>
              <w:rPr>
                <w:color w:val="1a1a1a"/>
              </w:rPr>
            </w:pPr>
            <w:r>
              <w:rPr>
                <w:rFonts w:hint="eastAsia" w:ascii="宋体" w:hAnsi="宋体" w:eastAsia="宋体" w:cs="宋体"/>
                <w:color w:val="1a1a1a"/>
                <w:sz w:val="16"/>
              </w:rPr>
              <w:t>全球 AI Agents 市场规模</w:t>
            </w:r>
          </w:p>
        </w:tc>
        <w:tc>
          <w:tcPr>
            <w:tcW w:w="2076" w:type="dxa"/>
            <w:tcBorders>
              <w:left w:val="none" w:sz="8"/>
              <w:right w:val="none" w:sz="8"/>
            </w:tcBorders>
            <w:tcMar>
              <w:top w:w="72" w:type="dxa"/>
              <w:left w:w="144" w:type="dxa"/>
              <w:bottom w:w="72" w:type="dxa"/>
              <w:right w:w="144" w:type="dxa"/>
            </w:tcMar>
            <w:vAlign w:val="center"/>
          </w:tcPr>
          <w:p w14:paraId="000001B8">
            <w:pPr>
              <w:jc w:val="left"/>
              <w:rPr>
                <w:color w:val="1a1a1a"/>
              </w:rPr>
            </w:pPr>
            <w:r>
              <w:rPr>
                <w:rFonts w:ascii="宋体" w:hAnsi="宋体" w:eastAsia="宋体" w:cs="宋体"/>
                <w:color w:val="1a1a1a"/>
                <w:sz w:val="16"/>
              </w:rPr>
              <w:t>BCC Research / MarkNtel / Grand View</w:t>
            </w:r>
          </w:p>
        </w:tc>
        <w:tc>
          <w:tcPr>
            <w:tcW w:w="2076" w:type="dxa"/>
            <w:tcBorders>
              <w:left w:val="none" w:sz="8"/>
              <w:right w:val="none" w:sz="8"/>
            </w:tcBorders>
            <w:tcMar>
              <w:top w:w="72" w:type="dxa"/>
              <w:left w:w="144" w:type="dxa"/>
              <w:bottom w:w="72" w:type="dxa"/>
              <w:right w:w="144" w:type="dxa"/>
            </w:tcMar>
            <w:vAlign w:val="center"/>
          </w:tcPr>
          <w:p w14:paraId="000001B9">
            <w:pPr>
              <w:jc w:val="right"/>
              <w:rPr>
                <w:color w:val="1a1a1a"/>
              </w:rPr>
            </w:pPr>
            <w:r>
              <w:rPr>
                <w:rFonts w:hint="eastAsia" w:ascii="Calibri" w:hAnsi="Calibri" w:eastAsia="Calibri" w:cs="Calibri"/>
                <w:color w:val="1a1a1a"/>
                <w:sz w:val="16"/>
              </w:rPr>
              <w:t>2026年</w:t>
            </w:r>
          </w:p>
        </w:tc>
        <w:tc>
          <w:tcPr>
            <w:tcW w:w="2076" w:type="dxa"/>
            <w:tcBorders>
              <w:left w:val="none" w:sz="8"/>
              <w:right w:val="none" w:sz="8"/>
            </w:tcBorders>
            <w:tcMar>
              <w:top w:w="72" w:type="dxa"/>
              <w:left w:w="144" w:type="dxa"/>
              <w:bottom w:w="72" w:type="dxa"/>
              <w:right w:w="144" w:type="dxa"/>
            </w:tcMar>
            <w:vAlign w:val="center"/>
          </w:tcPr>
          <w:p w14:paraId="000001BA">
            <w:pPr>
              <w:jc w:val="left"/>
              <w:rPr>
                <w:color w:val="1a1a1a"/>
              </w:rPr>
            </w:pPr>
            <w:r>
              <w:rPr>
                <w:rFonts w:hint="eastAsia" w:ascii="宋体" w:hAnsi="宋体" w:eastAsia="宋体" w:cs="宋体"/>
                <w:color w:val="1a1a1a"/>
                <w:sz w:val="16"/>
              </w:rPr>
              <w:t>软件产品口径</w:t>
            </w:r>
          </w:p>
        </w:tc>
      </w:tr>
      <w:tr>
        <w:trPr/>
        <w:tc>
          <w:tcPr>
            <w:tcW w:w="2076" w:type="dxa"/>
            <w:tcBorders>
              <w:left w:val="none" w:sz="8"/>
              <w:right w:val="none" w:sz="8"/>
            </w:tcBorders>
            <w:tcMar>
              <w:top w:w="72" w:type="dxa"/>
              <w:left w:w="144" w:type="dxa"/>
              <w:bottom w:w="72" w:type="dxa"/>
              <w:right w:w="144" w:type="dxa"/>
            </w:tcMar>
            <w:vAlign w:val="center"/>
          </w:tcPr>
          <w:p w14:paraId="000001BB">
            <w:pPr>
              <w:jc w:val="left"/>
              <w:rPr>
                <w:color w:val="1a1a1a"/>
              </w:rPr>
            </w:pPr>
            <w:r>
              <w:rPr>
                <w:rFonts w:hint="eastAsia" w:ascii="宋体" w:hAnsi="宋体" w:eastAsia="宋体" w:cs="宋体"/>
                <w:color w:val="1a1a1a"/>
                <w:sz w:val="16"/>
              </w:rPr>
              <w:t>Agentic AI 应用市场与厂商份额</w:t>
            </w:r>
          </w:p>
        </w:tc>
        <w:tc>
          <w:tcPr>
            <w:tcW w:w="2076" w:type="dxa"/>
            <w:tcBorders>
              <w:left w:val="none" w:sz="8"/>
              <w:right w:val="none" w:sz="8"/>
            </w:tcBorders>
            <w:tcMar>
              <w:top w:w="72" w:type="dxa"/>
              <w:left w:w="144" w:type="dxa"/>
              <w:bottom w:w="72" w:type="dxa"/>
              <w:right w:w="144" w:type="dxa"/>
            </w:tcMar>
            <w:vAlign w:val="center"/>
          </w:tcPr>
          <w:p w14:paraId="000001BC">
            <w:pPr>
              <w:jc w:val="left"/>
              <w:rPr>
                <w:color w:val="1a1a1a"/>
              </w:rPr>
            </w:pPr>
            <w:r>
              <w:rPr>
                <w:rFonts w:ascii="宋体" w:hAnsi="宋体" w:eastAsia="宋体" w:cs="宋体"/>
                <w:color w:val="1a1a1a"/>
                <w:sz w:val="16"/>
              </w:rPr>
              <w:t>IIM</w:t>
            </w:r>
          </w:p>
        </w:tc>
        <w:tc>
          <w:tcPr>
            <w:tcW w:w="2076" w:type="dxa"/>
            <w:tcBorders>
              <w:left w:val="none" w:sz="8"/>
              <w:right w:val="none" w:sz="8"/>
            </w:tcBorders>
            <w:tcMar>
              <w:top w:w="72" w:type="dxa"/>
              <w:left w:w="144" w:type="dxa"/>
              <w:bottom w:w="72" w:type="dxa"/>
              <w:right w:w="144" w:type="dxa"/>
            </w:tcMar>
            <w:vAlign w:val="center"/>
          </w:tcPr>
          <w:p w14:paraId="000001BD">
            <w:pPr>
              <w:jc w:val="right"/>
              <w:rPr>
                <w:color w:val="1a1a1a"/>
              </w:rPr>
            </w:pPr>
            <w:r>
              <w:rPr>
                <w:rFonts w:hint="eastAsia" w:ascii="Calibri" w:hAnsi="Calibri" w:eastAsia="Calibri" w:cs="Calibri"/>
                <w:color w:val="1a1a1a"/>
                <w:sz w:val="16"/>
              </w:rPr>
              <w:t>2026年</w:t>
            </w:r>
          </w:p>
        </w:tc>
        <w:tc>
          <w:tcPr>
            <w:tcW w:w="2076" w:type="dxa"/>
            <w:tcBorders>
              <w:left w:val="none" w:sz="8"/>
              <w:right w:val="none" w:sz="8"/>
            </w:tcBorders>
            <w:tcMar>
              <w:top w:w="72" w:type="dxa"/>
              <w:left w:w="144" w:type="dxa"/>
              <w:bottom w:w="72" w:type="dxa"/>
              <w:right w:w="144" w:type="dxa"/>
            </w:tcMar>
            <w:vAlign w:val="center"/>
          </w:tcPr>
          <w:p w14:paraId="000001BE">
            <w:pPr>
              <w:jc w:val="left"/>
              <w:rPr>
                <w:color w:val="1a1a1a"/>
              </w:rPr>
            </w:pPr>
            <w:r>
              <w:rPr>
                <w:rFonts w:hint="eastAsia" w:ascii="宋体" w:hAnsi="宋体" w:eastAsia="宋体" w:cs="宋体"/>
                <w:color w:val="1a1a1a"/>
                <w:sz w:val="16"/>
              </w:rPr>
              <w:t>应用与服务宽口径</w:t>
            </w:r>
          </w:p>
        </w:tc>
      </w:tr>
      <w:tr>
        <w:trPr/>
        <w:tc>
          <w:tcPr>
            <w:tcW w:w="2076" w:type="dxa"/>
            <w:tcBorders>
              <w:left w:val="none" w:sz="8"/>
              <w:right w:val="none" w:sz="8"/>
            </w:tcBorders>
            <w:tcMar>
              <w:top w:w="72" w:type="dxa"/>
              <w:left w:w="144" w:type="dxa"/>
              <w:bottom w:w="72" w:type="dxa"/>
              <w:right w:w="144" w:type="dxa"/>
            </w:tcMar>
            <w:vAlign w:val="center"/>
          </w:tcPr>
          <w:p w14:paraId="000001BF">
            <w:pPr>
              <w:jc w:val="left"/>
              <w:rPr>
                <w:color w:val="1a1a1a"/>
              </w:rPr>
            </w:pPr>
            <w:r>
              <w:rPr>
                <w:rFonts w:hint="eastAsia" w:ascii="宋体" w:hAnsi="宋体" w:eastAsia="宋体" w:cs="宋体"/>
                <w:color w:val="1a1a1a"/>
                <w:sz w:val="16"/>
              </w:rPr>
              <w:t>企业部署份额</w:t>
            </w:r>
          </w:p>
        </w:tc>
        <w:tc>
          <w:tcPr>
            <w:tcW w:w="2076" w:type="dxa"/>
            <w:tcBorders>
              <w:left w:val="none" w:sz="8"/>
              <w:right w:val="none" w:sz="8"/>
            </w:tcBorders>
            <w:tcMar>
              <w:top w:w="72" w:type="dxa"/>
              <w:left w:w="144" w:type="dxa"/>
              <w:bottom w:w="72" w:type="dxa"/>
              <w:right w:w="144" w:type="dxa"/>
            </w:tcMar>
            <w:vAlign w:val="center"/>
          </w:tcPr>
          <w:p w14:paraId="000001C0">
            <w:pPr>
              <w:jc w:val="left"/>
              <w:rPr>
                <w:color w:val="1a1a1a"/>
              </w:rPr>
            </w:pPr>
            <w:r>
              <w:rPr>
                <w:rFonts w:ascii="宋体" w:hAnsi="宋体" w:eastAsia="宋体" w:cs="宋体"/>
                <w:color w:val="1a1a1a"/>
                <w:sz w:val="16"/>
              </w:rPr>
              <w:t>Digital Applied</w:t>
            </w:r>
          </w:p>
        </w:tc>
        <w:tc>
          <w:tcPr>
            <w:tcW w:w="2076" w:type="dxa"/>
            <w:tcBorders>
              <w:left w:val="none" w:sz="8"/>
              <w:right w:val="none" w:sz="8"/>
            </w:tcBorders>
            <w:tcMar>
              <w:top w:w="72" w:type="dxa"/>
              <w:left w:w="144" w:type="dxa"/>
              <w:bottom w:w="72" w:type="dxa"/>
              <w:right w:w="144" w:type="dxa"/>
            </w:tcMar>
            <w:vAlign w:val="center"/>
          </w:tcPr>
          <w:p w14:paraId="000001C1">
            <w:pPr>
              <w:jc w:val="right"/>
              <w:rPr>
                <w:color w:val="1a1a1a"/>
              </w:rPr>
            </w:pPr>
            <w:r>
              <w:rPr>
                <w:rFonts w:hint="eastAsia" w:ascii="Calibri" w:hAnsi="Calibri" w:eastAsia="Calibri" w:cs="Calibri"/>
                <w:color w:val="1a1a1a"/>
                <w:sz w:val="16"/>
              </w:rPr>
              <w:t>2026年</w:t>
            </w:r>
          </w:p>
        </w:tc>
        <w:tc>
          <w:tcPr>
            <w:tcW w:w="2076" w:type="dxa"/>
            <w:tcBorders>
              <w:left w:val="none" w:sz="8"/>
              <w:right w:val="none" w:sz="8"/>
            </w:tcBorders>
            <w:tcMar>
              <w:top w:w="72" w:type="dxa"/>
              <w:left w:w="144" w:type="dxa"/>
              <w:bottom w:w="72" w:type="dxa"/>
              <w:right w:w="144" w:type="dxa"/>
            </w:tcMar>
            <w:vAlign w:val="center"/>
          </w:tcPr>
          <w:p w14:paraId="000001C2">
            <w:pPr>
              <w:jc w:val="left"/>
              <w:rPr>
                <w:color w:val="1a1a1a"/>
              </w:rPr>
            </w:pPr>
            <w:r>
              <w:rPr>
                <w:rFonts w:hint="eastAsia" w:ascii="宋体" w:hAnsi="宋体" w:eastAsia="宋体" w:cs="宋体"/>
                <w:color w:val="1a1a1a"/>
                <w:sz w:val="16"/>
              </w:rPr>
              <w:t>企业实际部署口径</w:t>
            </w:r>
          </w:p>
        </w:tc>
      </w:tr>
      <w:tr>
        <w:trPr/>
        <w:tc>
          <w:tcPr>
            <w:tcW w:w="2076" w:type="dxa"/>
            <w:tcBorders>
              <w:left w:val="none" w:sz="8"/>
              <w:right w:val="none" w:sz="8"/>
            </w:tcBorders>
            <w:tcMar>
              <w:top w:w="72" w:type="dxa"/>
              <w:left w:w="144" w:type="dxa"/>
              <w:bottom w:w="72" w:type="dxa"/>
              <w:right w:w="144" w:type="dxa"/>
            </w:tcMar>
            <w:vAlign w:val="center"/>
          </w:tcPr>
          <w:p w14:paraId="000001C3">
            <w:pPr>
              <w:jc w:val="left"/>
              <w:rPr>
                <w:color w:val="1a1a1a"/>
              </w:rPr>
            </w:pPr>
            <w:r>
              <w:rPr>
                <w:rFonts w:hint="eastAsia" w:ascii="宋体" w:hAnsi="宋体" w:eastAsia="宋体" w:cs="宋体"/>
                <w:color w:val="1a1a1a"/>
                <w:sz w:val="16"/>
              </w:rPr>
              <w:t>企业部署率与项目取消预测</w:t>
            </w:r>
          </w:p>
        </w:tc>
        <w:tc>
          <w:tcPr>
            <w:tcW w:w="2076" w:type="dxa"/>
            <w:tcBorders>
              <w:left w:val="none" w:sz="8"/>
              <w:right w:val="none" w:sz="8"/>
            </w:tcBorders>
            <w:tcMar>
              <w:top w:w="72" w:type="dxa"/>
              <w:left w:w="144" w:type="dxa"/>
              <w:bottom w:w="72" w:type="dxa"/>
              <w:right w:w="144" w:type="dxa"/>
            </w:tcMar>
            <w:vAlign w:val="center"/>
          </w:tcPr>
          <w:p w14:paraId="000001C4">
            <w:pPr>
              <w:jc w:val="left"/>
              <w:rPr>
                <w:color w:val="1a1a1a"/>
              </w:rPr>
            </w:pPr>
            <w:r>
              <w:rPr>
                <w:rFonts w:ascii="宋体" w:hAnsi="宋体" w:eastAsia="宋体" w:cs="宋体"/>
                <w:color w:val="1a1a1a"/>
                <w:sz w:val="16"/>
              </w:rPr>
              <w:t>Gartner</w:t>
            </w:r>
          </w:p>
        </w:tc>
        <w:tc>
          <w:tcPr>
            <w:tcW w:w="2076" w:type="dxa"/>
            <w:tcBorders>
              <w:left w:val="none" w:sz="8"/>
              <w:right w:val="none" w:sz="8"/>
            </w:tcBorders>
            <w:tcMar>
              <w:top w:w="72" w:type="dxa"/>
              <w:left w:w="144" w:type="dxa"/>
              <w:bottom w:w="72" w:type="dxa"/>
              <w:right w:w="144" w:type="dxa"/>
            </w:tcMar>
            <w:vAlign w:val="center"/>
          </w:tcPr>
          <w:p w14:paraId="000001C5">
            <w:pPr>
              <w:jc w:val="right"/>
              <w:rPr>
                <w:color w:val="1a1a1a"/>
              </w:rPr>
            </w:pPr>
            <w:r>
              <w:rPr>
                <w:rFonts w:hint="eastAsia" w:ascii="Calibri" w:hAnsi="Calibri" w:eastAsia="Calibri" w:cs="Calibri"/>
                <w:color w:val="1a1a1a"/>
                <w:sz w:val="16"/>
              </w:rPr>
              <w:t>2026年</w:t>
            </w:r>
          </w:p>
        </w:tc>
        <w:tc>
          <w:tcPr>
            <w:tcW w:w="2076" w:type="dxa"/>
            <w:tcBorders>
              <w:left w:val="none" w:sz="8"/>
              <w:right w:val="none" w:sz="8"/>
            </w:tcBorders>
            <w:tcMar>
              <w:top w:w="72" w:type="dxa"/>
              <w:left w:w="144" w:type="dxa"/>
              <w:bottom w:w="72" w:type="dxa"/>
              <w:right w:w="144" w:type="dxa"/>
            </w:tcMar>
            <w:vAlign w:val="center"/>
          </w:tcPr>
          <w:p w14:paraId="000001C6">
            <w:pPr>
              <w:jc w:val="left"/>
              <w:rPr>
                <w:color w:val="1a1a1a"/>
              </w:rPr>
            </w:pPr>
            <w:r>
              <w:rPr>
                <w:rFonts w:hint="eastAsia" w:ascii="宋体" w:hAnsi="宋体" w:eastAsia="宋体" w:cs="宋体"/>
                <w:color w:val="1a1a1a"/>
                <w:sz w:val="16"/>
              </w:rPr>
              <w:t>调研口径</w:t>
            </w:r>
          </w:p>
        </w:tc>
      </w:tr>
      <w:tr>
        <w:trPr/>
        <w:tc>
          <w:tcPr>
            <w:tcW w:w="2076" w:type="dxa"/>
            <w:tcBorders>
              <w:left w:val="none" w:sz="8"/>
              <w:right w:val="none" w:sz="8"/>
            </w:tcBorders>
            <w:tcMar>
              <w:top w:w="72" w:type="dxa"/>
              <w:left w:w="144" w:type="dxa"/>
              <w:bottom w:w="72" w:type="dxa"/>
              <w:right w:w="144" w:type="dxa"/>
            </w:tcMar>
            <w:vAlign w:val="center"/>
          </w:tcPr>
          <w:p w14:paraId="000001C7">
            <w:pPr>
              <w:jc w:val="left"/>
              <w:rPr>
                <w:color w:val="1a1a1a"/>
              </w:rPr>
            </w:pPr>
            <w:r>
              <w:rPr>
                <w:rFonts w:hint="eastAsia" w:ascii="宋体" w:hAnsi="宋体" w:eastAsia="宋体" w:cs="宋体"/>
                <w:color w:val="1a1a1a"/>
                <w:sz w:val="16"/>
              </w:rPr>
              <w:t>中国企业级智能体市场规模</w:t>
            </w:r>
          </w:p>
        </w:tc>
        <w:tc>
          <w:tcPr>
            <w:tcW w:w="2076" w:type="dxa"/>
            <w:tcBorders>
              <w:left w:val="none" w:sz="8"/>
              <w:right w:val="none" w:sz="8"/>
            </w:tcBorders>
            <w:tcMar>
              <w:top w:w="72" w:type="dxa"/>
              <w:left w:w="144" w:type="dxa"/>
              <w:bottom w:w="72" w:type="dxa"/>
              <w:right w:w="144" w:type="dxa"/>
            </w:tcMar>
            <w:vAlign w:val="center"/>
          </w:tcPr>
          <w:p w14:paraId="000001C8">
            <w:pPr>
              <w:jc w:val="left"/>
              <w:rPr>
                <w:color w:val="1a1a1a"/>
              </w:rPr>
            </w:pPr>
            <w:r>
              <w:rPr>
                <w:rFonts w:hint="eastAsia" w:ascii="宋体" w:hAnsi="宋体" w:eastAsia="宋体" w:cs="宋体"/>
                <w:color w:val="1a1a1a"/>
                <w:sz w:val="16"/>
              </w:rPr>
              <w:t>IDC / 第一新声</w:t>
            </w:r>
          </w:p>
        </w:tc>
        <w:tc>
          <w:tcPr>
            <w:tcW w:w="2076" w:type="dxa"/>
            <w:tcBorders>
              <w:left w:val="none" w:sz="8"/>
              <w:right w:val="none" w:sz="8"/>
            </w:tcBorders>
            <w:tcMar>
              <w:top w:w="72" w:type="dxa"/>
              <w:left w:w="144" w:type="dxa"/>
              <w:bottom w:w="72" w:type="dxa"/>
              <w:right w:w="144" w:type="dxa"/>
            </w:tcMar>
            <w:vAlign w:val="center"/>
          </w:tcPr>
          <w:p w14:paraId="000001C9">
            <w:pPr>
              <w:jc w:val="right"/>
              <w:rPr>
                <w:color w:val="1a1a1a"/>
              </w:rPr>
            </w:pPr>
            <w:r>
              <w:rPr>
                <w:rFonts w:hint="eastAsia" w:ascii="Calibri" w:hAnsi="Calibri" w:eastAsia="Calibri" w:cs="Calibri"/>
                <w:color w:val="1a1a1a"/>
                <w:sz w:val="16"/>
              </w:rPr>
              <w:t>2026年</w:t>
            </w:r>
          </w:p>
        </w:tc>
        <w:tc>
          <w:tcPr>
            <w:tcW w:w="2076" w:type="dxa"/>
            <w:tcBorders>
              <w:left w:val="none" w:sz="8"/>
              <w:right w:val="none" w:sz="8"/>
            </w:tcBorders>
            <w:tcMar>
              <w:top w:w="72" w:type="dxa"/>
              <w:left w:w="144" w:type="dxa"/>
              <w:bottom w:w="72" w:type="dxa"/>
              <w:right w:w="144" w:type="dxa"/>
            </w:tcMar>
            <w:vAlign w:val="center"/>
          </w:tcPr>
          <w:p w14:paraId="000001CA">
            <w:pPr>
              <w:jc w:val="left"/>
              <w:rPr>
                <w:color w:val="1a1a1a"/>
              </w:rPr>
            </w:pPr>
            <w:r>
              <w:rPr>
                <w:rFonts w:hint="eastAsia" w:ascii="宋体" w:hAnsi="宋体" w:eastAsia="宋体" w:cs="宋体"/>
                <w:color w:val="1a1a1a"/>
                <w:sz w:val="16"/>
              </w:rPr>
              <w:t>人民币口径</w:t>
            </w:r>
          </w:p>
        </w:tc>
      </w:tr>
      <w:tr>
        <w:trPr/>
        <w:tc>
          <w:tcPr>
            <w:tcW w:w="2076" w:type="dxa"/>
            <w:tcBorders>
              <w:left w:val="none" w:sz="8"/>
              <w:right w:val="none" w:sz="8"/>
            </w:tcBorders>
            <w:tcMar>
              <w:top w:w="72" w:type="dxa"/>
              <w:left w:w="144" w:type="dxa"/>
              <w:bottom w:w="72" w:type="dxa"/>
              <w:right w:w="144" w:type="dxa"/>
            </w:tcMar>
            <w:vAlign w:val="center"/>
          </w:tcPr>
          <w:p w14:paraId="000001CB">
            <w:pPr>
              <w:jc w:val="left"/>
              <w:rPr>
                <w:color w:val="1a1a1a"/>
              </w:rPr>
            </w:pPr>
            <w:r>
              <w:rPr>
                <w:rFonts w:hint="eastAsia" w:ascii="宋体" w:hAnsi="宋体" w:eastAsia="宋体" w:cs="宋体"/>
                <w:color w:val="1a1a1a"/>
                <w:sz w:val="16"/>
              </w:rPr>
              <w:t>中国 AI Agent 综合份额</w:t>
            </w:r>
          </w:p>
        </w:tc>
        <w:tc>
          <w:tcPr>
            <w:tcW w:w="2076" w:type="dxa"/>
            <w:tcBorders>
              <w:left w:val="none" w:sz="8"/>
              <w:right w:val="none" w:sz="8"/>
            </w:tcBorders>
            <w:tcMar>
              <w:top w:w="72" w:type="dxa"/>
              <w:left w:w="144" w:type="dxa"/>
              <w:bottom w:w="72" w:type="dxa"/>
              <w:right w:w="144" w:type="dxa"/>
            </w:tcMar>
            <w:vAlign w:val="center"/>
          </w:tcPr>
          <w:p w14:paraId="000001CC">
            <w:pPr>
              <w:jc w:val="left"/>
              <w:rPr>
                <w:color w:val="1a1a1a"/>
              </w:rPr>
            </w:pPr>
            <w:r>
              <w:rPr>
                <w:rFonts w:ascii="宋体" w:hAnsi="宋体" w:eastAsia="宋体" w:cs="宋体"/>
                <w:color w:val="1a1a1a"/>
                <w:sz w:val="16"/>
              </w:rPr>
              <w:t>IDC</w:t>
            </w:r>
          </w:p>
        </w:tc>
        <w:tc>
          <w:tcPr>
            <w:tcW w:w="2076" w:type="dxa"/>
            <w:tcBorders>
              <w:left w:val="none" w:sz="8"/>
              <w:right w:val="none" w:sz="8"/>
            </w:tcBorders>
            <w:tcMar>
              <w:top w:w="72" w:type="dxa"/>
              <w:left w:w="144" w:type="dxa"/>
              <w:bottom w:w="72" w:type="dxa"/>
              <w:right w:w="144" w:type="dxa"/>
            </w:tcMar>
            <w:vAlign w:val="center"/>
          </w:tcPr>
          <w:p w14:paraId="000001CD">
            <w:pPr>
              <w:jc w:val="right"/>
              <w:rPr>
                <w:color w:val="1a1a1a"/>
              </w:rPr>
            </w:pPr>
            <w:r>
              <w:rPr>
                <w:rFonts w:hint="eastAsia" w:ascii="Calibri" w:hAnsi="Calibri" w:eastAsia="Calibri" w:cs="Calibri"/>
                <w:color w:val="1a1a1a"/>
                <w:sz w:val="16"/>
              </w:rPr>
              <w:t>2026年3月</w:t>
            </w:r>
          </w:p>
        </w:tc>
        <w:tc>
          <w:tcPr>
            <w:tcW w:w="2076" w:type="dxa"/>
            <w:tcBorders>
              <w:left w:val="none" w:sz="8"/>
              <w:right w:val="none" w:sz="8"/>
            </w:tcBorders>
            <w:tcMar>
              <w:top w:w="72" w:type="dxa"/>
              <w:left w:w="144" w:type="dxa"/>
              <w:bottom w:w="72" w:type="dxa"/>
              <w:right w:w="144" w:type="dxa"/>
            </w:tcMar>
            <w:vAlign w:val="center"/>
          </w:tcPr>
          <w:p w14:paraId="000001CE">
            <w:pPr>
              <w:jc w:val="left"/>
              <w:rPr>
                <w:color w:val="1a1a1a"/>
              </w:rPr>
            </w:pPr>
            <w:r>
              <w:rPr>
                <w:rFonts w:hint="eastAsia" w:ascii="宋体" w:hAnsi="宋体" w:eastAsia="宋体" w:cs="宋体"/>
                <w:color w:val="1a1a1a"/>
                <w:sz w:val="16"/>
              </w:rPr>
              <w:t>综合市场份额</w:t>
            </w:r>
          </w:p>
        </w:tc>
      </w:tr>
      <w:tr>
        <w:trPr/>
        <w:tc>
          <w:tcPr>
            <w:tcW w:w="2076" w:type="dxa"/>
            <w:tcBorders>
              <w:left w:val="none" w:sz="8"/>
              <w:right w:val="none" w:sz="8"/>
            </w:tcBorders>
            <w:tcMar>
              <w:top w:w="72" w:type="dxa"/>
              <w:left w:w="144" w:type="dxa"/>
              <w:bottom w:w="72" w:type="dxa"/>
              <w:right w:w="144" w:type="dxa"/>
            </w:tcMar>
            <w:vAlign w:val="center"/>
          </w:tcPr>
          <w:p w14:paraId="000001CF">
            <w:pPr>
              <w:jc w:val="left"/>
              <w:rPr>
                <w:color w:val="1a1a1a"/>
              </w:rPr>
            </w:pPr>
            <w:r>
              <w:rPr>
                <w:rFonts w:hint="eastAsia" w:ascii="宋体" w:hAnsi="宋体" w:eastAsia="宋体" w:cs="宋体"/>
                <w:color w:val="1a1a1a"/>
                <w:sz w:val="16"/>
              </w:rPr>
              <w:t>中国办公 Agent 访问量份额</w:t>
            </w:r>
          </w:p>
        </w:tc>
        <w:tc>
          <w:tcPr>
            <w:tcW w:w="2076" w:type="dxa"/>
            <w:tcBorders>
              <w:left w:val="none" w:sz="8"/>
              <w:right w:val="none" w:sz="8"/>
            </w:tcBorders>
            <w:tcMar>
              <w:top w:w="72" w:type="dxa"/>
              <w:left w:w="144" w:type="dxa"/>
              <w:bottom w:w="72" w:type="dxa"/>
              <w:right w:w="144" w:type="dxa"/>
            </w:tcMar>
            <w:vAlign w:val="center"/>
          </w:tcPr>
          <w:p w14:paraId="000001D0">
            <w:pPr>
              <w:jc w:val="left"/>
              <w:rPr>
                <w:color w:val="1a1a1a"/>
              </w:rPr>
            </w:pPr>
            <w:r>
              <w:rPr>
                <w:rFonts w:hint="eastAsia" w:ascii="宋体" w:hAnsi="宋体" w:eastAsia="宋体" w:cs="宋体"/>
                <w:color w:val="1a1a1a"/>
                <w:sz w:val="16"/>
              </w:rPr>
              <w:t>易观分析</w:t>
            </w:r>
          </w:p>
        </w:tc>
        <w:tc>
          <w:tcPr>
            <w:tcW w:w="2076" w:type="dxa"/>
            <w:tcBorders>
              <w:left w:val="none" w:sz="8"/>
              <w:right w:val="none" w:sz="8"/>
            </w:tcBorders>
            <w:tcMar>
              <w:top w:w="72" w:type="dxa"/>
              <w:left w:w="144" w:type="dxa"/>
              <w:bottom w:w="72" w:type="dxa"/>
              <w:right w:w="144" w:type="dxa"/>
            </w:tcMar>
            <w:vAlign w:val="center"/>
          </w:tcPr>
          <w:p w14:paraId="000001D1">
            <w:pPr>
              <w:jc w:val="right"/>
              <w:rPr>
                <w:color w:val="1a1a1a"/>
              </w:rPr>
            </w:pPr>
            <w:r>
              <w:rPr>
                <w:rFonts w:hint="eastAsia" w:ascii="Calibri" w:hAnsi="Calibri" w:eastAsia="Calibri" w:cs="Calibri"/>
                <w:color w:val="1a1a1a"/>
                <w:sz w:val="16"/>
              </w:rPr>
              <w:t>2026年6月</w:t>
            </w:r>
          </w:p>
        </w:tc>
        <w:tc>
          <w:tcPr>
            <w:tcW w:w="2076" w:type="dxa"/>
            <w:tcBorders>
              <w:left w:val="none" w:sz="8"/>
              <w:right w:val="none" w:sz="8"/>
            </w:tcBorders>
            <w:tcMar>
              <w:top w:w="72" w:type="dxa"/>
              <w:left w:w="144" w:type="dxa"/>
              <w:bottom w:w="72" w:type="dxa"/>
              <w:right w:w="144" w:type="dxa"/>
            </w:tcMar>
            <w:vAlign w:val="center"/>
          </w:tcPr>
          <w:p w14:paraId="000001D2">
            <w:pPr>
              <w:jc w:val="left"/>
              <w:rPr>
                <w:color w:val="1a1a1a"/>
              </w:rPr>
            </w:pPr>
            <w:r>
              <w:rPr>
                <w:rFonts w:hint="eastAsia" w:ascii="宋体" w:hAnsi="宋体" w:eastAsia="宋体" w:cs="宋体"/>
                <w:color w:val="1a1a1a"/>
                <w:sz w:val="16"/>
              </w:rPr>
              <w:t>桌面端访问量口径</w:t>
            </w:r>
          </w:p>
        </w:tc>
      </w:tr>
      <w:tr>
        <w:trPr/>
        <w:tc>
          <w:tcPr>
            <w:tcW w:w="2076" w:type="dxa"/>
            <w:tcBorders>
              <w:left w:val="none" w:sz="8"/>
              <w:right w:val="none" w:sz="8"/>
            </w:tcBorders>
            <w:tcMar>
              <w:top w:w="72" w:type="dxa"/>
              <w:left w:w="144" w:type="dxa"/>
              <w:bottom w:w="72" w:type="dxa"/>
              <w:right w:w="144" w:type="dxa"/>
            </w:tcMar>
            <w:vAlign w:val="center"/>
          </w:tcPr>
          <w:p w14:paraId="000001D3">
            <w:pPr>
              <w:jc w:val="left"/>
              <w:rPr>
                <w:color w:val="1a1a1a"/>
              </w:rPr>
            </w:pPr>
            <w:r>
              <w:rPr>
                <w:rFonts w:hint="eastAsia" w:ascii="宋体" w:hAnsi="宋体" w:eastAsia="宋体" w:cs="宋体"/>
                <w:color w:val="1a1a1a"/>
                <w:sz w:val="16"/>
              </w:rPr>
              <w:t>中国 AI 云市场份额</w:t>
            </w:r>
          </w:p>
        </w:tc>
        <w:tc>
          <w:tcPr>
            <w:tcW w:w="2076" w:type="dxa"/>
            <w:tcBorders>
              <w:left w:val="none" w:sz="8"/>
              <w:right w:val="none" w:sz="8"/>
            </w:tcBorders>
            <w:tcMar>
              <w:top w:w="72" w:type="dxa"/>
              <w:left w:w="144" w:type="dxa"/>
              <w:bottom w:w="72" w:type="dxa"/>
              <w:right w:w="144" w:type="dxa"/>
            </w:tcMar>
            <w:vAlign w:val="center"/>
          </w:tcPr>
          <w:p w14:paraId="000001D4">
            <w:pPr>
              <w:jc w:val="left"/>
              <w:rPr>
                <w:color w:val="1a1a1a"/>
              </w:rPr>
            </w:pPr>
            <w:r>
              <w:rPr>
                <w:rFonts w:ascii="宋体" w:hAnsi="宋体" w:eastAsia="宋体" w:cs="宋体"/>
                <w:color w:val="1a1a1a"/>
                <w:sz w:val="16"/>
              </w:rPr>
              <w:t>China Briefing / Fortune</w:t>
            </w:r>
          </w:p>
        </w:tc>
        <w:tc>
          <w:tcPr>
            <w:tcW w:w="2076" w:type="dxa"/>
            <w:tcBorders>
              <w:left w:val="none" w:sz="8"/>
              <w:right w:val="none" w:sz="8"/>
            </w:tcBorders>
            <w:tcMar>
              <w:top w:w="72" w:type="dxa"/>
              <w:left w:w="144" w:type="dxa"/>
              <w:bottom w:w="72" w:type="dxa"/>
              <w:right w:w="144" w:type="dxa"/>
            </w:tcMar>
            <w:vAlign w:val="center"/>
          </w:tcPr>
          <w:p w14:paraId="000001D5">
            <w:pPr>
              <w:jc w:val="right"/>
              <w:rPr>
                <w:color w:val="1a1a1a"/>
              </w:rPr>
            </w:pPr>
            <w:r>
              <w:rPr>
                <w:rFonts w:hint="eastAsia" w:ascii="Calibri" w:hAnsi="Calibri" w:eastAsia="Calibri" w:cs="Calibri"/>
                <w:color w:val="1a1a1a"/>
                <w:sz w:val="16"/>
              </w:rPr>
              <w:t>2026年</w:t>
            </w:r>
          </w:p>
        </w:tc>
        <w:tc>
          <w:tcPr>
            <w:tcW w:w="2076" w:type="dxa"/>
            <w:tcBorders>
              <w:left w:val="none" w:sz="8"/>
              <w:right w:val="none" w:sz="8"/>
            </w:tcBorders>
            <w:tcMar>
              <w:top w:w="72" w:type="dxa"/>
              <w:left w:w="144" w:type="dxa"/>
              <w:bottom w:w="72" w:type="dxa"/>
              <w:right w:w="144" w:type="dxa"/>
            </w:tcMar>
            <w:vAlign w:val="center"/>
          </w:tcPr>
          <w:p w14:paraId="000001D6">
            <w:pPr>
              <w:jc w:val="left"/>
              <w:rPr>
                <w:color w:val="1a1a1a"/>
              </w:rPr>
            </w:pPr>
            <w:r>
              <w:rPr>
                <w:rFonts w:hint="eastAsia" w:ascii="宋体" w:hAnsi="宋体" w:eastAsia="宋体" w:cs="宋体"/>
                <w:color w:val="1a1a1a"/>
                <w:sz w:val="16"/>
              </w:rPr>
              <w:t>基础设施口径</w:t>
            </w:r>
          </w:p>
        </w:tc>
      </w:tr>
      <w:tr>
        <w:trPr/>
        <w:tc>
          <w:tcPr>
            <w:tcW w:w="2076" w:type="dxa"/>
            <w:tcBorders>
              <w:left w:val="none" w:sz="8"/>
              <w:bottom w:val="single" w:color="1a1a1a" w:sz="12"/>
              <w:right w:val="none" w:sz="8"/>
            </w:tcBorders>
            <w:tcMar>
              <w:top w:w="72" w:type="dxa"/>
              <w:left w:w="144" w:type="dxa"/>
              <w:bottom w:w="72" w:type="dxa"/>
              <w:right w:w="144" w:type="dxa"/>
            </w:tcMar>
            <w:vAlign w:val="center"/>
          </w:tcPr>
          <w:p w14:paraId="000001D7">
            <w:pPr>
              <w:jc w:val="left"/>
              <w:rPr>
                <w:color w:val="1a1a1a"/>
              </w:rPr>
            </w:pPr>
            <w:r>
              <w:rPr>
                <w:rFonts w:hint="eastAsia" w:ascii="宋体" w:hAnsi="宋体" w:eastAsia="宋体" w:cs="宋体"/>
                <w:color w:val="1a1a1a"/>
                <w:sz w:val="16"/>
              </w:rPr>
              <w:t>供应商财务数据</w:t>
            </w:r>
          </w:p>
        </w:tc>
        <w:tc>
          <w:tcPr>
            <w:tcW w:w="2076" w:type="dxa"/>
            <w:tcBorders>
              <w:left w:val="none" w:sz="8"/>
              <w:bottom w:val="single" w:color="1a1a1a" w:sz="12"/>
              <w:right w:val="none" w:sz="8"/>
            </w:tcBorders>
            <w:tcMar>
              <w:top w:w="72" w:type="dxa"/>
              <w:left w:w="144" w:type="dxa"/>
              <w:bottom w:w="72" w:type="dxa"/>
              <w:right w:w="144" w:type="dxa"/>
            </w:tcMar>
            <w:vAlign w:val="center"/>
          </w:tcPr>
          <w:p w14:paraId="000001D8">
            <w:pPr>
              <w:jc w:val="left"/>
              <w:rPr>
                <w:color w:val="1a1a1a"/>
              </w:rPr>
            </w:pPr>
            <w:r>
              <w:rPr>
                <w:rFonts w:hint="eastAsia" w:ascii="宋体" w:hAnsi="宋体" w:eastAsia="宋体" w:cs="宋体"/>
                <w:color w:val="1a1a1a"/>
                <w:sz w:val="16"/>
              </w:rPr>
              <w:t>各公司财报</w:t>
            </w:r>
          </w:p>
        </w:tc>
        <w:tc>
          <w:tcPr>
            <w:tcW w:w="2076" w:type="dxa"/>
            <w:tcBorders>
              <w:left w:val="none" w:sz="8"/>
              <w:bottom w:val="single" w:color="1a1a1a" w:sz="12"/>
              <w:right w:val="none" w:sz="8"/>
            </w:tcBorders>
            <w:tcMar>
              <w:top w:w="72" w:type="dxa"/>
              <w:left w:w="144" w:type="dxa"/>
              <w:bottom w:w="72" w:type="dxa"/>
              <w:right w:w="144" w:type="dxa"/>
            </w:tcMar>
            <w:vAlign w:val="center"/>
          </w:tcPr>
          <w:p w14:paraId="000001D9">
            <w:pPr>
              <w:jc w:val="right"/>
              <w:rPr>
                <w:color w:val="1a1a1a"/>
              </w:rPr>
            </w:pPr>
            <w:r>
              <w:rPr>
                <w:rFonts w:ascii="Calibri" w:hAnsi="Calibri" w:eastAsia="Calibri" w:cs="Calibri"/>
                <w:color w:val="1a1a1a"/>
                <w:sz w:val="16"/>
              </w:rPr>
              <w:t>FY2026 / FY27</w:t>
            </w:r>
          </w:p>
        </w:tc>
        <w:tc>
          <w:tcPr>
            <w:tcW w:w="2076" w:type="dxa"/>
            <w:tcBorders>
              <w:left w:val="none" w:sz="8"/>
              <w:bottom w:val="single" w:color="1a1a1a" w:sz="12"/>
              <w:right w:val="none" w:sz="8"/>
            </w:tcBorders>
            <w:tcMar>
              <w:top w:w="72" w:type="dxa"/>
              <w:left w:w="144" w:type="dxa"/>
              <w:bottom w:w="72" w:type="dxa"/>
              <w:right w:w="144" w:type="dxa"/>
            </w:tcMar>
            <w:vAlign w:val="center"/>
          </w:tcPr>
          <w:p w14:paraId="000001DA">
            <w:pPr>
              <w:jc w:val="left"/>
              <w:rPr>
                <w:color w:val="1a1a1a"/>
              </w:rPr>
            </w:pPr>
            <w:r>
              <w:rPr>
                <w:rFonts w:hint="eastAsia" w:ascii="宋体" w:hAnsi="宋体" w:eastAsia="宋体" w:cs="宋体"/>
                <w:color w:val="1a1a1a"/>
                <w:sz w:val="16"/>
              </w:rPr>
              <w:t>上市公司披露</w:t>
            </w:r>
          </w:p>
        </w:tc>
      </w:tr>
    </w:tbl>
    <w:p w14:paraId="000001DB">
      <w:pPr>
        <w:spacing w:before="0" w:after="192" w:line="360"/>
        <w:ind w:left="0" w:right="0" w:firstLine="480"/>
        <w:jc w:val="both"/>
        <w:rPr>
          <w:color w:val="1a1a1a"/>
        </w:rPr>
      </w:pPr>
      <w:r>
        <w:rPr>
          <w:rFonts w:hint="eastAsia" w:ascii="宋体" w:hAnsi="宋体" w:eastAsia="宋体" w:cs="宋体"/>
          <w:color w:val="1a1a1a"/>
          <w:sz w:val="18"/>
        </w:rPr>
        <w:t>注：以上来源均为公开渠道检索所得；不同机构统计边界存在差异，跨来源对比时请注意口径一致性。</w:t>
      </w:r>
    </w:p>
    <w:p w14:paraId="000001DC">
      <w:pPr>
        <w:pStyle w:val="000008"/>
        <w:keepNext w:val="1"/>
        <w:keepLines w:val="1"/>
        <w:shd w:val="clear" w:fill="1a237e"/>
        <w:spacing w:before="288" w:beforeAutospacing="1" w:after="216" w:afterAutospacing="1" w:line="360"/>
        <w:ind w:left="0" w:right="0"/>
        <w:jc w:val="left"/>
        <w:outlineLvl w:val="0"/>
        <w:rPr>
          <w:color w:val="ffffff"/>
          <w:kern w:val="44"/>
          <w:sz w:val="44"/>
          <w:szCs w:val="44"/>
        </w:rPr>
      </w:pPr>
      <w:bookmarkStart w:id="33" w:name="section-13"/>
      <w:r>
        <w:rPr>
          <w:rFonts w:hint="eastAsia" w:ascii="黑体" w:hAnsi="黑体" w:eastAsia="黑体" w:cs="黑体"/>
          <w:b w:val="1"/>
          <w:color w:val="ffffff"/>
          <w:sz w:val="26"/>
        </w:rPr>
        <w:t>附录B：术语表</w:t>
      </w:r>
      <w:bookmarkEnd w:id="33"/>
    </w:p>
    <w:p w14:paraId="000001DD">
      <w:pPr>
        <w:spacing w:before="0" w:after="192" w:line="360"/>
        <w:ind w:left="0" w:right="0" w:firstLine="480"/>
        <w:jc w:val="both"/>
        <w:rPr>
          <w:color w:val="1a1a1a"/>
        </w:rPr>
      </w:pPr>
      <w:r>
        <w:rPr>
          <w:rFonts w:hint="eastAsia" w:ascii="宋体" w:hAnsi="宋体" w:eastAsia="宋体" w:cs="宋体"/>
          <w:b w:val="1"/>
          <w:color w:val="1a1a1a"/>
          <w:sz w:val="18"/>
        </w:rPr>
        <w:t>表12：核心术语释义</w:t>
      </w:r>
    </w:p>
    <w:tbl>
      <w:tblPr>
        <w:tblW w:w="8306" w:type="dxa"/>
        <w:shd w:color="1a1a1a"/>
        <w:tblLayout w:type="autofit"/>
        <w:tblCellMar>
          <w:top w:w="0" w:type="dxa"/>
          <w:left w:w="0" w:type="dxa"/>
          <w:bottom w:w="0" w:type="dxa"/>
          <w:right w:w="0" w:type="dxa"/>
        </w:tblCellMar>
      </w:tblPr>
      <w:tblGrid>
        <w:gridCol w:w="4153"/>
        <w:gridCol w:w="4153"/>
      </w:tblGrid>
      <w:tr>
        <w:trPr>
          <w:tblHeader w:val="1"/>
        </w:trPr>
        <w:tc>
          <w:tcPr>
            <w:tcW w:w="4153"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DE">
            <w:pPr>
              <w:jc w:val="left"/>
              <w:rPr>
                <w:b w:val="1"/>
                <w:bCs w:val="1"/>
                <w:color w:val="1a1a1a"/>
              </w:rPr>
            </w:pPr>
            <w:r>
              <w:rPr>
                <w:rFonts w:hint="eastAsia" w:ascii="宋体" w:hAnsi="宋体" w:eastAsia="宋体" w:cs="宋体"/>
                <w:b w:val="1"/>
                <w:color w:val="1a1a1a"/>
                <w:sz w:val="16"/>
              </w:rPr>
              <w:t>术语</w:t>
            </w:r>
          </w:p>
        </w:tc>
        <w:tc>
          <w:tcPr>
            <w:tcW w:w="4153" w:type="dxa"/>
            <w:tcBorders>
              <w:top w:val="single" w:color="1a1a1a" w:sz="12"/>
              <w:left w:val="none" w:sz="8"/>
              <w:bottom w:val="single" w:color="1a1a1a" w:sz="6"/>
              <w:right w:val="none" w:sz="8"/>
            </w:tcBorders>
            <w:shd w:val="clear" w:fill="auto"/>
            <w:tcMar>
              <w:top w:w="72" w:type="dxa"/>
              <w:left w:w="144" w:type="dxa"/>
              <w:bottom w:w="72" w:type="dxa"/>
              <w:right w:w="144" w:type="dxa"/>
            </w:tcMar>
            <w:vAlign w:val="center"/>
          </w:tcPr>
          <w:p w14:paraId="000001DF">
            <w:pPr>
              <w:jc w:val="left"/>
              <w:rPr>
                <w:b w:val="1"/>
                <w:bCs w:val="1"/>
                <w:color w:val="1a1a1a"/>
              </w:rPr>
            </w:pPr>
            <w:r>
              <w:rPr>
                <w:rFonts w:hint="eastAsia" w:ascii="宋体" w:hAnsi="宋体" w:eastAsia="宋体" w:cs="宋体"/>
                <w:b w:val="1"/>
                <w:color w:val="1a1a1a"/>
                <w:sz w:val="16"/>
              </w:rPr>
              <w:t>释义</w:t>
            </w:r>
          </w:p>
        </w:tc>
      </w:tr>
      <w:tr>
        <w:trPr/>
        <w:tc>
          <w:tcPr>
            <w:tcW w:w="4153" w:type="dxa"/>
            <w:tcBorders>
              <w:left w:val="none" w:sz="8"/>
              <w:right w:val="none" w:sz="8"/>
            </w:tcBorders>
            <w:tcMar>
              <w:top w:w="72" w:type="dxa"/>
              <w:left w:w="144" w:type="dxa"/>
              <w:bottom w:w="72" w:type="dxa"/>
              <w:right w:w="144" w:type="dxa"/>
            </w:tcMar>
            <w:vAlign w:val="center"/>
          </w:tcPr>
          <w:p w14:paraId="000001E0">
            <w:pPr>
              <w:jc w:val="left"/>
              <w:rPr>
                <w:color w:val="1a1a1a"/>
              </w:rPr>
            </w:pPr>
            <w:r>
              <w:rPr>
                <w:rFonts w:hint="eastAsia" w:ascii="宋体" w:hAnsi="宋体" w:eastAsia="宋体" w:cs="宋体"/>
                <w:color w:val="1a1a1a"/>
                <w:sz w:val="16"/>
              </w:rPr>
              <w:t>AI Agent（智能体）</w:t>
            </w:r>
          </w:p>
        </w:tc>
        <w:tc>
          <w:tcPr>
            <w:tcW w:w="4153" w:type="dxa"/>
            <w:tcBorders>
              <w:left w:val="none" w:sz="8"/>
              <w:right w:val="none" w:sz="8"/>
            </w:tcBorders>
            <w:tcMar>
              <w:top w:w="72" w:type="dxa"/>
              <w:left w:w="144" w:type="dxa"/>
              <w:bottom w:w="72" w:type="dxa"/>
              <w:right w:w="144" w:type="dxa"/>
            </w:tcMar>
            <w:vAlign w:val="center"/>
          </w:tcPr>
          <w:p w14:paraId="000001E1">
            <w:pPr>
              <w:jc w:val="left"/>
              <w:rPr>
                <w:color w:val="1a1a1a"/>
              </w:rPr>
            </w:pPr>
            <w:r>
              <w:rPr>
                <w:rFonts w:hint="eastAsia" w:ascii="宋体" w:hAnsi="宋体" w:eastAsia="宋体" w:cs="宋体"/>
                <w:color w:val="1a1a1a"/>
                <w:sz w:val="16"/>
              </w:rPr>
              <w:t>以大语言模型为核心决策引擎，具备任务规划、工具调用、记忆管理与多步骤自主执行能力的 AI 系统。</w:t>
            </w:r>
          </w:p>
        </w:tc>
      </w:tr>
      <w:tr>
        <w:trPr/>
        <w:tc>
          <w:tcPr>
            <w:tcW w:w="4153" w:type="dxa"/>
            <w:tcBorders>
              <w:left w:val="none" w:sz="8"/>
              <w:right w:val="none" w:sz="8"/>
            </w:tcBorders>
            <w:tcMar>
              <w:top w:w="72" w:type="dxa"/>
              <w:left w:w="144" w:type="dxa"/>
              <w:bottom w:w="72" w:type="dxa"/>
              <w:right w:w="144" w:type="dxa"/>
            </w:tcMar>
            <w:vAlign w:val="center"/>
          </w:tcPr>
          <w:p w14:paraId="000001E2">
            <w:pPr>
              <w:jc w:val="left"/>
              <w:rPr>
                <w:color w:val="1a1a1a"/>
              </w:rPr>
            </w:pPr>
            <w:r>
              <w:rPr>
                <w:rFonts w:hint="eastAsia" w:ascii="宋体" w:hAnsi="宋体" w:eastAsia="宋体" w:cs="宋体"/>
                <w:color w:val="1a1a1a"/>
                <w:sz w:val="16"/>
              </w:rPr>
              <w:t>Agentic AI（代理式 AI）</w:t>
            </w:r>
          </w:p>
        </w:tc>
        <w:tc>
          <w:tcPr>
            <w:tcW w:w="4153" w:type="dxa"/>
            <w:tcBorders>
              <w:left w:val="none" w:sz="8"/>
              <w:right w:val="none" w:sz="8"/>
            </w:tcBorders>
            <w:tcMar>
              <w:top w:w="72" w:type="dxa"/>
              <w:left w:w="144" w:type="dxa"/>
              <w:bottom w:w="72" w:type="dxa"/>
              <w:right w:w="144" w:type="dxa"/>
            </w:tcMar>
            <w:vAlign w:val="center"/>
          </w:tcPr>
          <w:p w14:paraId="000001E3">
            <w:pPr>
              <w:jc w:val="left"/>
              <w:rPr>
                <w:color w:val="1a1a1a"/>
              </w:rPr>
            </w:pPr>
            <w:r>
              <w:rPr>
                <w:rFonts w:hint="eastAsia" w:ascii="宋体" w:hAnsi="宋体" w:eastAsia="宋体" w:cs="宋体"/>
                <w:color w:val="1a1a1a"/>
                <w:sz w:val="16"/>
              </w:rPr>
              <w:t>强调"自主行动"属性的 AI 系统统称，本报告中与"智能体"交叉使用。</w:t>
            </w:r>
          </w:p>
        </w:tc>
      </w:tr>
      <w:tr>
        <w:trPr/>
        <w:tc>
          <w:tcPr>
            <w:tcW w:w="4153" w:type="dxa"/>
            <w:tcBorders>
              <w:left w:val="none" w:sz="8"/>
              <w:right w:val="none" w:sz="8"/>
            </w:tcBorders>
            <w:tcMar>
              <w:top w:w="72" w:type="dxa"/>
              <w:left w:w="144" w:type="dxa"/>
              <w:bottom w:w="72" w:type="dxa"/>
              <w:right w:w="144" w:type="dxa"/>
            </w:tcMar>
            <w:vAlign w:val="center"/>
          </w:tcPr>
          <w:p w14:paraId="000001E4">
            <w:pPr>
              <w:jc w:val="left"/>
              <w:rPr>
                <w:color w:val="1a1a1a"/>
              </w:rPr>
            </w:pPr>
            <w:r>
              <w:rPr>
                <w:rFonts w:ascii="宋体" w:hAnsi="宋体" w:eastAsia="宋体" w:cs="宋体"/>
                <w:color w:val="1a1a1a"/>
                <w:sz w:val="16"/>
              </w:rPr>
              <w:t>CR5 / CR10</w:t>
            </w:r>
          </w:p>
        </w:tc>
        <w:tc>
          <w:tcPr>
            <w:tcW w:w="4153" w:type="dxa"/>
            <w:tcBorders>
              <w:left w:val="none" w:sz="8"/>
              <w:right w:val="none" w:sz="8"/>
            </w:tcBorders>
            <w:tcMar>
              <w:top w:w="72" w:type="dxa"/>
              <w:left w:w="144" w:type="dxa"/>
              <w:bottom w:w="72" w:type="dxa"/>
              <w:right w:w="144" w:type="dxa"/>
            </w:tcMar>
            <w:vAlign w:val="center"/>
          </w:tcPr>
          <w:p w14:paraId="000001E5">
            <w:pPr>
              <w:jc w:val="left"/>
              <w:rPr>
                <w:color w:val="1a1a1a"/>
              </w:rPr>
            </w:pPr>
            <w:r>
              <w:rPr>
                <w:rFonts w:hint="eastAsia" w:ascii="宋体" w:hAnsi="宋体" w:eastAsia="宋体" w:cs="宋体"/>
                <w:color w:val="1a1a1a"/>
                <w:sz w:val="16"/>
              </w:rPr>
              <w:t>行业前五大 / 前十大供应商市场份额合计，用于衡量市场集中度。</w:t>
            </w:r>
          </w:p>
        </w:tc>
      </w:tr>
      <w:tr>
        <w:trPr/>
        <w:tc>
          <w:tcPr>
            <w:tcW w:w="4153" w:type="dxa"/>
            <w:tcBorders>
              <w:left w:val="none" w:sz="8"/>
              <w:right w:val="none" w:sz="8"/>
            </w:tcBorders>
            <w:tcMar>
              <w:top w:w="72" w:type="dxa"/>
              <w:left w:w="144" w:type="dxa"/>
              <w:bottom w:w="72" w:type="dxa"/>
              <w:right w:w="144" w:type="dxa"/>
            </w:tcMar>
            <w:vAlign w:val="center"/>
          </w:tcPr>
          <w:p w14:paraId="000001E6">
            <w:pPr>
              <w:jc w:val="left"/>
              <w:rPr>
                <w:color w:val="1a1a1a"/>
              </w:rPr>
            </w:pPr>
            <w:r>
              <w:rPr>
                <w:rFonts w:hint="eastAsia" w:ascii="宋体" w:hAnsi="宋体" w:eastAsia="宋体" w:cs="宋体"/>
                <w:color w:val="1a1a1a"/>
                <w:sz w:val="16"/>
              </w:rPr>
              <w:t>HHI 指数</w:t>
            </w:r>
          </w:p>
        </w:tc>
        <w:tc>
          <w:tcPr>
            <w:tcW w:w="4153" w:type="dxa"/>
            <w:tcBorders>
              <w:left w:val="none" w:sz="8"/>
              <w:right w:val="none" w:sz="8"/>
            </w:tcBorders>
            <w:tcMar>
              <w:top w:w="72" w:type="dxa"/>
              <w:left w:w="144" w:type="dxa"/>
              <w:bottom w:w="72" w:type="dxa"/>
              <w:right w:w="144" w:type="dxa"/>
            </w:tcMar>
            <w:vAlign w:val="center"/>
          </w:tcPr>
          <w:p w14:paraId="000001E7">
            <w:pPr>
              <w:jc w:val="left"/>
              <w:rPr>
                <w:color w:val="1a1a1a"/>
              </w:rPr>
            </w:pPr>
            <w:r>
              <w:rPr>
                <w:rFonts w:hint="eastAsia" w:ascii="宋体" w:hAnsi="宋体" w:eastAsia="宋体" w:cs="宋体"/>
                <w:color w:val="1a1a1a"/>
                <w:sz w:val="16"/>
              </w:rPr>
              <w:t>赫芬达尔-赫希曼指数，市场份额平方和，数值越低竞争越充分。</w:t>
            </w:r>
          </w:p>
        </w:tc>
      </w:tr>
      <w:tr>
        <w:trPr/>
        <w:tc>
          <w:tcPr>
            <w:tcW w:w="4153" w:type="dxa"/>
            <w:tcBorders>
              <w:left w:val="none" w:sz="8"/>
              <w:right w:val="none" w:sz="8"/>
            </w:tcBorders>
            <w:tcMar>
              <w:top w:w="72" w:type="dxa"/>
              <w:left w:w="144" w:type="dxa"/>
              <w:bottom w:w="72" w:type="dxa"/>
              <w:right w:w="144" w:type="dxa"/>
            </w:tcMar>
            <w:vAlign w:val="center"/>
          </w:tcPr>
          <w:p w14:paraId="000001E8">
            <w:pPr>
              <w:jc w:val="left"/>
              <w:rPr>
                <w:color w:val="1a1a1a"/>
              </w:rPr>
            </w:pPr>
            <w:r>
              <w:rPr>
                <w:rFonts w:ascii="宋体" w:hAnsi="宋体" w:eastAsia="宋体" w:cs="宋体"/>
                <w:color w:val="1a1a1a"/>
                <w:sz w:val="16"/>
              </w:rPr>
              <w:t>ARR</w:t>
            </w:r>
          </w:p>
        </w:tc>
        <w:tc>
          <w:tcPr>
            <w:tcW w:w="4153" w:type="dxa"/>
            <w:tcBorders>
              <w:left w:val="none" w:sz="8"/>
              <w:right w:val="none" w:sz="8"/>
            </w:tcBorders>
            <w:tcMar>
              <w:top w:w="72" w:type="dxa"/>
              <w:left w:w="144" w:type="dxa"/>
              <w:bottom w:w="72" w:type="dxa"/>
              <w:right w:w="144" w:type="dxa"/>
            </w:tcMar>
            <w:vAlign w:val="center"/>
          </w:tcPr>
          <w:p w14:paraId="000001E9">
            <w:pPr>
              <w:jc w:val="left"/>
              <w:rPr>
                <w:color w:val="1a1a1a"/>
              </w:rPr>
            </w:pPr>
            <w:r>
              <w:rPr>
                <w:rFonts w:hint="eastAsia" w:ascii="宋体" w:hAnsi="宋体" w:eastAsia="宋体" w:cs="宋体"/>
                <w:color w:val="1a1a1a"/>
                <w:sz w:val="16"/>
              </w:rPr>
              <w:t>年度经常性收入（Annual Recurring Revenue），订阅制软件的核心收入指标。</w:t>
            </w:r>
          </w:p>
        </w:tc>
      </w:tr>
      <w:tr>
        <w:trPr/>
        <w:tc>
          <w:tcPr>
            <w:tcW w:w="4153" w:type="dxa"/>
            <w:tcBorders>
              <w:left w:val="none" w:sz="8"/>
              <w:right w:val="none" w:sz="8"/>
            </w:tcBorders>
            <w:tcMar>
              <w:top w:w="72" w:type="dxa"/>
              <w:left w:w="144" w:type="dxa"/>
              <w:bottom w:w="72" w:type="dxa"/>
              <w:right w:w="144" w:type="dxa"/>
            </w:tcMar>
            <w:vAlign w:val="center"/>
          </w:tcPr>
          <w:p w14:paraId="000001EA">
            <w:pPr>
              <w:jc w:val="left"/>
              <w:rPr>
                <w:color w:val="1a1a1a"/>
              </w:rPr>
            </w:pPr>
            <w:r>
              <w:rPr>
                <w:rFonts w:hint="eastAsia" w:ascii="宋体" w:hAnsi="宋体" w:eastAsia="宋体" w:cs="宋体"/>
                <w:color w:val="1a1a1a"/>
                <w:sz w:val="16"/>
              </w:rPr>
              <w:t>Multi-Agent（多智能体）</w:t>
            </w:r>
          </w:p>
        </w:tc>
        <w:tc>
          <w:tcPr>
            <w:tcW w:w="4153" w:type="dxa"/>
            <w:tcBorders>
              <w:left w:val="none" w:sz="8"/>
              <w:right w:val="none" w:sz="8"/>
            </w:tcBorders>
            <w:tcMar>
              <w:top w:w="72" w:type="dxa"/>
              <w:left w:w="144" w:type="dxa"/>
              <w:bottom w:w="72" w:type="dxa"/>
              <w:right w:w="144" w:type="dxa"/>
            </w:tcMar>
            <w:vAlign w:val="center"/>
          </w:tcPr>
          <w:p w14:paraId="000001EB">
            <w:pPr>
              <w:jc w:val="left"/>
              <w:rPr>
                <w:color w:val="1a1a1a"/>
              </w:rPr>
            </w:pPr>
            <w:r>
              <w:rPr>
                <w:rFonts w:hint="eastAsia" w:ascii="宋体" w:hAnsi="宋体" w:eastAsia="宋体" w:cs="宋体"/>
                <w:color w:val="1a1a1a"/>
                <w:sz w:val="16"/>
              </w:rPr>
              <w:t>多个智能体协同完成复杂任务的架构形态。</w:t>
            </w:r>
          </w:p>
        </w:tc>
      </w:tr>
      <w:tr>
        <w:trPr/>
        <w:tc>
          <w:tcPr>
            <w:tcW w:w="4153" w:type="dxa"/>
            <w:tcBorders>
              <w:left w:val="none" w:sz="8"/>
              <w:right w:val="none" w:sz="8"/>
            </w:tcBorders>
            <w:tcMar>
              <w:top w:w="72" w:type="dxa"/>
              <w:left w:w="144" w:type="dxa"/>
              <w:bottom w:w="72" w:type="dxa"/>
              <w:right w:w="144" w:type="dxa"/>
            </w:tcMar>
            <w:vAlign w:val="center"/>
          </w:tcPr>
          <w:p w14:paraId="000001EC">
            <w:pPr>
              <w:jc w:val="left"/>
              <w:rPr>
                <w:color w:val="1a1a1a"/>
              </w:rPr>
            </w:pPr>
            <w:r>
              <w:rPr>
                <w:rFonts w:ascii="宋体" w:hAnsi="宋体" w:eastAsia="宋体" w:cs="宋体"/>
                <w:color w:val="1a1a1a"/>
                <w:sz w:val="16"/>
              </w:rPr>
              <w:t>RAG</w:t>
            </w:r>
          </w:p>
        </w:tc>
        <w:tc>
          <w:tcPr>
            <w:tcW w:w="4153" w:type="dxa"/>
            <w:tcBorders>
              <w:left w:val="none" w:sz="8"/>
              <w:right w:val="none" w:sz="8"/>
            </w:tcBorders>
            <w:tcMar>
              <w:top w:w="72" w:type="dxa"/>
              <w:left w:w="144" w:type="dxa"/>
              <w:bottom w:w="72" w:type="dxa"/>
              <w:right w:w="144" w:type="dxa"/>
            </w:tcMar>
            <w:vAlign w:val="center"/>
          </w:tcPr>
          <w:p w14:paraId="000001ED">
            <w:pPr>
              <w:jc w:val="left"/>
              <w:rPr>
                <w:color w:val="1a1a1a"/>
              </w:rPr>
            </w:pPr>
            <w:r>
              <w:rPr>
                <w:rFonts w:hint="eastAsia" w:ascii="宋体" w:hAnsi="宋体" w:eastAsia="宋体" w:cs="宋体"/>
                <w:color w:val="1a1a1a"/>
                <w:sz w:val="16"/>
              </w:rPr>
              <w:t>检索增强生成（Retrieval-Augmented Generation），企业知识库场景的主流技术路线。</w:t>
            </w:r>
          </w:p>
        </w:tc>
      </w:tr>
      <w:tr>
        <w:trPr/>
        <w:tc>
          <w:tcPr>
            <w:tcW w:w="4153" w:type="dxa"/>
            <w:tcBorders>
              <w:left w:val="none" w:sz="8"/>
              <w:bottom w:val="single" w:color="1a1a1a" w:sz="12"/>
              <w:right w:val="none" w:sz="8"/>
            </w:tcBorders>
            <w:tcMar>
              <w:top w:w="72" w:type="dxa"/>
              <w:left w:w="144" w:type="dxa"/>
              <w:bottom w:w="72" w:type="dxa"/>
              <w:right w:w="144" w:type="dxa"/>
            </w:tcMar>
            <w:vAlign w:val="center"/>
          </w:tcPr>
          <w:p w14:paraId="000001EE">
            <w:pPr>
              <w:jc w:val="left"/>
              <w:rPr>
                <w:color w:val="1a1a1a"/>
              </w:rPr>
            </w:pPr>
            <w:r>
              <w:rPr>
                <w:rFonts w:hint="eastAsia" w:ascii="宋体" w:hAnsi="宋体" w:eastAsia="宋体" w:cs="宋体"/>
                <w:color w:val="1a1a1a"/>
                <w:sz w:val="16"/>
              </w:rPr>
              <w:t>信创</w:t>
            </w:r>
          </w:p>
        </w:tc>
        <w:tc>
          <w:tcPr>
            <w:tcW w:w="4153" w:type="dxa"/>
            <w:tcBorders>
              <w:left w:val="none" w:sz="8"/>
              <w:bottom w:val="single" w:color="1a1a1a" w:sz="12"/>
              <w:right w:val="none" w:sz="8"/>
            </w:tcBorders>
            <w:tcMar>
              <w:top w:w="72" w:type="dxa"/>
              <w:left w:w="144" w:type="dxa"/>
              <w:bottom w:w="72" w:type="dxa"/>
              <w:right w:w="144" w:type="dxa"/>
            </w:tcMar>
            <w:vAlign w:val="center"/>
          </w:tcPr>
          <w:p w14:paraId="000001EF">
            <w:pPr>
              <w:jc w:val="left"/>
              <w:rPr>
                <w:color w:val="1a1a1a"/>
              </w:rPr>
            </w:pPr>
            <w:r>
              <w:rPr>
                <w:rFonts w:hint="eastAsia" w:ascii="宋体" w:hAnsi="宋体" w:eastAsia="宋体" w:cs="宋体"/>
                <w:color w:val="1a1a1a"/>
                <w:sz w:val="16"/>
              </w:rPr>
              <w:t>信息技术应用创新，指国产化软硬件体系。</w:t>
            </w:r>
          </w:p>
        </w:tc>
      </w:tr>
    </w:tbl>
    <w:p w14:paraId="000001F0">
      <w:pPr>
        <w:pBdr>
          <w:top w:val="single" w:color="cccccc" w:sz="6" w:space="14"/>
        </w:pBdr>
        <w:spacing w:before="288" w:after="144" w:line="360"/>
        <w:ind w:left="0" w:right="0"/>
        <w:jc w:val="left"/>
        <w:rPr>
          <w:color w:val="1a1a1a"/>
        </w:rPr>
      </w:pPr>
      <w:r>
        <w:rPr>
          <w:rFonts w:hint="eastAsia" w:ascii="黑体" w:hAnsi="黑体" w:eastAsia="黑体" w:cs="黑体"/>
          <w:b w:val="1"/>
          <w:color w:val="1a1a1a"/>
          <w:sz w:val="26"/>
        </w:rPr>
        <w:t>免责声明</w:t>
      </w:r>
    </w:p>
    <w:p w14:paraId="000001F1">
      <w:pPr>
        <w:spacing w:before="0" w:after="96" w:line="360"/>
        <w:ind w:left="0" w:right="0"/>
        <w:jc w:val="both"/>
        <w:rPr>
          <w:color w:val="808080"/>
        </w:rPr>
      </w:pPr>
      <w:r>
        <w:rPr>
          <w:rFonts w:hint="eastAsia" w:ascii="宋体" w:hAnsi="宋体" w:eastAsia="宋体" w:cs="宋体"/>
          <w:b w:val="1"/>
          <w:color w:val="808080"/>
          <w:sz w:val="16"/>
        </w:rPr>
        <w:t>分析师声明：</w:t>
      </w:r>
      <w:r>
        <w:rPr>
          <w:rFonts w:hint="eastAsia" w:ascii="宋体" w:hAnsi="宋体" w:eastAsia="宋体" w:cs="宋体"/>
          <w:color w:val="808080"/>
          <w:sz w:val="16"/>
        </w:rPr>
        <w:t>本报告由 AI 研究助手基于公开信息辅助生成。报告中的分析均基于独立、客观的研究立场，撰写过程中未受到任何第三方的不当影响；报告观点仅代表基于公开数据的研究判断，不构成任何个人或机构的官方立场。</w:t>
      </w:r>
    </w:p>
    <w:p w14:paraId="000001F2">
      <w:pPr>
        <w:spacing w:before="0" w:after="96" w:line="360"/>
        <w:ind w:left="0" w:right="0"/>
        <w:jc w:val="both"/>
        <w:rPr>
          <w:color w:val="808080"/>
        </w:rPr>
      </w:pPr>
      <w:r>
        <w:rPr>
          <w:rFonts w:hint="eastAsia" w:ascii="宋体" w:hAnsi="宋体" w:eastAsia="宋体" w:cs="宋体"/>
          <w:b w:val="1"/>
          <w:color w:val="808080"/>
          <w:sz w:val="16"/>
        </w:rPr>
        <w:t>信息来源免责：</w:t>
      </w:r>
      <w:r>
        <w:rPr>
          <w:rFonts w:hint="eastAsia" w:ascii="宋体" w:hAnsi="宋体" w:eastAsia="宋体" w:cs="宋体"/>
          <w:color w:val="808080"/>
          <w:sz w:val="16"/>
        </w:rPr>
        <w:t>本报告所引用的数据与信息均来自公开渠道（包括但不限于第三方研究机构、上市公司财报及公开新闻报道），本团队力求内容准确可靠，但不对其准确性、完整性与及时性做任何明示或默示的保证。</w:t>
      </w:r>
    </w:p>
    <w:p w14:paraId="000001F3">
      <w:pPr>
        <w:spacing w:before="0" w:after="96" w:line="360"/>
        <w:ind w:left="0" w:right="0"/>
        <w:jc w:val="both"/>
        <w:rPr>
          <w:color w:val="808080"/>
        </w:rPr>
      </w:pPr>
      <w:r>
        <w:rPr>
          <w:rFonts w:hint="eastAsia" w:ascii="宋体" w:hAnsi="宋体" w:eastAsia="宋体" w:cs="宋体"/>
          <w:b w:val="1"/>
          <w:color w:val="808080"/>
          <w:sz w:val="16"/>
        </w:rPr>
        <w:t>数据时效声明：</w:t>
      </w:r>
      <w:r>
        <w:rPr>
          <w:rFonts w:hint="eastAsia" w:ascii="宋体" w:hAnsi="宋体" w:eastAsia="宋体" w:cs="宋体"/>
          <w:color w:val="808080"/>
          <w:sz w:val="16"/>
        </w:rPr>
        <w:t>本报告数据检索截止时间为 2026 年 10 月 24 日，均为非实时数据，可能滞后于最新披露或与实际情况存在偏差。智能体行业变化迅速，任何依据本报告做出的决策，请以官方披露与最新数据为准自行核实。</w:t>
      </w:r>
    </w:p>
    <w:p w14:paraId="000001F4">
      <w:pPr>
        <w:spacing w:before="0" w:after="96" w:line="360"/>
        <w:ind w:left="0" w:right="0"/>
        <w:jc w:val="both"/>
        <w:rPr>
          <w:color w:val="808080"/>
        </w:rPr>
      </w:pPr>
      <w:r>
        <w:rPr>
          <w:rFonts w:hint="eastAsia" w:ascii="宋体" w:hAnsi="宋体" w:eastAsia="宋体" w:cs="宋体"/>
          <w:b w:val="1"/>
          <w:color w:val="808080"/>
          <w:sz w:val="16"/>
        </w:rPr>
        <w:t>投资建议免责：</w:t>
      </w:r>
      <w:r>
        <w:rPr>
          <w:rFonts w:hint="eastAsia" w:ascii="宋体" w:hAnsi="宋体" w:eastAsia="宋体" w:cs="宋体"/>
          <w:color w:val="808080"/>
          <w:sz w:val="16"/>
        </w:rPr>
        <w:t>本报告仅供参考，不构成对任何证券的买卖建议或投资咨询意见。报告中的行业分析与趋势判断不针对任何特定投资者的特定投资目标、财务状况与风险承受能力，亦不构成个性化投资推荐。</w:t>
      </w:r>
    </w:p>
    <w:p w14:paraId="000001F5">
      <w:pPr>
        <w:spacing w:before="0" w:after="96" w:line="360"/>
        <w:ind w:left="0" w:right="0"/>
        <w:jc w:val="both"/>
        <w:rPr>
          <w:color w:val="808080"/>
        </w:rPr>
      </w:pPr>
      <w:r>
        <w:rPr>
          <w:rFonts w:hint="eastAsia" w:ascii="宋体" w:hAnsi="宋体" w:eastAsia="宋体" w:cs="宋体"/>
          <w:b w:val="1"/>
          <w:color w:val="808080"/>
          <w:sz w:val="16"/>
        </w:rPr>
        <w:t>风险警示：</w:t>
      </w:r>
      <w:r>
        <w:rPr>
          <w:rFonts w:hint="eastAsia" w:ascii="宋体" w:hAnsi="宋体" w:eastAsia="宋体" w:cs="宋体"/>
          <w:color w:val="808080"/>
          <w:sz w:val="16"/>
        </w:rPr>
        <w:t>市场有风险，投资需谨慎。AI 智能体行业处于早期高速发展阶段，技术路线、商业模式与竞争格局存在高度不确定性，相关标的波动可能显著高于市场平均水平。</w:t>
      </w:r>
    </w:p>
    <w:p w14:paraId="000001F6">
      <w:pPr>
        <w:spacing w:before="0" w:after="96" w:line="360"/>
        <w:ind w:left="0" w:right="0"/>
        <w:jc w:val="both"/>
        <w:rPr>
          <w:color w:val="808080"/>
        </w:rPr>
      </w:pPr>
      <w:r>
        <w:rPr>
          <w:rFonts w:hint="eastAsia" w:ascii="宋体" w:hAnsi="宋体" w:eastAsia="宋体" w:cs="宋体"/>
          <w:b w:val="1"/>
          <w:color w:val="808080"/>
          <w:sz w:val="16"/>
        </w:rPr>
        <w:t>版权声明：</w:t>
      </w:r>
      <w:r>
        <w:rPr>
          <w:rFonts w:hint="eastAsia" w:ascii="宋体" w:hAnsi="宋体" w:eastAsia="宋体" w:cs="宋体"/>
          <w:color w:val="808080"/>
          <w:sz w:val="16"/>
        </w:rPr>
        <w:t>本报告版权归编制方所有。未经书面许可，任何机构或个人不得以任何形式复制、刊载、转发或引用本报告的全部或部分内容；如引用须注明出处，且不得对内容进行有悖原意的删改。</w:t>
      </w:r>
    </w:p>
    <w:p w14:paraId="000001F7">
      <w:pPr/>
    </w:p>
    <w:sectPr>
      <w:footerReference r:id="rId5" w:type="default"/>
      <w:type w:val="nextPage"/>
      <w:pgNumType w:start="1"/>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s>
</file>

<file path=word/footer1.xml><?xml version="1.0" encoding="utf-8"?>
<w:ftr xmlns:w14="http://schemas.microsoft.com/office/word/2010/wordml" xmlns:w="http://schemas.openxmlformats.org/wordprocessingml/2006/main" xmlns:mc="http://schemas.openxmlformats.org/markup-compatibility/2006" mc:Ignorable="w14">
  <w:p w14:paraId="000001F8">
    <w:pPr>
      <w:jc w:val="center"/>
    </w:pPr>
    <w:r>
      <w:fldChar w:fldCharType="begin"/>
    </w:r>
    <w:r>
      <w:instrText xml:space="preserve"> PAGE </w:instrText>
    </w:r>
    <w:r>
      <w:fldChar w:fldCharType="separate"/>
    </w:r>
    <w:r>
      <w:rPr>
        <w:color w:val="888888"/>
        <w:sz w:val="18"/>
      </w:rPr>
      <w:t>1</w:t>
    </w:r>
    <w:r>
      <w:fldChar w:fldCharType="end"/>
    </w:r>
  </w:p>
</w:ftr>
</file>

<file path=word/numbering.xml><?xml version="1.0" encoding="utf-8"?>
<w:numbering xmlns:w="http://schemas.openxmlformats.org/wordprocessingml/2006/main">
  <w:abstractNum w:abstractNumId="0">
    <w:lvl w:ilvl="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w="http://schemas.openxmlformats.org/wordprocessingml/2006/main">
  <w:zoom w:val="bestFit" w:percent="100"/>
  <w:defaultTabStop w:val="420"/>
  <w:updateFields w:val="1"/>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Body Text First Indent 2" w:semiHidden="1" w:unhideWhenUsed="1"/>
    <w:lsdException w:name="List Bullet 3" w:semiHidden="1" w:unhideWhenUsed="1"/>
    <w:lsdException w:name="index 3" w:semiHidden="1" w:unhideWhenUsed="1"/>
    <w:lsdException w:name="envelope return" w:semiHidden="1" w:unhideWhenUsed="1"/>
    <w:lsdException w:name="List 4" w:semiHidden="1" w:unhideWhenUsed="1"/>
    <w:lsdException w:name="index 9" w:semiHidden="1" w:unhideWhenUsed="1"/>
    <w:lsdException w:name="caption" w:uiPriority="35" w:semiHidden="1" w:unhideWhenUsed="1" w:qFormat="1"/>
    <w:lsdException w:name="List" w:semiHidden="1" w:unhideWhenUsed="1"/>
    <w:lsdException w:name="Body Text 2" w:semiHidden="1" w:unhideWhenUsed="1"/>
    <w:lsdException w:name="List Continue" w:semiHidden="1" w:unhideWhenUsed="1"/>
    <w:lsdException w:name="List 3" w:semiHidden="1" w:unhideWhenUsed="1"/>
    <w:lsdException w:name="List Number 3" w:semiHidden="1" w:unhideWhenUsed="1"/>
    <w:lsdException w:name="List Bullet 2" w:semiHidden="1" w:unhideWhenUsed="1"/>
    <w:lsdException w:name="Strong" w:uiPriority="22" w:qFormat="1"/>
    <w:lsdException w:name="heading 6" w:uiPriority="9" w:semiHidden="1" w:unhideWhenUsed="1" w:qFormat="1"/>
    <w:lsdException w:name="toc 1" w:uiPriority="39" w:semiHidden="1" w:unhideWhenUsed="1"/>
    <w:lsdException w:name="List Continue 3" w:semiHidden="1" w:unhideWhenUsed="1"/>
    <w:lsdException w:name="Title" w:uiPriority="10" w:qFormat="1"/>
    <w:lsdException w:name="table of authorities" w:semiHidden="1" w:unhideWhenUsed="1"/>
    <w:lsdException w:name="Body Text Indent 3" w:semiHidden="1" w:unhideWhenUsed="1"/>
    <w:lsdException w:name="Body Text Indent 2" w:semiHidden="1" w:unhideWhenUsed="1"/>
    <w:lsdException w:name="List Bullet 4" w:semiHidden="1" w:unhideWhenUsed="1"/>
    <w:lsdException w:name="index 6" w:semiHidden="1" w:unhideWhenUsed="1"/>
    <w:lsdException w:name="Signature" w:semiHidden="1" w:unhideWhenUsed="1"/>
    <w:lsdException w:name="List Continue 2" w:semiHidden="1" w:unhideWhenUsed="1"/>
    <w:lsdException w:name="footer" w:semiHidden="1" w:unhideWhenUsed="1"/>
    <w:lsdException w:name="index heading" w:semiHidden="1" w:unhideWhenUsed="1"/>
    <w:lsdException w:name="toc 2" w:uiPriority="39" w:semiHidden="1" w:unhideWhenUsed="1"/>
    <w:lsdException w:name="heading 4" w:uiPriority="9" w:semiHidden="1" w:unhideWhenUsed="1" w:qFormat="1"/>
    <w:lsdException w:name="List 2" w:semiHidden="1" w:unhideWhenUsed="1"/>
    <w:lsdException w:name="Body Text" w:semiHidden="1" w:unhideWhenUsed="1"/>
    <w:lsdException w:name="heading 8" w:uiPriority="9" w:semiHidden="1" w:unhideWhenUsed="1" w:qFormat="1"/>
    <w:lsdException w:name="toc 4" w:uiPriority="39" w:semiHidden="1" w:unhideWhenUsed="1"/>
    <w:lsdException w:name="Block Text" w:semiHidden="1" w:unhideWhenUsed="1"/>
    <w:lsdException w:name="index 2" w:semiHidden="1" w:unhideWhenUsed="1"/>
    <w:lsdException w:name="header" w:semiHidden="1" w:unhideWhenUsed="1"/>
    <w:lsdException w:name="index 1" w:semiHidden="1" w:unhideWhenUsed="1"/>
    <w:lsdException w:name="annotation reference" w:semiHidden="1" w:unhideWhenUsed="1"/>
    <w:lsdException w:name="index 4" w:semiHidden="1" w:unhideWhenUsed="1"/>
    <w:lsdException w:name="index 8" w:semiHidden="1" w:unhideWhenUsed="1"/>
    <w:lsdException w:name="page number" w:semiHidden="1" w:unhideWhenUsed="1"/>
    <w:lsdException w:name="List Bullet 5" w:semiHidden="1" w:unhideWhenUsed="1"/>
    <w:lsdException w:name="List Continue 5" w:semiHidden="1" w:unhideWhenUsed="1"/>
    <w:lsdException w:name="Salutation" w:semiHidden="1" w:unhideWhenUsed="1"/>
    <w:lsdException w:name="List Number 5" w:semiHidden="1" w:unhideWhenUsed="1"/>
    <w:lsdException w:name="heading 3" w:uiPriority="9" w:semiHidden="1" w:unhideWhenUsed="1" w:qFormat="1"/>
    <w:lsdException w:name="toc 8" w:uiPriority="39" w:semiHidden="1" w:unhideWhenUsed="1"/>
    <w:lsdException w:name="heading 1" w:uiPriority="9" w:qFormat="1"/>
    <w:lsdException w:name="toc 3" w:uiPriority="39" w:semiHidden="1" w:unhideWhenUsed="1"/>
    <w:lsdException w:name="toc 6" w:uiPriority="39" w:semiHidden="1" w:unhideWhenUsed="1"/>
    <w:lsdException w:name="endnote reference" w:semiHidden="1" w:unhideWhenUsed="1"/>
    <w:lsdException w:name="List Bullet" w:semiHidden="1" w:unhideWhenUsed="1"/>
    <w:lsdException w:name="List Number" w:semiHidden="1" w:unhideWhenUsed="1"/>
    <w:lsdException w:name="toc 7" w:uiPriority="39" w:semiHidden="1" w:unhideWhenUsed="1"/>
    <w:lsdException w:name="toc 5" w:uiPriority="39" w:semiHidden="1" w:unhideWhenUsed="1"/>
    <w:lsdException w:name="Default Paragraph Font" w:uiPriority="1" w:semiHidden="1" w:unhideWhenUsed="1"/>
    <w:lsdException w:name="annotation text" w:semiHidden="1" w:unhideWhenUsed="1"/>
    <w:lsdException w:name="macro" w:semiHidden="1" w:unhideWhenUsed="1"/>
    <w:lsdException w:name="envelope address" w:semiHidden="1" w:unhideWhenUsed="1"/>
    <w:lsdException w:name="Message Header" w:semiHidden="1" w:unhideWhenUsed="1"/>
    <w:lsdException w:name="toc 9" w:uiPriority="39" w:semiHidden="1" w:unhideWhenUsed="1"/>
    <w:lsdException w:name="footnote reference" w:semiHidden="1" w:unhideWhenUsed="1"/>
    <w:lsdException w:name="Normal Indent" w:semiHidden="1" w:unhideWhenUsed="1"/>
    <w:lsdException w:name="toa heading" w:semiHidden="1" w:unhideWhenUsed="1"/>
    <w:lsdException w:name="List Number 4" w:semiHidden="1" w:unhideWhenUsed="1"/>
    <w:lsdException w:name="List Number 2" w:semiHidden="1" w:unhideWhenUsed="1"/>
    <w:lsdException w:name="line number" w:semiHidden="1" w:unhideWhenUsed="1"/>
    <w:lsdException w:name="Body Text Indent" w:semiHidden="1" w:unhideWhenUsed="1"/>
    <w:lsdException w:name="heading 2" w:uiPriority="9" w:semiHidden="1" w:unhideWhenUsed="1" w:qFormat="1"/>
    <w:lsdException w:name="Hyperlink" w:semiHidden="1" w:unhideWhenUsed="1"/>
    <w:lsdException w:name="footnote text" w:semiHidden="1" w:unhideWhenUsed="1"/>
    <w:lsdException w:name="endnote text" w:semiHidden="1" w:unhideWhenUsed="1"/>
    <w:lsdException w:name="FollowedHyperlink" w:semiHidden="1" w:unhideWhenUsed="1"/>
    <w:lsdException w:name="index 5" w:semiHidden="1" w:unhideWhenUsed="1"/>
    <w:lsdException w:name="Body Text 3" w:semiHidden="1" w:unhideWhenUsed="1"/>
    <w:lsdException w:name="heading 9" w:uiPriority="9" w:semiHidden="1" w:unhideWhenUsed="1" w:qFormat="1"/>
    <w:lsdException w:name="Date" w:semiHidden="1" w:unhideWhenUsed="1"/>
    <w:lsdException w:name="Note Heading" w:semiHidden="1" w:unhideWhenUsed="1"/>
    <w:lsdException w:name="Closing" w:semiHidden="1" w:unhideWhenUsed="1"/>
    <w:lsdException w:name="List Continue 4" w:semiHidden="1" w:unhideWhenUsed="1"/>
    <w:lsdException w:name="index 7" w:semiHidden="1" w:unhideWhenUsed="1"/>
    <w:lsdException w:name="List 5" w:semiHidden="1" w:unhideWhenUsed="1"/>
    <w:lsdException w:name="heading 5" w:uiPriority="9" w:semiHidden="1" w:unhideWhenUsed="1" w:qFormat="1"/>
    <w:lsdException w:name="Body Text First Indent" w:semiHidden="1" w:unhideWhenUsed="1"/>
    <w:lsdException w:name="heading 7" w:uiPriority="9" w:semiHidden="1" w:unhideWhenUsed="1" w:qFormat="1"/>
    <w:lsdException w:name="Subtitle" w:uiPriority="11" w:qFormat="1"/>
    <w:lsdException w:name="table of figures" w:semiHidden="1" w:unhideWhenUsed="1"/>
    <w:lsdException w:name="Normal" w:uiPriority="0" w:qFormat="1"/>
  </w:latentStyles>
  <w:style w:type="paragraph" w:styleId="000008">
    <w:name w:val="heading 1"/>
    <w:basedOn w:val="000005"/>
    <w:next w:val="000005"/>
    <w:uiPriority w:val="9"/>
    <w:qFormat w:val="1"/>
    <w:pPr>
      <w:keepNext w:val="1"/>
      <w:keepLines w:val="1"/>
      <w:spacing w:before="240" w:after="120"/>
      <w:outlineLvl w:val="0"/>
    </w:pPr>
    <w:rPr>
      <w:b w:val="1"/>
      <w:sz w:val="32"/>
      <w:szCs w:val="32"/>
    </w:rPr>
  </w:style>
  <w:style w:type="paragraph" w:styleId="000004">
    <w:name w:val="toc 2"/>
    <w:basedOn w:val="000005"/>
    <w:qFormat w:val="1"/>
    <w:pPr>
      <w:tabs>
        <w:tab w:val="right" w:leader="dot" w:pos="9072"/>
      </w:tabs>
      <w:spacing w:after="60" w:line="360"/>
      <w:ind w:left="420"/>
    </w:pPr>
    <w:rPr>
      <w:rFonts w:ascii="SimSun" w:hAnsi="SimSun" w:eastAsia="SimSun" w:cs="SimSun"/>
      <w:sz w:val="24"/>
      <w:szCs w:val="24"/>
    </w:rPr>
  </w:style>
  <w:style w:type="paragraph" w:styleId="000006">
    <w:name w:val="heading 2"/>
    <w:basedOn w:val="000005"/>
    <w:next w:val="000005"/>
    <w:uiPriority w:val="9"/>
    <w:qFormat w:val="1"/>
    <w:pPr>
      <w:keepNext w:val="1"/>
      <w:keepLines w:val="1"/>
      <w:spacing w:before="200" w:after="100"/>
      <w:outlineLvl w:val="1"/>
    </w:pPr>
    <w:rPr>
      <w:b w:val="1"/>
      <w:sz w:val="26"/>
      <w:szCs w:val="26"/>
    </w:rPr>
  </w:style>
  <w:style w:type="paragraph" w:styleId="000007">
    <w:name w:val="toc 1"/>
    <w:basedOn w:val="000005"/>
    <w:qFormat w:val="1"/>
    <w:pPr>
      <w:tabs>
        <w:tab w:val="right" w:leader="dot" w:pos="9072"/>
      </w:tabs>
      <w:spacing w:before="120" w:after="120" w:line="360"/>
    </w:pPr>
    <w:rPr>
      <w:rFonts w:ascii="SimSun" w:hAnsi="SimSun" w:eastAsia="SimSun" w:cs="SimSun"/>
      <w:sz w:val="24"/>
      <w:szCs w:val="24"/>
    </w:rPr>
  </w:style>
</w:styles>
</file>

<file path=word/_rels/document.xml.rels><?xml version="1.0" encoding="UTF-8" standalone="yes"?><Relationships xmlns="http://schemas.openxmlformats.org/package/2006/relationships"><Relationship Id="rId5" Type="http://schemas.openxmlformats.org/officeDocument/2006/relationships/footer" Target="footer1.xml" /><Relationship Id="rId3" Type="http://schemas.openxmlformats.org/officeDocument/2006/relationships/theme" Target="theme/theme1.xml" /><Relationship Id="rId2" Type="http://schemas.openxmlformats.org/officeDocument/2006/relationships/fontTable" Target="fontTable.xml" /><Relationship Id="rId1" Type="http://schemas.openxmlformats.org/officeDocument/2006/relationships/settings" Target="settings.xml" /><Relationship Id="rId4" Type="http://schemas.openxmlformats.org/officeDocument/2006/relationships/numbering" Target="numbering.xml" /><Relationship Id="rId0" Type="http://schemas.openxmlformats.org/officeDocument/2006/relationships/styles" Target="styles.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2026-10-25T09:01:01Z</dcterms:created>
  <dcterms:modified xsi:type="dcterms:W3CDTF">2026-10-25T09:01:01Z</dcterms:modified>
</cp:coreProperties>
</file>