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pStyle w:val="1"/>
      </w:pPr>
      <w:r>
        <w:rPr>
          <w:rFonts w:ascii="Times New Roman" w:hAnsi="Times New Roman" w:eastAsia="黑体"/>
          <w:b/>
          <w:color w:val="000000"/>
          <w:sz w:val="36"/>
        </w:rPr>
        <w:t>“旅行博客系统”用例图与用例说明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组号：4（软件工程3班 第4组）</w:t>
      </w:r>
    </w:p>
    <w:p>
      <w:pPr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小组成员：熊圆好（2415304320，组长）、纪秀茹（2415304310）、王鑫悦（2415304306）、陈汉佳（2415304339）、翟旌超（2415304340）、杨杰翰（2415304359）</w:t>
      </w:r>
    </w:p>
    <w:p>
      <w:pPr>
        <w:pStyle w:val="2"/>
      </w:pPr>
      <w:r>
        <w:rPr>
          <w:rFonts w:ascii="Times New Roman" w:hAnsi="Times New Roman" w:eastAsia="黑体"/>
          <w:b/>
          <w:color w:val="000000"/>
          <w:sz w:val="32"/>
        </w:rPr>
        <w:t>一、引言</w:t>
      </w:r>
    </w:p>
    <w:p>
      <w:pPr>
        <w:pStyle w:val="3"/>
      </w:pPr>
      <w:r>
        <w:rPr>
          <w:rFonts w:ascii="Times New Roman" w:hAnsi="Times New Roman" w:eastAsia="黑体"/>
          <w:b/>
          <w:color w:val="000000"/>
          <w:sz w:val="28"/>
        </w:rPr>
        <w:t>（一）编写目的</w:t>
      </w:r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本文档面向“旅行博客系统”的需求分析阶段，使用统一建模语言 UML 给出系统的用例图与用例说明，明确系统外部参与者、系统边界、28 个业务用例及其规约，作为后续顺序图、界面设计与编码实现的需求基线。本文档与《数据模型设计说明书》《界面设计说明书》共同构成本小组的需求分析产出。</w:t>
      </w:r>
    </w:p>
    <w:p>
      <w:pPr>
        <w:pStyle w:val="3"/>
      </w:pPr>
      <w:r>
        <w:rPr>
          <w:rFonts w:ascii="Times New Roman" w:hAnsi="Times New Roman" w:eastAsia="黑体"/>
          <w:b/>
          <w:color w:val="000000"/>
          <w:sz w:val="28"/>
        </w:rPr>
        <w:t>（二）系统概述</w:t>
      </w:r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本系统是在开源博客项目 DjangoBlog 基础上二次开发的旅行主题博客平台，提供文章浏览、分类标签检索、全文搜索、评论互动、第三方账号登录、后台管理以及微信公众号机器人（关键词搜索与远程运维指令）等功能。系统按前台浏览、账户中心、评论互动、后台管理、微信机器人五个功能域组织用例。</w:t>
      </w:r>
    </w:p>
    <w:p>
      <w:pPr>
        <w:pStyle w:val="2"/>
      </w:pPr>
      <w:r>
        <w:rPr>
          <w:rFonts w:ascii="Times New Roman" w:hAnsi="Times New Roman" w:eastAsia="黑体"/>
          <w:b/>
          <w:color w:val="000000"/>
          <w:sz w:val="32"/>
        </w:rPr>
        <w:t>二、参与者定义</w:t>
      </w:r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系统识别出四类外部参与者，其职责与典型使用场景如下表：</w:t>
      </w:r>
    </w:p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2-1 参与者定义</w:t>
      </w:r>
    </w:p>
    <w:tbl>
      <w:tblPr>
        <w:tblStyle w:val="a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cantSplit/>
          <w:tblHeader/>
        </w:trPr>
        <w:tc>
          <w:tcPr>
            <w:tcW w:type="dxa" w:w="136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参与者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306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描述</w:t>
            </w:r>
          </w:p>
        </w:tc>
        <w:tc>
          <w:tcPr>
            <w:tcW w:type="dxa" w:w="2494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主要使用的用例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游客（读者）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人（未登录）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未注册或未登录的站点访问者，以阅读文章为主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UC01–UC08、UC06 搜索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注册用户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人（已登录）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已完成注册并登录的站点成员，可发表评论与互动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UC09–UC16、UC12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管理员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人（后台）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站点运营与维护人员，负责内容审核与站点配置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UC17–UC24、UC28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微信粉丝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人（公众号）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关注本系统微信公众号的粉丝，通过消息指令使用机器人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UC25–UC27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OAuth 服务商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外部系统</w:t>
            </w:r>
          </w:p>
        </w:tc>
        <w:tc>
          <w:tcPr>
            <w:tcW w:type="dxa" w:w="306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微博、Google、GitHub、QQ、Facebook 等第三方授权服务</w:t>
            </w:r>
          </w:p>
        </w:tc>
        <w:tc>
          <w:tcPr>
            <w:tcW w:type="dxa" w:w="2494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为 UC13 提供授权</w:t>
            </w:r>
          </w:p>
        </w:tc>
      </w:tr>
    </w:tbl>
    <w:p>
      <w:pPr>
        <w:pStyle w:val="2"/>
      </w:pPr>
      <w:r>
        <w:rPr>
          <w:rFonts w:ascii="Times New Roman" w:hAnsi="Times New Roman" w:eastAsia="黑体"/>
          <w:b/>
          <w:color w:val="000000"/>
          <w:sz w:val="32"/>
        </w:rPr>
        <w:t>三、系统用例图</w:t>
      </w:r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系统总体用例图如下。系统边界框内按五个功能域分组，共 28 个用例（UC01–UC28）；虚线箭头表示 include（必须包含）与 extend（可选扩展）关系：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56000" cy="35358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用例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35358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3-1 旅行博客系统用例图</w:t>
      </w:r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图中 include 关系包括：发表评论时必须包含“登录验证”子用例；微信运维指令必须包含“管理员身份校验与二次确认”子用例。extend 关系为：用户注册时可选扩展“邮箱校验”流程。</w:t>
      </w:r>
    </w:p>
    <w:p>
      <w:pPr>
        <w:pStyle w:val="2"/>
      </w:pPr>
      <w:r>
        <w:rPr>
          <w:rFonts w:ascii="Times New Roman" w:hAnsi="Times New Roman" w:eastAsia="黑体"/>
          <w:b/>
          <w:color w:val="000000"/>
          <w:sz w:val="32"/>
        </w:rPr>
        <w:t>四、用例清单</w:t>
      </w:r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28 个用例的编号、名称、主参与者与简要说明汇总如下表，编号将贯穿后续顺序图与数据字典，保持命名一致。</w:t>
      </w:r>
    </w:p>
    <w:p>
      <w:pPr>
        <w:spacing w:before="80" w:after="80" w:line="240" w:lineRule="auto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4-1 系统用例清单（共 28 个）</w:t>
      </w:r>
    </w:p>
    <w:tbl>
      <w:tblPr>
        <w:tblStyle w:val="a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cantSplit/>
          <w:tblHeader/>
        </w:trPr>
        <w:tc>
          <w:tcPr>
            <w:tcW w:type="dxa" w:w="737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编号</w:t>
            </w:r>
          </w:p>
        </w:tc>
        <w:tc>
          <w:tcPr>
            <w:tcW w:type="dxa" w:w="170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用例名称</w:t>
            </w:r>
          </w:p>
        </w:tc>
        <w:tc>
          <w:tcPr>
            <w:tcW w:type="dxa" w:w="136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主参与者</w:t>
            </w:r>
          </w:p>
        </w:tc>
        <w:tc>
          <w:tcPr>
            <w:tcW w:type="dxa" w:w="4479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简要说明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UC01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浏览文章列表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游客</w:t>
            </w:r>
          </w:p>
        </w:tc>
        <w:tc>
          <w:tcPr>
            <w:tcW w:type="dxa" w:w="447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首页分页浏览最新文章标题与摘要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UC02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查看文章详情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游客</w:t>
            </w:r>
          </w:p>
        </w:tc>
        <w:tc>
          <w:tcPr>
            <w:tcW w:type="dxa" w:w="447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阅读正文、目录导航与历史评论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UC03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按分类浏览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游客</w:t>
            </w:r>
          </w:p>
        </w:tc>
        <w:tc>
          <w:tcPr>
            <w:tcW w:type="dxa" w:w="447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按国内游、出境游等分类筛选文章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UC04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按标签浏览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游客</w:t>
            </w:r>
          </w:p>
        </w:tc>
        <w:tc>
          <w:tcPr>
            <w:tcW w:type="dxa" w:w="447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按标签聚合浏览相关文章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UC05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归档浏览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游客</w:t>
            </w:r>
          </w:p>
        </w:tc>
        <w:tc>
          <w:tcPr>
            <w:tcW w:type="dxa" w:w="447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按年月时间轴浏览历史文章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UC06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搜索文章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游客</w:t>
            </w:r>
          </w:p>
        </w:tc>
        <w:tc>
          <w:tcPr>
            <w:tcW w:type="dxa" w:w="447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按关键词全文检索，结果高亮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UC07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浏览友链/关于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游客</w:t>
            </w:r>
          </w:p>
        </w:tc>
        <w:tc>
          <w:tcPr>
            <w:tcW w:type="dxa" w:w="447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查看友情链接与关于页面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UC08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RSS 订阅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游客</w:t>
            </w:r>
          </w:p>
        </w:tc>
        <w:tc>
          <w:tcPr>
            <w:tcW w:type="dxa" w:w="447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订阅站点文章更新源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UC09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用户注册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游客</w:t>
            </w:r>
          </w:p>
        </w:tc>
        <w:tc>
          <w:tcPr>
            <w:tcW w:type="dxa" w:w="447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注册本地账号（可扩展邮箱校验）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UC10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用户登录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注册用户</w:t>
            </w:r>
          </w:p>
        </w:tc>
        <w:tc>
          <w:tcPr>
            <w:tcW w:type="dxa" w:w="447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本地账号密码登录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UC11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找回密码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游客</w:t>
            </w:r>
          </w:p>
        </w:tc>
        <w:tc>
          <w:tcPr>
            <w:tcW w:type="dxa" w:w="447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通过邮件重置密码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UC12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退出登录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注册用户</w:t>
            </w:r>
          </w:p>
        </w:tc>
        <w:tc>
          <w:tcPr>
            <w:tcW w:type="dxa" w:w="447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注销当前会话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UC13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第三方账号登录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注册用户</w:t>
            </w:r>
          </w:p>
        </w:tc>
        <w:tc>
          <w:tcPr>
            <w:tcW w:type="dxa" w:w="447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OAuth 一键登录并自动绑定账号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UC14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发表评论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注册用户</w:t>
            </w:r>
          </w:p>
        </w:tc>
        <w:tc>
          <w:tcPr>
            <w:tcW w:type="dxa" w:w="447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对文章发表评论（include 登录验证）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UC15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回复评论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注册用户</w:t>
            </w:r>
          </w:p>
        </w:tc>
        <w:tc>
          <w:tcPr>
            <w:tcW w:type="dxa" w:w="447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对已有评论进行嵌套回复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UC16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表情回应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注册用户</w:t>
            </w:r>
          </w:p>
        </w:tc>
        <w:tc>
          <w:tcPr>
            <w:tcW w:type="dxa" w:w="447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对评论选择表情进行轻量回应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UC17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评论审核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管理员</w:t>
            </w:r>
          </w:p>
        </w:tc>
        <w:tc>
          <w:tcPr>
            <w:tcW w:type="dxa" w:w="447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审核待审评论是否放行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UC18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登录后台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管理员</w:t>
            </w:r>
          </w:p>
        </w:tc>
        <w:tc>
          <w:tcPr>
            <w:tcW w:type="dxa" w:w="447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进入 Django 管理后台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UC19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文章管理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管理员</w:t>
            </w:r>
          </w:p>
        </w:tc>
        <w:tc>
          <w:tcPr>
            <w:tcW w:type="dxa" w:w="447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新增、编辑、删除文章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UC20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分类/标签管理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管理员</w:t>
            </w:r>
          </w:p>
        </w:tc>
        <w:tc>
          <w:tcPr>
            <w:tcW w:type="dxa" w:w="447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维护分类与标签体系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UC21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评论管理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管理员</w:t>
            </w:r>
          </w:p>
        </w:tc>
        <w:tc>
          <w:tcPr>
            <w:tcW w:type="dxa" w:w="447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删除或隐藏违规评论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UC22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用户管理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管理员</w:t>
            </w:r>
          </w:p>
        </w:tc>
        <w:tc>
          <w:tcPr>
            <w:tcW w:type="dxa" w:w="447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维护注册用户账号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UC23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站点设置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管理员</w:t>
            </w:r>
          </w:p>
        </w:tc>
        <w:tc>
          <w:tcPr>
            <w:tcW w:type="dxa" w:w="447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修改站点标题、页脚、评论开关等配置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UC24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邮件通知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管理员</w:t>
            </w:r>
          </w:p>
        </w:tc>
        <w:tc>
          <w:tcPr>
            <w:tcW w:type="dxa" w:w="447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向收件人发送邮件并记录日志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UC25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关键词搜文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微信粉丝</w:t>
            </w:r>
          </w:p>
        </w:tc>
        <w:tc>
          <w:tcPr>
            <w:tcW w:type="dxa" w:w="447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以“?关键字”指令搜索文章并图文返回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UC26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查分类/最新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微信粉丝</w:t>
            </w:r>
          </w:p>
        </w:tc>
        <w:tc>
          <w:tcPr>
            <w:tcW w:type="dxa" w:w="447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以 category / recent 指令查询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UC27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智能对话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微信粉丝</w:t>
            </w:r>
          </w:p>
        </w:tc>
        <w:tc>
          <w:tcPr>
            <w:tcW w:type="dxa" w:w="447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与机器人（ChatGPT）自由问答</w:t>
            </w:r>
          </w:p>
        </w:tc>
      </w:tr>
      <w:tr>
        <w:trPr>
          <w:cantSplit/>
        </w:trPr>
        <w:tc>
          <w:tcPr>
            <w:tcW w:type="dxa" w:w="737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UC28</w:t>
            </w:r>
          </w:p>
        </w:tc>
        <w:tc>
          <w:tcPr>
            <w:tcW w:type="dxa" w:w="170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运维指令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管理员（微信）</w:t>
            </w:r>
          </w:p>
        </w:tc>
        <w:tc>
          <w:tcPr>
            <w:tcW w:type="dxa" w:w="447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经身份校验后远程执行运维命令</w:t>
            </w:r>
          </w:p>
        </w:tc>
      </w:tr>
    </w:tbl>
    <w:p>
      <w:pPr>
        <w:pStyle w:val="2"/>
      </w:pPr>
      <w:r>
        <w:rPr>
          <w:rFonts w:ascii="Times New Roman" w:hAnsi="Times New Roman" w:eastAsia="黑体"/>
          <w:b/>
          <w:color w:val="000000"/>
          <w:sz w:val="32"/>
        </w:rPr>
        <w:t>五、核心用例规约</w:t>
      </w:r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本节选取两个代表性用例给出完整用例规约：UC13（第三方账号登录，对应 yjh 的 oauth 模块）与 UC16（表情回应，对应 chj 的 comments 模块）。</w:t>
      </w:r>
    </w:p>
    <w:p>
      <w:pPr>
        <w:pStyle w:val="3"/>
      </w:pPr>
      <w:r>
        <w:rPr>
          <w:rFonts w:ascii="Times New Roman" w:hAnsi="Times New Roman" w:eastAsia="黑体"/>
          <w:b/>
          <w:color w:val="000000"/>
          <w:sz w:val="28"/>
        </w:rPr>
        <w:t>（一）UC13 第三方账号登录</w:t>
      </w:r>
    </w:p>
    <w:tbl>
      <w:tblPr>
        <w:tblStyle w:val="a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cantSplit/>
        </w:trPr>
        <w:tc>
          <w:tcPr>
            <w:tcW w:type="dxa" w:w="1814"/>
            <w:shd w:val="clear" w:color="auto" w:fill="F2F2F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用例编号</w:t>
            </w:r>
          </w:p>
        </w:tc>
        <w:tc>
          <w:tcPr>
            <w:tcW w:type="dxa" w:w="646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UC13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2F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用例名称</w:t>
            </w:r>
          </w:p>
        </w:tc>
        <w:tc>
          <w:tcPr>
            <w:tcW w:type="dxa" w:w="646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第三方账号登录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2F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参与者</w:t>
            </w:r>
          </w:p>
        </w:tc>
        <w:tc>
          <w:tcPr>
            <w:tcW w:type="dxa" w:w="646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主：注册用户/游客；外部：OAuth 服务商（微博、Google、GitHub、QQ、Facebook）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2F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简要描述</w:t>
            </w:r>
          </w:p>
        </w:tc>
        <w:tc>
          <w:tcPr>
            <w:tcW w:type="dxa" w:w="646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用户无需本地注册，通过第三方 OAuth 授权即可登录本系统；首次登录时自动创建本地账号并与第三方身份绑定。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2F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前置条件</w:t>
            </w:r>
          </w:p>
        </w:tc>
        <w:tc>
          <w:tcPr>
            <w:tcW w:type="dxa" w:w="646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用户未登录，停留在登录页；对应 OAuth 渠道在后台已配置（OAuthConfig）。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2F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主事件流</w:t>
            </w:r>
          </w:p>
        </w:tc>
        <w:tc>
          <w:tcPr>
            <w:tcW w:type="dxa" w:w="646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1）用户在登录页选择第三方登录入口（如 GitHub）；2）系统携带 state 参数跳转至该服务商授权页；3）用户在授权页确认授权，服务商回调本站并返回授权码 code；4）系统凭 code 换取 access_token，并拉取用户昵称与邮箱；5）系统按邮箱查找本地账号：若已存在则直接登录，若不存在则自动注册新账号并写入 OAuthUser 绑定记录；6）登录成功，跳转至文章首页。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2F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备选流</w:t>
            </w:r>
          </w:p>
        </w:tc>
        <w:tc>
          <w:tcPr>
            <w:tcW w:type="dxa" w:w="646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3a）用户在授权页拒绝授权：返回登录页并提示“授权已取消”；4a）授权码过期或网络异常：提示重新发起登录；5a）邮箱已被本地账号占用且未完成验证：提示用户先完成邮箱绑定验证。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2F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后置条件</w:t>
            </w:r>
          </w:p>
        </w:tc>
        <w:tc>
          <w:tcPr>
            <w:tcW w:type="dxa" w:w="646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用户会话建立；OAuthUser 表存在对应绑定记录。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2F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业务规则</w:t>
            </w:r>
          </w:p>
        </w:tc>
        <w:tc>
          <w:tcPr>
            <w:tcW w:type="dxa" w:w="646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必须使用 state 参数防范 CSRF；五种授权渠道统一经 oauth/oauthmanager.py 处理，成功后跳转 oauth/bindsuccess 页面。</w:t>
            </w:r>
          </w:p>
        </w:tc>
      </w:tr>
    </w:tbl>
    <w:p>
      <w:pPr>
        <w:pStyle w:val="3"/>
      </w:pPr>
      <w:r>
        <w:rPr>
          <w:rFonts w:ascii="Times New Roman" w:hAnsi="Times New Roman" w:eastAsia="黑体"/>
          <w:b/>
          <w:color w:val="000000"/>
          <w:sz w:val="28"/>
        </w:rPr>
        <w:t>（二）UC16 表情回应</w:t>
      </w:r>
    </w:p>
    <w:tbl>
      <w:tblPr>
        <w:tblStyle w:val="a9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153"/>
        <w:gridCol w:w="4153"/>
      </w:tblGrid>
      <w:tr>
        <w:trPr>
          <w:cantSplit/>
        </w:trPr>
        <w:tc>
          <w:tcPr>
            <w:tcW w:type="dxa" w:w="1814"/>
            <w:shd w:val="clear" w:color="auto" w:fill="F2F2F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用例编号</w:t>
            </w:r>
          </w:p>
        </w:tc>
        <w:tc>
          <w:tcPr>
            <w:tcW w:type="dxa" w:w="646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UC16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2F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用例名称</w:t>
            </w:r>
          </w:p>
        </w:tc>
        <w:tc>
          <w:tcPr>
            <w:tcW w:type="dxa" w:w="646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表情回应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2F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参与者</w:t>
            </w:r>
          </w:p>
        </w:tc>
        <w:tc>
          <w:tcPr>
            <w:tcW w:type="dxa" w:w="646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主：注册用户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2F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简要描述</w:t>
            </w:r>
          </w:p>
        </w:tc>
        <w:tc>
          <w:tcPr>
            <w:tcW w:type="dxa" w:w="646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用户对某条评论选择一个表情（如赞、加油）进行轻量回应，系统记录表情计数并实时反馈。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2F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前置条件</w:t>
            </w:r>
          </w:p>
        </w:tc>
        <w:tc>
          <w:tcPr>
            <w:tcW w:type="dxa" w:w="646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用户已登录；文章详情页存在可回应的评论。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2F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主事件流</w:t>
            </w:r>
          </w:p>
        </w:tc>
        <w:tc>
          <w:tcPr>
            <w:tcW w:type="dxa" w:w="646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1）用户在某条评论下方的表情区点击一个表情；2）系统向 comments 接口提交评论标识与表情类型；3）系统在 CommentReaction 表写入一条记录（同一用户、同一评论、同一表情去重）；4）前端实时更新该表情的计数显示。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2F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备选流</w:t>
            </w:r>
          </w:p>
        </w:tc>
        <w:tc>
          <w:tcPr>
            <w:tcW w:type="dxa" w:w="646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1a）用户未登录：跳转至登录页；3a）用户再次点击同一表情：视为取消回应，删除对应记录并递减计数。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2F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后置条件</w:t>
            </w:r>
          </w:p>
        </w:tc>
        <w:tc>
          <w:tcPr>
            <w:tcW w:type="dxa" w:w="646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CommentReaction 表新增或切换一条记录。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2F2F2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8"/>
              </w:rPr>
              <w:t>业务规则</w:t>
            </w:r>
          </w:p>
        </w:tc>
        <w:tc>
          <w:tcPr>
            <w:tcW w:type="dxa" w:w="646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表情类型受 comments 模块 CommentReaction 模型约束；回应不计入正文评论数，不触发审核流程。</w:t>
            </w:r>
          </w:p>
        </w:tc>
      </w:tr>
    </w:tbl>
    <w:p>
      <w:pPr>
        <w:pStyle w:val="2"/>
      </w:pPr>
      <w:r>
        <w:rPr>
          <w:rFonts w:ascii="Times New Roman" w:hAnsi="Times New Roman" w:eastAsia="黑体"/>
          <w:b/>
          <w:color w:val="000000"/>
          <w:sz w:val="32"/>
        </w:rPr>
        <w:t>六、本人负责模块说明</w:t>
      </w:r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本人（王鑫悦，学号 2415304306）本轮认领的代码模块为 servermanager（微信公众号机器人与远程运维指令），对应用例图中的微信机器人功能域 UC25–UC28：</w:t>
      </w:r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UC25 关键词搜文：粉丝在公众号发送“?关键字”消息，机器人经 WeRoBot 过滤后调用 BlogApi 检索文章，并以图文消息（ArticlesReply）返回标题、摘要、缩略图与原文链接。</w:t>
      </w:r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UC26 查分类/最新：粉丝发送 category 或 recent 指令，分别返回全部分类目录与最新文章列表。</w:t>
      </w:r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UC27 智能对话：未命中任何指令的消息默认转交 ChatGPT（gpt-3.5-turbo）自由问答。</w:t>
      </w:r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UC28 运维指令：管理员先发送 ADMIN 并通过双重 SHA-256 密码校验（连续失败 3 次锁定），随后输入运维命令、经二次确认（回复 Y）后由 CommandHandler 调用 os.popen 执行 commands 表中预定义的运维命令并返回结果；发送 EXIT 退出管理员态。该用例 include“身份校验与二次确认”子流程。</w:t>
      </w:r>
    </w:p>
    <w:p>
      <w:pPr>
        <w:spacing w:line="360" w:lineRule="auto"/>
        <w:ind w:firstLineChars="200"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模块对应两张数据表：commands（运维命令注册表：命令标题、命令内容、描述）与 EmailSendLog（邮件发送日志）。</w:t>
      </w:r>
    </w:p>
    <w:sectPr w:rsidR="004167C6" w:rsidRPr="0051002B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344BF" w14:textId="77777777" w:rsidR="003E5341" w:rsidRDefault="003E5341" w:rsidP="0051002B">
      <w:r>
        <w:separator/>
      </w:r>
    </w:p>
  </w:endnote>
  <w:endnote w:type="continuationSeparator" w:id="0">
    <w:p w14:paraId="5EB1F9EF" w14:textId="77777777" w:rsidR="003E5341" w:rsidRDefault="003E5341" w:rsidP="00510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3CC806" w14:textId="77777777" w:rsidR="003E5341" w:rsidRDefault="003E5341" w:rsidP="0051002B">
      <w:r>
        <w:separator/>
      </w:r>
    </w:p>
  </w:footnote>
  <w:footnote w:type="continuationSeparator" w:id="0">
    <w:p w14:paraId="25E25C8A" w14:textId="77777777" w:rsidR="003E5341" w:rsidRDefault="003E5341" w:rsidP="00510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114F9"/>
    <w:multiLevelType w:val="hybridMultilevel"/>
    <w:tmpl w:val="113A2510"/>
    <w:lvl w:ilvl="0" w:tplc="D206ACA6">
      <w:start w:val="10"/>
      <w:numFmt w:val="bullet"/>
      <w:lvlText w:val=""/>
      <w:lvlJc w:val="left"/>
      <w:pPr>
        <w:ind w:left="360" w:hanging="360"/>
      </w:pPr>
      <w:rPr>
        <w:rFonts w:ascii="Wingdings" w:eastAsia="楷体" w:hAnsi="Wingdings" w:cs="楷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8B616BC"/>
    <w:multiLevelType w:val="singleLevel"/>
    <w:tmpl w:val="58B616BC"/>
    <w:lvl w:ilvl="0">
      <w:start w:val="1"/>
      <w:numFmt w:val="decimal"/>
      <w:suff w:val="space"/>
      <w:lvlText w:val="%1."/>
      <w:lvlJc w:val="left"/>
    </w:lvl>
  </w:abstractNum>
  <w:num w:numId="1" w16cid:durableId="766772930">
    <w:abstractNumId w:val="1"/>
  </w:num>
  <w:num w:numId="2" w16cid:durableId="934829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146"/>
    <w:rsid w:val="000A7293"/>
    <w:rsid w:val="000D5851"/>
    <w:rsid w:val="000D6177"/>
    <w:rsid w:val="00141797"/>
    <w:rsid w:val="001862B7"/>
    <w:rsid w:val="00270176"/>
    <w:rsid w:val="00292606"/>
    <w:rsid w:val="002A51D7"/>
    <w:rsid w:val="002E66A0"/>
    <w:rsid w:val="0033564F"/>
    <w:rsid w:val="003C3146"/>
    <w:rsid w:val="003E245E"/>
    <w:rsid w:val="003E5341"/>
    <w:rsid w:val="004167C6"/>
    <w:rsid w:val="00445A6A"/>
    <w:rsid w:val="00465987"/>
    <w:rsid w:val="00476B08"/>
    <w:rsid w:val="0051002B"/>
    <w:rsid w:val="00585E8E"/>
    <w:rsid w:val="005A33D8"/>
    <w:rsid w:val="005E64FA"/>
    <w:rsid w:val="005F5C6F"/>
    <w:rsid w:val="00637B9D"/>
    <w:rsid w:val="00650F63"/>
    <w:rsid w:val="006A0484"/>
    <w:rsid w:val="006F246B"/>
    <w:rsid w:val="00832401"/>
    <w:rsid w:val="00835BA5"/>
    <w:rsid w:val="008409AA"/>
    <w:rsid w:val="008951FA"/>
    <w:rsid w:val="008C3A99"/>
    <w:rsid w:val="008D5335"/>
    <w:rsid w:val="0092673D"/>
    <w:rsid w:val="009678DE"/>
    <w:rsid w:val="009B7512"/>
    <w:rsid w:val="009D5554"/>
    <w:rsid w:val="00A17D65"/>
    <w:rsid w:val="00AA4D7D"/>
    <w:rsid w:val="00AB1873"/>
    <w:rsid w:val="00AF66E1"/>
    <w:rsid w:val="00B11E65"/>
    <w:rsid w:val="00B520CD"/>
    <w:rsid w:val="00B57161"/>
    <w:rsid w:val="00B60438"/>
    <w:rsid w:val="00B70E4B"/>
    <w:rsid w:val="00BA363F"/>
    <w:rsid w:val="00BB7A28"/>
    <w:rsid w:val="00BC2D62"/>
    <w:rsid w:val="00C10336"/>
    <w:rsid w:val="00D1151E"/>
    <w:rsid w:val="00D17643"/>
    <w:rsid w:val="00DE6157"/>
    <w:rsid w:val="00DF68E5"/>
    <w:rsid w:val="00E340FC"/>
    <w:rsid w:val="00E539D1"/>
    <w:rsid w:val="00E85078"/>
    <w:rsid w:val="00F0793F"/>
    <w:rsid w:val="00F1281D"/>
    <w:rsid w:val="00FD607E"/>
    <w:rsid w:val="00FE77B5"/>
    <w:rsid w:val="01E46029"/>
    <w:rsid w:val="060B63F9"/>
    <w:rsid w:val="09EF6FD9"/>
    <w:rsid w:val="0B01399E"/>
    <w:rsid w:val="1173042F"/>
    <w:rsid w:val="11D32F1C"/>
    <w:rsid w:val="129A1646"/>
    <w:rsid w:val="130F7E50"/>
    <w:rsid w:val="15185CA7"/>
    <w:rsid w:val="151B46AD"/>
    <w:rsid w:val="19250D50"/>
    <w:rsid w:val="1CC22751"/>
    <w:rsid w:val="1F772D2E"/>
    <w:rsid w:val="24AD7A37"/>
    <w:rsid w:val="26832C27"/>
    <w:rsid w:val="2A2E29C2"/>
    <w:rsid w:val="2C102B57"/>
    <w:rsid w:val="2D4860D7"/>
    <w:rsid w:val="2EDB0A6C"/>
    <w:rsid w:val="30261309"/>
    <w:rsid w:val="308568A9"/>
    <w:rsid w:val="31EB1674"/>
    <w:rsid w:val="32F36623"/>
    <w:rsid w:val="3380750C"/>
    <w:rsid w:val="3E5B60DB"/>
    <w:rsid w:val="3FE40160"/>
    <w:rsid w:val="41516138"/>
    <w:rsid w:val="48A545E3"/>
    <w:rsid w:val="4D0B68F4"/>
    <w:rsid w:val="4F3B5643"/>
    <w:rsid w:val="51B93C67"/>
    <w:rsid w:val="561B7151"/>
    <w:rsid w:val="589D2DD6"/>
    <w:rsid w:val="5A1070D1"/>
    <w:rsid w:val="5A8A0F99"/>
    <w:rsid w:val="5EA110CF"/>
    <w:rsid w:val="60407876"/>
    <w:rsid w:val="60DB1C73"/>
    <w:rsid w:val="622E6F76"/>
    <w:rsid w:val="639221EC"/>
    <w:rsid w:val="678A3FEA"/>
    <w:rsid w:val="69B5242A"/>
    <w:rsid w:val="6A000277"/>
    <w:rsid w:val="6C026F8B"/>
    <w:rsid w:val="6C336F12"/>
    <w:rsid w:val="6CA94952"/>
    <w:rsid w:val="72A74928"/>
    <w:rsid w:val="765508B1"/>
    <w:rsid w:val="7AD4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D6859B"/>
  <w15:docId w15:val="{E4A2621B-8D8E-48DF-9773-D04F83959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TOC1">
    <w:name w:val="toc 1"/>
    <w:basedOn w:val="a"/>
    <w:next w:val="a"/>
    <w:uiPriority w:val="39"/>
    <w:rPr>
      <w:rFonts w:ascii="Times New Roman" w:eastAsia="宋体" w:hAnsi="Times New Roman" w:cs="Times New Roman"/>
      <w:szCs w:val="24"/>
    </w:rPr>
  </w:style>
  <w:style w:type="paragraph" w:styleId="a7">
    <w:name w:val="annotation subject"/>
    <w:basedOn w:val="a3"/>
    <w:next w:val="a3"/>
    <w:link w:val="a8"/>
    <w:uiPriority w:val="99"/>
    <w:unhideWhenUsed/>
    <w:qFormat/>
    <w:rPr>
      <w:b/>
      <w:bCs/>
    </w:rPr>
  </w:style>
  <w:style w:type="table" w:styleId="a9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8">
    <w:name w:val="批注主题 字符"/>
    <w:basedOn w:val="a4"/>
    <w:link w:val="a7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10">
    <w:name w:val="列出段落1"/>
    <w:basedOn w:val="a"/>
    <w:uiPriority w:val="99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11">
    <w:name w:val="附1"/>
    <w:basedOn w:val="a"/>
    <w:qFormat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ascii="Times New Roman" w:eastAsia="幼圆" w:hAnsi="Times New Roman" w:cs="Times New Roman"/>
      <w:b/>
      <w:kern w:val="44"/>
      <w:sz w:val="32"/>
      <w:szCs w:val="20"/>
    </w:rPr>
  </w:style>
  <w:style w:type="paragraph" w:customStyle="1" w:styleId="12">
    <w:name w:val="表1"/>
    <w:basedOn w:val="a"/>
    <w:qFormat/>
    <w:pPr>
      <w:adjustRightInd w:val="0"/>
      <w:spacing w:line="480" w:lineRule="atLeast"/>
      <w:textAlignment w:val="baseline"/>
    </w:pPr>
    <w:rPr>
      <w:rFonts w:ascii="幼圆" w:eastAsia="幼圆" w:hAnsi="Times New Roman" w:cs="Times New Roman"/>
      <w:kern w:val="0"/>
      <w:szCs w:val="20"/>
    </w:rPr>
  </w:style>
  <w:style w:type="paragraph" w:customStyle="1" w:styleId="2CU">
    <w:name w:val="表2CU"/>
    <w:basedOn w:val="a"/>
    <w:qFormat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eastAsia="幼圆" w:hAnsi="Times New Roman" w:cs="Times New Roman"/>
      <w:b/>
      <w:kern w:val="0"/>
      <w:szCs w:val="20"/>
    </w:r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paragraph" w:styleId="ab">
    <w:name w:val="header"/>
    <w:basedOn w:val="a"/>
    <w:link w:val="ac"/>
    <w:uiPriority w:val="99"/>
    <w:unhideWhenUsed/>
    <w:rsid w:val="005100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51002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5100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51002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f">
    <w:name w:val="List Paragraph"/>
    <w:basedOn w:val="a"/>
    <w:uiPriority w:val="99"/>
    <w:rsid w:val="00476B0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6CC9D6-6AD3-462A-B13B-4318458A0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34</Words>
  <Characters>200</Characters>
  <Application>Microsoft Office Word</Application>
  <DocSecurity>0</DocSecurity>
  <Lines>1</Lines>
  <Paragraphs>1</Paragraphs>
  <ScaleCrop>false</ScaleCrop>
  <Company>Microsoft</Company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xiaojun ji</cp:lastModifiedBy>
  <cp:revision>49</cp:revision>
  <dcterms:created xsi:type="dcterms:W3CDTF">2015-11-11T11:30:00Z</dcterms:created>
  <dcterms:modified xsi:type="dcterms:W3CDTF">2025-10-12T13:24:00Z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2052-11.1.0.8696</vt:lpwstr>
  </property>
</Properties>
</file>