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  <w:color w:val="000000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</w:rPr>
        <w:t>组号：3班4组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</w:rPr>
        <w:t>小组成员：熊圆好、纪秀茹、陈汉佳、翟旌超、王鑫悦、杨杰翰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040000" cy="29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图 1　DjangoBlog 数据模型类图（数据来源：依据项目 models 层整理，纪秀茹绘制，2026年10月）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rFonts w:ascii="Times New Roman" w:hAnsi="Times New Roman" w:eastAsia="宋体"/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rFonts w:ascii="Times New Roman" w:hAnsi="Times New Roman" w:eastAsia="宋体"/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rFonts w:ascii="Times New Roman" w:hAnsi="Times New Roman" w:eastAsia="宋体"/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小组全体成员对 6 个应用完成了逐行精读与注释，人工分析结论如下（各应用注释情况见表 1）。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rFonts w:ascii="Times New Roman" w:hAnsi="Times New Roman" w:eastAsia="宋体"/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项目整体遵循 PEP8 编码风格：统一 4 空格缩进（blog 应用 0 行 Tab）、类名大驼峰、函数与变量小写蛇形、常量全大写，import 分组清晰（标准库→第三方→项目内）。总体代码风格良好，仅有少量历史遗留问题。正例方面：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（1）blog/models.py：viewed() 方法三行说清“浏览量+1”，并用 update_fields 显式表达“只想改一列”的意图。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（2）oauth：BaseOauthManager 将 AUTH_URL/TOKEN_URL/API_URL/ICON_NAME 四个类属性集中声明，各平台子类只覆盖差异点。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（3）servermanager：models.py 每个字段均带中文 verbose_name，urls.py 用 app_name 命名空间隔离路由。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（4）djangoblog：apps.py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反例方面，存在以下需要改进之处：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（1）超长单行：blog_tags.py 第 872 行单行 141 字符；views.py 第 217/220 行 126 字符，且“#commentlist-container”锚点硬编码两遍。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（2）字符串格式化混用：同一模块内 f-string、.format()、% 三种风格并存（models.py:316、blog_tags.py:553、ping_baidu.py:71）。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（3）历史拼写错误（不建议改，涉及模板键名与外部引用）：commment_list、sidabar_links、ElaspedTimeDocumentManager。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（4）注释与行宽（oauth）：中英混杂的魔法注释（如“facebook 的 token 过长”）、90+ 字符的 URL 常量行，且项目无统一行宽配置文件。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（5）其他（servermanager/djangoblog）：robot.py 续行多缩进 14 空格（flake8 E127）并硬编码开发 token；settings.py 有 25 行被注释掉的旧配置；whoosh_cn_backend.py 以非 raw 字符串书写正则 \d。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结论：代码风格总体遵循 PEP8，个别历史遗留问题已登记入改进计划。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rFonts w:ascii="Times New Roman" w:hAnsi="Times New Roman" w:eastAsia="宋体"/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项目总体上遵循模块化、信息隐藏、高内聚、低耦合四项设计原则，可维护性较好，具体评价如下：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（3）高内聚与低耦合：blog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保证同一用户对同一评论的同一表情唯一。低耦合方面，comments 视图继承 AuthenticatedFormView 复用登录与表单流程；oauth 的 ProxyManagerMixin 利用 Python MRO 组合注入代理能力，零 if-else。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不足与可点名的耦合点如下：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（1）blog：ES 文档字段与 Article 模型字段需手工同步（隐性契约）；load_sidebar 一个标签直接查询文章/分类/标签等 8 类数据；ModelAdmin 定义与注册分离（blog/admin.py 与 djangoblog/admin_site.py 两处）。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（2）oauth：5 个子类构造函数前 4 行完全重复（复制粘贴 5 次）；authorize 视图约 100 行承担 8 件事。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（3）servermanager：BlogApi 直接 import blog ORM，双向耦合。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（4）djangoblog：blog_signals 事件中心单函数约 110 行集中分发多 app 模型。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rFonts w:ascii="Times New Roman" w:hAnsi="Times New Roman" w:eastAsia="宋体"/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rFonts w:ascii="Times New Roman" w:hAnsi="Times New Roman" w:eastAsia="宋体"/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（14）comments/utils.py send_comment_email：邮件发送失败仅记日志不阻断主流程。状态：已评估可接受（不改）。</w:t>
      </w:r>
    </w:p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按分工方案，6 名成员各精读一个应用，分工与注释情况如表 1 所示（数据来自各成员分支提交的清单 A）。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3762"/>
        <w:gridCol w:w="2600"/>
      </w:tblGrid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成员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分析模块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主要工作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（包括注释的代码文件、每个文件注释的行数）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</w:rPr>
              <w:t xml:space="preserve">代码注释标识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熊圆好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djangoblog（公共模块）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#xyh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纪秀茹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comments（评论互动）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#jxr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翟旌超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blog（文章模块）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#zjc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陈汉佳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accounts（用户模块）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#chj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王鑫悦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servermanager（微信机器人）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#wxy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杨杰翰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oauth（第三方登录）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#yjh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注：注释文件与行数按《第7-8周大作业任务分工方案》分配填写；行数为各 app 非测试代码物理行（组长统计基准），分析素材以各成员提交的清单 A 与王鑫悦工具结果为准。</w:t>
      </w: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下一步将针对系统的以下 10 个功能或不足进行改进：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（10）servermanager 命令执行改造：将 os.popen(cmd) 替换为 subprocess.run(shell=False, timeout=30)，加超时与输出截断，防止卡死机器人会话；BlogApi 抽接口以便单测替换。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