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  <w:color w:val="00000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rFonts w:ascii="Times New Roman" w:hAnsi="Times New Roman" w:eastAsia="宋体"/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rFonts w:ascii="Times New Roman" w:hAnsi="Times New Roman" w:eastAsia="宋体"/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rFonts w:ascii="Times New Roman" w:hAnsi="Times New Roman" w:eastAsia="宋体"/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rFonts w:ascii="Times New Roman" w:hAnsi="Times New Roman" w:eastAsia="宋体"/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项目整体遵循 PEP8 编码风格：统一 4 空格缩进（blog 应用 0 行 Tab）、类名大驼峰、函数与变量小写蛇形、常量全大写，import 分组清晰（标准库→第三方→项目内）。总体代码风格良好，仅有少量历史遗留问题。正例方面：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（1）blog/models.py：viewed() 方法三行说清“浏览量+1”，并用 update_fields 显式表达“只想改一列”的意图。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（2）oauth：BaseOauthManager 将 AUTH_URL/TOKEN_URL/API_URL/ICON_NAME 四个类属性集中声明，各平台子类只覆盖差异点。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（3）servermanager：models.py 每个字段均带中文 verbose_name，urls.py 用 app_name 命名空间隔离路由。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（4）djangoblog：apps.py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反例方面，存在以下需要改进之处：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（1）超长单行：blog_tags.py 第 872 行单行 141 字符；views.py 第 217/220 行 126 字符，且“#commentlist-container”锚点硬编码两遍。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（2）字符串格式化混用：同一模块内 f-string、.format()、% 三种风格并存（models.py:316、blog_tags.py:553、ping_baidu.py:71）。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（3）历史拼写错误（不建议改，涉及模板键名与外部引用）：commment_list、sidabar_links、ElaspedTimeDocumentManager。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（4）注释与行宽（oauth）：中英混杂的魔法注释（如“facebook 的 token 过长”）、90+ 字符的 URL 常量行，且项目无统一行宽配置文件。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（5）其他（servermanager/djangoblog）：robot.py 续行多缩进 14 空格（flake8 E127）并硬编码开发 token；settings.py 有 25 行被注释掉的旧配置；whoosh_cn_backend.py 以非 raw 字符串书写正则 \d。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结论：代码风格总体遵循 PEP8，个别历史遗留问题已登记入改进计划。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rFonts w:ascii="Times New Roman" w:hAnsi="Times New Roman" w:eastAsia="宋体"/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项目总体上遵循模块化、信息隐藏、高内聚、低耦合四项设计原则，可维护性较好，具体评价如下：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（3）高内聚与低耦合：blog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保证同一用户对同一评论的同一表情唯一。低耦合方面，comments 视图继承 AuthenticatedFormView 复用登录与表单流程；oauth 的 ProxyManagerMixin 利用 Python MRO 组合注入代理能力，零 if-else。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不足与可点名的耦合点如下：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（1）blog：ES 文档字段与 Article 模型字段需手工同步（隐性契约）；load_sidebar 一个标签直接查询文章/分类/标签等 8 类数据；ModelAdmin 定义与注册分离（blog/admin.py 与 djangoblog/admin_site.py 两处）。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（2）oauth：5 个子类构造函数前 4 行完全重复（复制粘贴 5 次）；authorize 视图约 100 行承担 8 件事。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（3）servermanager：BlogApi 直接 import blog ORM，双向耦合。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（4）djangoblog：blog_signals 事件中心单函数约 110 行集中分发多 app 模型。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rFonts w:ascii="Times New Roman" w:hAnsi="Times New Roman" w:eastAsia="宋体"/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rFonts w:ascii="Times New Roman" w:hAnsi="Times New Roman" w:eastAsia="宋体"/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（14）comments/utils.py send_comment_email：邮件发送失败仅记日志不阻断主流程。状态：已评估可接受（不改）。</w:t>
      </w:r>
    </w:p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按分工方案，6 名成员各精读一个应用，分工与注释情况如表 1 所示（数据来自各成员分支提交的清单 A）。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3762"/>
        <w:gridCol w:w="2600"/>
      </w:tblGrid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成员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分析模块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主要工作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（包括注释的代码文件、每个文件注释的行数）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</w:rPr>
              <w:t xml:space="preserve">代码注释标识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熊圆好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djangoblog（公共模块）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纪秀茹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comments（评论互动）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翟旌超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blog（文章模块）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陈汉佳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accounts（用户模块）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王鑫悦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servermanager（微信机器人）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杨杰翰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oauth（第三方登录）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注：注释文件与行数按《第7-8周大作业任务分工方案》分配填写；行数为各 app 非测试代码物理行（组长统计基准），分析素材以各成员提交的清单 A 与王鑫悦工具结果为准。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下一步将针对系统的以下 10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（10）servermanager 命令执行改造：将 os.popen(cmd) 替换为 subprocess.run(shell=False, timeout=30)，加超时与输出截断，防止卡死机器人会话；BlogApi 抽接口以便单测替换。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