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低频检测数据下公路桥梁状态预测与预防性养护时机决策研究</w:t>
      </w:r>
    </w:p>
    <w:p>
      <w:pPr>
        <w:pStyle w:val="Heading1"/>
      </w:pPr>
      <w:r>
        <w:t>摘要</w:t>
      </w:r>
    </w:p>
    <w:p>
      <w:pPr>
        <w:ind w:firstLine="420"/>
      </w:pPr>
      <w:r>
        <w:t>针对公路桥梁检测记录不连续、规划起点状态缺测的问题，使用2012—2024年59个检测单元的数据，研究后续全桥评分预测、规划初始状态构建及长期预防性养护时机决策。采用扩展时间窗口验证，在216条后续真实检测记录上比较历史值延续与回归预测方法，并据此构建2024年规划初始状态。以检测单元面积占比表示单次养护的归一化养护资源，以2025—2044年检测单元等权长期平均评分为目标，比较七档资源和两套规划初始状态。Ridge预测的均方根误差为4.0771分，LOCF与Ridge规划初始状态均值分别为90.6417和92.2957分。在累计归一化养护资源上限B=1.513358时，30组同seed配对排程的Jaccard均值为0.0687，双方均养护单元首次养护年份平均绝对差的组均值为2.92年。B由0.215150增至2.811565时，两套规划初始状态下长期平均评分分别由85.0848、87.7321升至92.2101、93.8523分；固定B下年评分下降量由0.45增至0.85分/年时，LOCF长期平均评分由92.8642降至88.2388分。结果表明，在给定情景和有限搜索条件下，不同规划初始状态对应的具体养护安排存在差异，且差异随资源水平变化；增加资源可改善长期状态，规划结果同时依赖评分下降情景。</w:t>
      </w:r>
    </w:p>
    <w:p>
      <w:r>
        <w:t>关键词：桥梁状态预测；低频检测；规划初始状态；预防性养护；归一化养护资源；养护时机</w:t>
      </w:r>
    </w:p>
    <w:p>
      <w:pPr>
        <w:pStyle w:val="Heading1"/>
      </w:pPr>
      <w:r>
        <w:t>1 引言</w:t>
      </w:r>
    </w:p>
    <w:p>
      <w:pPr>
        <w:ind w:firstLine="420"/>
      </w:pPr>
      <w:r>
        <w:t>公路桥梁长期服役过程中，管理部门需要根据当前技术状态安排后续检测和养护。预防性养护的实施年份关系到有限资源如何分配，也关系到桥梁群能否在规划期内维持所设定的状态要求。生命周期养护研究通常同时考虑状态变化、干预时机和资源条件，以比较不同方案的长期效果</w:t>
      </w:r>
      <w:r>
        <w:rPr>
          <w:sz w:val="16"/>
          <w:vertAlign w:val="superscript"/>
        </w:rPr>
        <w:t>[1]</w:t>
      </w:r>
      <w:r>
        <w:t>。一项安排是否可行，既取决于实施后的状态改善，也取决于行动发生前是否已经低于管理要求，仅比较规划末年的平均评分并不足以描述整个过程。其中，规划初始状态是各年状态递推的起点：对起始评分的估计发生变化，后续达到管理阈值的年份和可安排的养护时间也可能改变。因此，长期规划除了需要合理的状态递推与求解方法，还需要说明起始状态的来源，并区分实测状态与根据历史记录估计的状态。</w:t>
      </w:r>
    </w:p>
    <w:p>
      <w:pPr>
        <w:ind w:firstLine="420"/>
      </w:pPr>
      <w:r>
        <w:t>实际桥梁检测档案未必能够形成完整的年度序列。不同桥梁的检测年份和间隔可能不同，同一单元在部分年份也可能缺少评分。即使已有多年检测记录，最新规划年份仍可能只有少数单元完成检测。本研究台账即存在这一情况：记录跨度为13年，但2024年仅6个检测单元有实测全桥评分，其余53个单元的同期状态需要估计。此时，直接采用最新一条记录虽然操作简便，却把不同观测年份的评分同时作为规划起点，未体现其与规划年份之间的时间间隔；将缺失记录按零分处理则会把未观测误判为状态极差。已有研究利用历史资料进行桥梁构件退化预测</w:t>
      </w:r>
      <w:r>
        <w:rPr>
          <w:sz w:val="16"/>
          <w:vertAlign w:val="superscript"/>
        </w:rPr>
        <w:t>[2]</w:t>
      </w:r>
      <w:r>
        <w:t>，但估计值如何参与后续养护安排仍需结合具体数据与规划条件分析。对于低频、不连续记录，预测精度和规划结果应在同一数据背景下分别检验。</w:t>
      </w:r>
    </w:p>
    <w:p>
      <w:pPr>
        <w:ind w:firstLine="420"/>
      </w:pPr>
      <w:r>
        <w:t>利用预测时点之前的真实历史记录，可以为缺测单元提供候选规划初始状态。模型评价需要符合实际使用顺序：先用较早的记录建立模型，再预测后续真实检测，而不能在随机划分时让未来年份的信息进入训练或特征构造。具有时间结构的数据若采用不恰当的验证方式，可能高估模型在未来时点的预测表现</w:t>
      </w:r>
      <w:r>
        <w:rPr>
          <w:sz w:val="16"/>
          <w:vertAlign w:val="superscript"/>
        </w:rPr>
        <w:t>[3]</w:t>
      </w:r>
      <w:r>
        <w:t>。对不连续检测记录，还应把“下一次真实检测”与“下一自然年度”区分，避免用不存在的年度实测值评价预测。此外，评分延续、线性回归和非线性模型的适用性取决于样本量、特征与检测间隔，不能仅凭模型复杂程度判断。在本研究中，最近观测延续方法提供参照，Ridge和XGBoost用于比较预测误差；模型选择依据时间外验证结果，而不是将缺测年份的预测值预先认定为真实状态。</w:t>
      </w:r>
    </w:p>
    <w:p>
      <w:pPr>
        <w:ind w:firstLine="420"/>
      </w:pPr>
      <w:r>
        <w:t>状态预测误差较低，也不直接意味着由该预测规划初始状态得到的养护方案必然更好。长期平均评分既包含起始水平的影响，也包含养护行动带来的改善；若只比较最终目标值，容易混淆两者。另一方面，资源充足时可实施较多行动，资源受限时则需要在不同单元和年份之间取舍</w:t>
      </w:r>
      <w:r>
        <w:rPr>
          <w:sz w:val="16"/>
          <w:vertAlign w:val="superscript"/>
        </w:rPr>
        <w:t>[4]</w:t>
      </w:r>
      <w:r>
        <w:t>，因此同样的规划初始状态差异可能对应不同的时机变化。要辨别这些现象，应在共同的绝对资源上限、状态递推参数和行动约束下比较两套规划初始状态，同时考察长期平均评分、相对各自无养护基线的改善，以及实际行动年份的差异。这样的比较能够补充单一代表方案的展示，但仍需保留离散问题和有限随机搜索带来的求解波动。</w:t>
      </w:r>
    </w:p>
    <w:p>
      <w:pPr>
        <w:ind w:firstLine="420"/>
      </w:pPr>
      <w:r>
        <w:t>基于上述问题，本文以2012—2024年59个检测单元的历史记录为对象，提出三个研究问题。RQ1：在低频、非连续桥梁检测记录条件下，仅使用预测时点之前的真实历史信息，能够以多大精度预测后续全桥评分？RQ2：当最新规划年份存在大量缺测时，不同方法构建的规划初始状态，会在多大程度上改变长期养护时机？RQ3：不同养护资源水平，会如何影响长期桥梁状态和养护安排？本文先采用扩展时间窗口评价连续评分预测，再构建2024年LOCF与Ridge两套规划初始状态；随后在2025—2044年规划期内，以面积占比表示归一化养护资源，在七档共同资源上限下求解养护年份。通过每档30组相同随机seed的排程配对、绝对与相对养护效果比较，以及年评分下降量敏感性分析，回答上述问题。</w:t>
      </w:r>
    </w:p>
    <w:p>
      <w:pPr>
        <w:pStyle w:val="Heading1"/>
      </w:pPr>
      <w:r>
        <w:t>2 数据与方法</w:t>
      </w:r>
    </w:p>
    <w:p>
      <w:pPr>
        <w:pStyle w:val="Heading2"/>
      </w:pPr>
      <w:r>
        <w:t>2.1 桥梁检测数据及观测特征</w:t>
      </w:r>
    </w:p>
    <w:p>
      <w:pPr>
        <w:ind w:firstLine="420"/>
      </w:pPr>
      <w:r>
        <w:t>研究资料包括2012—2024年59个检测单元的全桥和上部结构评分，以及建成年份、长度、净宽和功能类型。检测单元保留原始资料的划分，不将其直接解释为59座独立桥梁。按单元与年份对应两类记录，13年共形成767个潜在单元—年位置。全桥评分有效387条、缺失380条，上部结构评分有效380条、缺失387条。缺失记录不按0分处理，也不插值生成人工检测值。数据规模与缺失情况见表1。</w:t>
      </w:r>
    </w:p>
    <w:p>
      <w:pPr>
        <w:pStyle w:val="Caption"/>
        <w:keepNext/>
        <w:spacing w:before="80" w:after="60"/>
      </w:pPr>
      <w:r>
        <w:rPr>
          <w:b/>
        </w:rPr>
        <w:t>表1 检测数据与缺失情况</w:t>
      </w:r>
    </w:p>
    <w:tbl>
      <w:tblPr>
        <w:tblStyle w:val="TableGrid"/>
        <w:tblW w:type="auto" w:w="0"/>
        <w:tblLayout w:type="fixed"/>
        <w:tblLook w:firstColumn="1" w:firstRow="1" w:lastColumn="0" w:lastRow="0" w:noHBand="0" w:noVBand="1" w:val="04A0"/>
      </w:tblPr>
      <w:tblGrid>
        <w:gridCol w:w="2721"/>
        <w:gridCol w:w="2608"/>
        <w:gridCol w:w="4309"/>
      </w:tblGrid>
      <w:tr>
        <w:trPr>
          <w:tblHeader/>
          <w:cantSplit/>
        </w:trPr>
        <w:tc>
          <w:tcPr>
            <w:tcW w:type="dxa" w:w="2721"/>
            <w:shd w:fill="F0F2F4"/>
            <w:vAlign w:val="center"/>
          </w:tcPr>
          <w:p>
            <w:pPr>
              <w:spacing w:after="40" w:before="40" w:line="250" w:lineRule="auto"/>
            </w:pPr>
            <w:r>
              <w:rPr>
                <w:sz w:val="17"/>
              </w:rPr>
              <w:t>项目</w:t>
            </w:r>
          </w:p>
        </w:tc>
        <w:tc>
          <w:tcPr>
            <w:tcW w:type="dxa" w:w="2608"/>
            <w:shd w:fill="F0F2F4"/>
            <w:vAlign w:val="center"/>
          </w:tcPr>
          <w:p>
            <w:pPr>
              <w:spacing w:after="40" w:before="40" w:line="250" w:lineRule="auto"/>
            </w:pPr>
            <w:r>
              <w:rPr>
                <w:sz w:val="17"/>
              </w:rPr>
              <w:t>数量或范围</w:t>
            </w:r>
          </w:p>
        </w:tc>
        <w:tc>
          <w:tcPr>
            <w:tcW w:type="dxa" w:w="4309"/>
            <w:shd w:fill="F0F2F4"/>
            <w:vAlign w:val="center"/>
          </w:tcPr>
          <w:p>
            <w:pPr>
              <w:spacing w:after="40" w:before="40" w:line="250" w:lineRule="auto"/>
            </w:pPr>
            <w:r>
              <w:rPr>
                <w:sz w:val="17"/>
              </w:rPr>
              <w:t>说明</w:t>
            </w:r>
          </w:p>
        </w:tc>
      </w:tr>
      <w:tr>
        <w:trPr>
          <w:cantSplit/>
        </w:trPr>
        <w:tc>
          <w:tcPr>
            <w:tcW w:type="dxa" w:w="2721"/>
            <w:vAlign w:val="center"/>
          </w:tcPr>
          <w:p>
            <w:pPr>
              <w:spacing w:after="40" w:before="40" w:line="250" w:lineRule="auto"/>
            </w:pPr>
            <w:r>
              <w:rPr>
                <w:sz w:val="17"/>
              </w:rPr>
              <w:t>检测单元</w:t>
            </w:r>
          </w:p>
        </w:tc>
        <w:tc>
          <w:tcPr>
            <w:tcW w:type="dxa" w:w="2608"/>
            <w:vAlign w:val="center"/>
          </w:tcPr>
          <w:p>
            <w:pPr>
              <w:spacing w:after="40" w:before="40" w:line="250" w:lineRule="auto"/>
            </w:pPr>
            <w:r>
              <w:rPr>
                <w:sz w:val="17"/>
              </w:rPr>
              <w:t>59</w:t>
            </w:r>
          </w:p>
        </w:tc>
        <w:tc>
          <w:tcPr>
            <w:tcW w:type="dxa" w:w="4309"/>
            <w:vAlign w:val="center"/>
          </w:tcPr>
          <w:p>
            <w:pPr>
              <w:spacing w:after="40" w:before="40" w:line="250" w:lineRule="auto"/>
            </w:pPr>
            <w:r>
              <w:rPr>
                <w:sz w:val="17"/>
              </w:rPr>
              <w:t>保留原始检测单元划分</w:t>
            </w:r>
          </w:p>
        </w:tc>
      </w:tr>
      <w:tr>
        <w:trPr>
          <w:cantSplit/>
        </w:trPr>
        <w:tc>
          <w:tcPr>
            <w:tcW w:type="dxa" w:w="2721"/>
            <w:vAlign w:val="center"/>
          </w:tcPr>
          <w:p>
            <w:pPr>
              <w:spacing w:after="40" w:before="40" w:line="250" w:lineRule="auto"/>
            </w:pPr>
            <w:r>
              <w:rPr>
                <w:sz w:val="17"/>
              </w:rPr>
              <w:t>年份与潜在单元—年</w:t>
            </w:r>
          </w:p>
        </w:tc>
        <w:tc>
          <w:tcPr>
            <w:tcW w:type="dxa" w:w="2608"/>
            <w:vAlign w:val="center"/>
          </w:tcPr>
          <w:p>
            <w:pPr>
              <w:spacing w:after="40" w:before="40" w:line="250" w:lineRule="auto"/>
            </w:pPr>
            <w:r>
              <w:rPr>
                <w:sz w:val="17"/>
              </w:rPr>
              <w:t>2012—2024；767</w:t>
            </w:r>
          </w:p>
        </w:tc>
        <w:tc>
          <w:tcPr>
            <w:tcW w:type="dxa" w:w="4309"/>
            <w:vAlign w:val="center"/>
          </w:tcPr>
          <w:p>
            <w:pPr>
              <w:spacing w:after="40" w:before="40" w:line="250" w:lineRule="auto"/>
            </w:pPr>
            <w:r>
              <w:rPr>
                <w:sz w:val="17"/>
              </w:rPr>
              <w:t>13年×59个单元</w:t>
            </w:r>
          </w:p>
        </w:tc>
      </w:tr>
      <w:tr>
        <w:trPr>
          <w:cantSplit/>
        </w:trPr>
        <w:tc>
          <w:tcPr>
            <w:tcW w:type="dxa" w:w="2721"/>
            <w:vAlign w:val="center"/>
          </w:tcPr>
          <w:p>
            <w:pPr>
              <w:spacing w:after="40" w:before="40" w:line="250" w:lineRule="auto"/>
            </w:pPr>
            <w:r>
              <w:rPr>
                <w:sz w:val="17"/>
              </w:rPr>
              <w:t>全桥评分有效/缺失</w:t>
            </w:r>
          </w:p>
        </w:tc>
        <w:tc>
          <w:tcPr>
            <w:tcW w:type="dxa" w:w="2608"/>
            <w:vAlign w:val="center"/>
          </w:tcPr>
          <w:p>
            <w:pPr>
              <w:spacing w:after="40" w:before="40" w:line="250" w:lineRule="auto"/>
            </w:pPr>
            <w:r>
              <w:rPr>
                <w:sz w:val="17"/>
              </w:rPr>
              <w:t>387 / 380</w:t>
            </w:r>
          </w:p>
        </w:tc>
        <w:tc>
          <w:tcPr>
            <w:tcW w:type="dxa" w:w="4309"/>
            <w:vAlign w:val="center"/>
          </w:tcPr>
          <w:p>
            <w:pPr>
              <w:spacing w:after="40" w:before="40" w:line="250" w:lineRule="auto"/>
            </w:pPr>
            <w:r>
              <w:rPr>
                <w:sz w:val="17"/>
              </w:rPr>
              <w:t>缺失比例49.54%</w:t>
            </w:r>
          </w:p>
        </w:tc>
      </w:tr>
      <w:tr>
        <w:trPr>
          <w:cantSplit/>
        </w:trPr>
        <w:tc>
          <w:tcPr>
            <w:tcW w:type="dxa" w:w="2721"/>
            <w:vAlign w:val="center"/>
          </w:tcPr>
          <w:p>
            <w:pPr>
              <w:spacing w:after="40" w:before="40" w:line="250" w:lineRule="auto"/>
            </w:pPr>
            <w:r>
              <w:rPr>
                <w:sz w:val="17"/>
              </w:rPr>
              <w:t>上部结构评分有效/缺失</w:t>
            </w:r>
          </w:p>
        </w:tc>
        <w:tc>
          <w:tcPr>
            <w:tcW w:type="dxa" w:w="2608"/>
            <w:vAlign w:val="center"/>
          </w:tcPr>
          <w:p>
            <w:pPr>
              <w:spacing w:after="40" w:before="40" w:line="250" w:lineRule="auto"/>
            </w:pPr>
            <w:r>
              <w:rPr>
                <w:sz w:val="17"/>
              </w:rPr>
              <w:t>380 / 387</w:t>
            </w:r>
          </w:p>
        </w:tc>
        <w:tc>
          <w:tcPr>
            <w:tcW w:type="dxa" w:w="4309"/>
            <w:vAlign w:val="center"/>
          </w:tcPr>
          <w:p>
            <w:pPr>
              <w:spacing w:after="40" w:before="40" w:line="250" w:lineRule="auto"/>
            </w:pPr>
            <w:r>
              <w:rPr>
                <w:sz w:val="17"/>
              </w:rPr>
              <w:t>缺失比例50.46%</w:t>
            </w:r>
          </w:p>
        </w:tc>
      </w:tr>
      <w:tr>
        <w:trPr>
          <w:cantSplit/>
        </w:trPr>
        <w:tc>
          <w:tcPr>
            <w:tcW w:type="dxa" w:w="2721"/>
            <w:vAlign w:val="center"/>
          </w:tcPr>
          <w:p>
            <w:pPr>
              <w:spacing w:after="40" w:before="40" w:line="250" w:lineRule="auto"/>
            </w:pPr>
            <w:r>
              <w:rPr>
                <w:sz w:val="17"/>
              </w:rPr>
              <w:t>两类评分同时有效</w:t>
            </w:r>
          </w:p>
        </w:tc>
        <w:tc>
          <w:tcPr>
            <w:tcW w:type="dxa" w:w="2608"/>
            <w:vAlign w:val="center"/>
          </w:tcPr>
          <w:p>
            <w:pPr>
              <w:spacing w:after="40" w:before="40" w:line="250" w:lineRule="auto"/>
            </w:pPr>
            <w:r>
              <w:rPr>
                <w:sz w:val="17"/>
              </w:rPr>
              <w:t>380</w:t>
            </w:r>
          </w:p>
        </w:tc>
        <w:tc>
          <w:tcPr>
            <w:tcW w:type="dxa" w:w="4309"/>
            <w:vAlign w:val="center"/>
          </w:tcPr>
          <w:p>
            <w:pPr>
              <w:spacing w:after="40" w:before="40" w:line="250" w:lineRule="auto"/>
            </w:pPr>
            <w:r>
              <w:rPr>
                <w:sz w:val="17"/>
              </w:rPr>
              <w:t>另有7条仅全桥评分有效</w:t>
            </w:r>
          </w:p>
        </w:tc>
      </w:tr>
      <w:tr>
        <w:trPr>
          <w:cantSplit/>
        </w:trPr>
        <w:tc>
          <w:tcPr>
            <w:tcW w:type="dxa" w:w="2721"/>
            <w:vAlign w:val="center"/>
          </w:tcPr>
          <w:p>
            <w:pPr>
              <w:spacing w:after="40" w:before="40" w:line="250" w:lineRule="auto"/>
            </w:pPr>
            <w:r>
              <w:rPr>
                <w:sz w:val="17"/>
              </w:rPr>
              <w:t>2024年评分构成</w:t>
            </w:r>
          </w:p>
        </w:tc>
        <w:tc>
          <w:tcPr>
            <w:tcW w:type="dxa" w:w="2608"/>
            <w:vAlign w:val="center"/>
          </w:tcPr>
          <w:p>
            <w:pPr>
              <w:spacing w:after="40" w:before="40" w:line="250" w:lineRule="auto"/>
            </w:pPr>
            <w:r>
              <w:rPr>
                <w:sz w:val="17"/>
              </w:rPr>
              <w:t>6实测+53估计</w:t>
            </w:r>
          </w:p>
        </w:tc>
        <w:tc>
          <w:tcPr>
            <w:tcW w:type="dxa" w:w="4309"/>
            <w:vAlign w:val="center"/>
          </w:tcPr>
          <w:p>
            <w:pPr>
              <w:spacing w:after="40" w:before="40" w:line="250" w:lineRule="auto"/>
            </w:pPr>
            <w:r>
              <w:rPr>
                <w:sz w:val="17"/>
              </w:rPr>
              <w:t>两套规划初始状态保留相同实测值</w:t>
            </w:r>
          </w:p>
        </w:tc>
      </w:tr>
      <w:tr>
        <w:trPr>
          <w:cantSplit/>
        </w:trPr>
        <w:tc>
          <w:tcPr>
            <w:tcW w:type="dxa" w:w="2721"/>
            <w:vAlign w:val="center"/>
          </w:tcPr>
          <w:p>
            <w:pPr>
              <w:spacing w:after="40" w:before="40" w:line="250" w:lineRule="auto"/>
            </w:pPr>
            <w:r>
              <w:rPr>
                <w:sz w:val="17"/>
              </w:rPr>
              <w:t>主要时间外测试</w:t>
            </w:r>
          </w:p>
        </w:tc>
        <w:tc>
          <w:tcPr>
            <w:tcW w:type="dxa" w:w="2608"/>
            <w:vAlign w:val="center"/>
          </w:tcPr>
          <w:p>
            <w:pPr>
              <w:spacing w:after="40" w:before="40" w:line="250" w:lineRule="auto"/>
            </w:pPr>
            <w:r>
              <w:rPr>
                <w:sz w:val="17"/>
              </w:rPr>
              <w:t>216条；2018—2024年</w:t>
            </w:r>
          </w:p>
        </w:tc>
        <w:tc>
          <w:tcPr>
            <w:tcW w:type="dxa" w:w="4309"/>
            <w:vAlign w:val="center"/>
          </w:tcPr>
          <w:p>
            <w:pPr>
              <w:spacing w:after="40" w:before="40" w:line="250" w:lineRule="auto"/>
            </w:pPr>
            <w:r>
              <w:rPr>
                <w:sz w:val="17"/>
              </w:rPr>
              <w:t>下一次真实检测记录</w:t>
            </w:r>
          </w:p>
        </w:tc>
      </w:tr>
    </w:tbl>
    <w:p>
      <w:pPr>
        <w:ind w:firstLine="420"/>
      </w:pPr>
      <w:r>
        <w:t>预测目标为后续真实检测的全桥评分，上部结构评分只作为历史特征。对各单元按真实全桥观测年份排序，将相邻两次观测组成一个预测样本，共得到328条转移记录，其中间隔1、2、3、4年的样本分别为123、144、55、6条。因此本研究的“后续预测”并不全部是一年预测。静态属性与单元编号对应，并假设记录的长度、净宽和功能类型在历史预测时已经可得。2024年仅6个单元有真实全桥评分，其余53个单元需要估计规划初始状态。</w:t>
      </w:r>
    </w:p>
    <w:p>
      <w:pPr>
        <w:pStyle w:val="Heading2"/>
      </w:pPr>
      <w:r>
        <w:t>2.2 基于历史信息的桥梁状态预测</w:t>
      </w:r>
    </w:p>
    <w:p>
      <w:pPr>
        <w:ind w:firstLine="420"/>
      </w:pPr>
      <w:r>
        <w:t>比较最近观测延续法（LOCF）、岭回归（Ridge）和XGBoost。LOCF直接将最近真实全桥评分作为预测值；Ridge通过二范数惩罚限制线性回归系数，采用scikit-learn实现</w:t>
      </w:r>
      <w:r>
        <w:rPr>
          <w:sz w:val="16"/>
          <w:vertAlign w:val="superscript"/>
        </w:rPr>
        <w:t>[5]</w:t>
      </w:r>
      <w:r>
        <w:t>；XGBoost采用梯度提升树拟合特征与后续评分的关系</w:t>
      </w:r>
      <w:r>
        <w:rPr>
          <w:sz w:val="16"/>
          <w:vertAlign w:val="superscript"/>
        </w:rPr>
        <w:t>[6]</w:t>
      </w:r>
      <w:r>
        <w:t>。两种学习模型使用相同的10个特征：目标年份桥龄、预测间隔、最近全桥评分、最近上部结构评分、上部结构历史缺失标记、长度、净宽，以及主线桥、匝道桥、通道桥三个类型指示变量。若无既往上部结构观测，以最近全桥评分代替该特征，同时将缺失标记置为1。上部结构最近观测允许早于最近全桥观测，始终按预测起点截取历史，避免将较晚的上部结构检测倒填至过去。输入不包含目标年份的实测评分。</w:t>
      </w:r>
    </w:p>
    <w:p>
      <w:pPr>
        <w:ind w:firstLine="420"/>
      </w:pPr>
      <w:r>
        <w:t>采用2018—2024年扩展时间窗口验证</w:t>
      </w:r>
      <w:r>
        <w:rPr>
          <w:sz w:val="16"/>
          <w:vertAlign w:val="superscript"/>
        </w:rPr>
        <w:t>[3]</w:t>
      </w:r>
      <w:r>
        <w:t>。以年份y为测试年份时，仅用目标观测年份早于y的转移记录训练，并在目标年份等于y的真实记录上测试，合计216条测试记录。七个测试年份的记录数依次为57、10、59、19、59、6、6条，合并评价时按真实记录计算误差，不将各年误差简单等权平均。每个样本的评分特征仅来自预测起点及以前的真实观测。验证中使用实际后续检测间隔，这是回顾性评价时已知的预测跨度；实际部署应事先指定预测目标年份，据此给定预测跨度。</w:t>
      </w:r>
    </w:p>
    <w:p>
      <w:pPr>
        <w:ind w:firstLine="420"/>
      </w:pPr>
      <w:r>
        <w:t>Ridge的正则化参数固定为10，缺失值中位数和标准化参数均只用当期训练集估计。XGBoost使用原始特征，固定200棵树、最大深度2、学习率0.03、最小子节点权重10、样本抽样比例0.8及二范数正则化参数5，随机seed为20260908。以上设置不依据外层测试结果重新调参。预测评分截取至[0,100]。模型比较使用相同测试记录，减少样本构成差异对排序的影响。以合并时间外预测的均方根误差（RMSE）、平均绝对误差（MAE）和决定系数R²评价误差，同时报告Pearson相关系数r；模型选择主要依据预测误差。</w:t>
      </w:r>
    </w:p>
    <w:p>
      <w:pPr>
        <w:pStyle w:val="Heading2"/>
      </w:pPr>
      <w:r>
        <w:t>2.3 2024年规划初始状态构建</w:t>
      </w:r>
    </w:p>
    <w:p>
      <w:pPr>
        <w:ind w:firstLine="420"/>
      </w:pPr>
      <w:r>
        <w:t>分别构建LOCF与Ridge两套2024年规划初始状态。对于有2024年实测值的6个单元，两套规划初始状态均保留该实测值；其余53个单元，LOCF采用最近真实全桥评分，Ridge采用历史特征预测。用于构建Ridge规划初始状态的模型在目标观测年份早于2024年的322条转移记录上训练，特征处理沿用前述规则，53个待预测单元不引入2024年同期评分。构建后冻结逐单元规划初始状态及其来源，记录采用实测、历史延续或模型预测，以及最近真实观测年份，避免在不同资源情景间改变规划起点。两套规划初始状态分别作为长期规划起点，后续递推、资源上限与管理条件保持一致。由于缺失单元没有同期真值，两套结果均称为规划初始状态。</w:t>
      </w:r>
    </w:p>
    <w:p>
      <w:pPr>
        <w:pStyle w:val="Heading2"/>
      </w:pPr>
      <w:r>
        <w:t>2.4 预防性养护状态递推与归一化资源</w:t>
      </w:r>
    </w:p>
    <w:p>
      <w:pPr>
        <w:ind w:firstLine="420"/>
      </w:pPr>
      <w:r>
        <w:t>规划期为2025—2044年，设单元i在年份t是否养护为x(i,t)∈{0,1}，年末评分为S(i,t)。每年依次进行评分下降、实施养护和评价年末状态：</w:t>
      </w:r>
    </w:p>
    <w:p>
      <w:pPr>
        <w:spacing w:before="80" w:after="120"/>
        <w:jc w:val="center"/>
      </w:pPr>
      <m:oMathPara>
        <m:oMathParaPr>
          <m:jc m:val="center"/>
        </m:oMathParaPr>
        <m:oMath>
          <m:sSub>
            <m:e>
              <m:r>
                <m:t xml:space="preserve">S</m:t>
              </m:r>
            </m:e>
            <m:sub>
              <m:r>
                <m:rPr>
                  <m:sty m:val="p"/>
                </m:rPr>
                <m:t xml:space="preserve">pre</m:t>
              </m:r>
            </m:sub>
          </m:sSub>
          <m:r>
            <m:t xml:space="preserve">(i,t)=</m:t>
          </m:r>
          <m:r>
            <m:rPr>
              <m:sty m:val="p"/>
            </m:rPr>
            <m:t xml:space="preserve">max</m:t>
          </m:r>
          <m:r>
            <m:t xml:space="preserve">[0,S(i,t−1)−d]</m:t>
          </m:r>
        </m:oMath>
      </m:oMathPara>
    </w:p>
    <w:p>
      <w:pPr>
        <w:spacing w:before="80" w:after="120"/>
        <w:jc w:val="center"/>
      </w:pPr>
      <m:oMathPara>
        <m:oMathParaPr>
          <m:jc m:val="center"/>
        </m:oMathParaPr>
        <m:oMath>
          <m:r>
            <m:t xml:space="preserve">S(i,t)=</m:t>
          </m:r>
          <m:r>
            <m:rPr>
              <m:sty m:val="p"/>
            </m:rPr>
            <m:t xml:space="preserve">min</m:t>
          </m:r>
          <m:r>
            <m:t xml:space="preserve">[100,</m:t>
          </m:r>
          <m:sSub>
            <m:e>
              <m:r>
                <m:t xml:space="preserve">S</m:t>
              </m:r>
            </m:e>
            <m:sub>
              <m:r>
                <m:rPr>
                  <m:sty m:val="p"/>
                </m:rPr>
                <m:t xml:space="preserve">pre</m:t>
              </m:r>
            </m:sub>
          </m:sSub>
          <m:r>
            <m:t xml:space="preserve">(i,t)+R x(i,t)]</m:t>
          </m:r>
        </m:oMath>
      </m:oMathPara>
    </w:p>
    <w:p>
      <w:pPr>
        <w:ind w:firstLine="420"/>
      </w:pPr>
      <w:r>
        <w:t>参考年评分下降量d=0.65分/年，养护后评分恢复量R=6分，均为情景参数。每年最多养护8个单元，同一单元相邻养护间隔至少3年，20年内最多养护3次。两套规划初始状态在各资源档使用同一组参数，使比较重点落在规划起点和资源上限。下降量敏感性只改变d，其余状态递推与行动限制保持不变，不把情景参数解释为由检测记录识别出的自然变化规律。</w:t>
      </w:r>
    </w:p>
    <w:p>
      <w:pPr>
        <w:ind w:firstLine="420"/>
      </w:pPr>
      <w:r>
        <w:t>依据JTG/T 5230—2026所给评分区间，将评分映射为1—5类，依次为(90,100]、(75,90]、(60,75]、(40,60]、[0,40]</w:t>
      </w:r>
      <w:r>
        <w:rPr>
          <w:sz w:val="16"/>
          <w:vertAlign w:val="superscript"/>
        </w:rPr>
        <w:t>[7]</w:t>
      </w:r>
      <w:r>
        <w:t>。研究缺少完整构件控制指标和病害记录，因此只作技术状态等级映射。规划要求全部单元每年年末评分大于60，且至少57/59个单元大于75；57/59是本文管理目标，并非标准规定的比例。程序以评分大于阈值加10⁻⁸判断管理条件，以避免浮点误差将边界值算作通过。</w:t>
      </w:r>
    </w:p>
    <w:p>
      <w:pPr>
        <w:ind w:firstLine="420"/>
      </w:pPr>
      <w:r>
        <w:t>由于缺少实际养护工程量和费用记录，采用单元面积占总面积的比例表示单次养护的相对资源需求：</w:t>
      </w:r>
    </w:p>
    <w:p>
      <w:pPr>
        <w:spacing w:before="80" w:after="120"/>
        <w:jc w:val="center"/>
      </w:pPr>
      <m:oMathPara>
        <m:oMathParaPr>
          <m:jc m:val="center"/>
        </m:oMathParaPr>
        <m:oMath>
          <m:sSub>
            <m:e>
              <m:r>
                <m:t xml:space="preserve">r</m:t>
              </m:r>
            </m:e>
            <m:sub>
              <m:r>
                <m:t xml:space="preserve">i</m:t>
              </m:r>
            </m:sub>
          </m:sSub>
          <m:r>
            <m:t xml:space="preserve">=</m:t>
          </m:r>
          <m:f>
            <m:num>
              <m:sSub>
                <m:e>
                  <m:r>
                    <m:t xml:space="preserve">A</m:t>
                  </m:r>
                </m:e>
                <m:sub>
                  <m:r>
                    <m:t xml:space="preserve">i</m:t>
                  </m:r>
                </m:sub>
              </m:sSub>
            </m:num>
            <m:den>
              <m:sSub>
                <m:e>
                  <m:r>
                    <m:t xml:space="preserve">A</m:t>
                  </m:r>
                </m:e>
                <m:sub>
                  <m:r>
                    <m:rPr>
                      <m:sty m:val="p"/>
                    </m:rPr>
                    <m:t xml:space="preserve">total</m:t>
                  </m:r>
                </m:sub>
              </m:sSub>
            </m:den>
          </m:f>
          <m:r>
            <m:t xml:space="preserve">，</m:t>
          </m:r>
          <m:sSub>
            <m:e>
              <m:r>
                <m:t xml:space="preserve">A</m:t>
              </m:r>
            </m:e>
            <m:sub>
              <m:r>
                <m:rPr>
                  <m:sty m:val="p"/>
                </m:rPr>
                <m:t xml:space="preserve">total</m:t>
              </m:r>
            </m:sub>
          </m:sSub>
          <m:r>
            <m:t xml:space="preserve">=</m:t>
          </m:r>
          <m:sSub>
            <m:e>
              <m:r>
                <m:t xml:space="preserve">Σ</m:t>
              </m:r>
            </m:e>
            <m:sub>
              <m:r>
                <m:t xml:space="preserve">i</m:t>
              </m:r>
            </m:sub>
          </m:sSub>
          <m:r>
            <m:t xml:space="preserve"> </m:t>
          </m:r>
          <m:sSub>
            <m:e>
              <m:r>
                <m:t xml:space="preserve">A</m:t>
              </m:r>
            </m:e>
            <m:sub>
              <m:r>
                <m:t xml:space="preserve">i</m:t>
              </m:r>
            </m:sub>
          </m:sSub>
        </m:oMath>
      </m:oMathPara>
    </w:p>
    <w:p>
      <w:pPr>
        <w:spacing w:before="80" w:after="120"/>
        <w:jc w:val="center"/>
      </w:pPr>
      <m:oMathPara>
        <m:oMathParaPr>
          <m:jc m:val="center"/>
        </m:oMathParaPr>
        <m:oMath>
          <m:sSub>
            <m:e>
              <m:r>
                <m:t xml:space="preserve">B</m:t>
              </m:r>
            </m:e>
            <m:sub>
              <m:r>
                <m:rPr>
                  <m:sty m:val="p"/>
                </m:rPr>
                <m:t xml:space="preserve">used</m:t>
              </m:r>
            </m:sub>
          </m:sSub>
          <m:r>
            <m:t xml:space="preserve">=</m:t>
          </m:r>
          <m:sSub>
            <m:e>
              <m:r>
                <m:t xml:space="preserve">Σ</m:t>
              </m:r>
            </m:e>
            <m:sub>
              <m:r>
                <m:t xml:space="preserve">t</m:t>
              </m:r>
            </m:sub>
          </m:sSub>
          <m:sSub>
            <m:e>
              <m:r>
                <m:t xml:space="preserve">Σ</m:t>
              </m:r>
            </m:e>
            <m:sub>
              <m:r>
                <m:t xml:space="preserve">i</m:t>
              </m:r>
            </m:sub>
          </m:sSub>
          <m:r>
            <m:t xml:space="preserve"> x(i,t)</m:t>
          </m:r>
          <m:sSub>
            <m:e>
              <m:r>
                <m:t xml:space="preserve">r</m:t>
              </m:r>
            </m:e>
            <m:sub>
              <m:r>
                <m:t xml:space="preserve">i</m:t>
              </m:r>
            </m:sub>
          </m:sSub>
          <m:r>
            <m:t xml:space="preserve">≤B</m:t>
          </m:r>
        </m:oMath>
      </m:oMathPara>
    </w:p>
    <w:p>
      <w:pPr>
        <w:ind w:firstLine="420"/>
      </w:pPr>
      <w:r>
        <w:t>其中A_i为记录长度与净宽的乘积。归一化养护资源与评分无关，实施一次养护即计入r_i；同一单元重复养护则重复累加，不因处理面积相同而合并。B无量纲，全部59个单元分别养护一次时累计资源为1，可解释为累计等效全网络处理面积。累计资源判定采用10⁻¹⁰max(1,B)的浮点容差，不改变各单元面积占比。本文不将其换算为货币费用。规划参数及其性质见表3。</w:t>
      </w:r>
    </w:p>
    <w:p>
      <w:pPr>
        <w:pStyle w:val="Caption"/>
        <w:keepNext/>
        <w:spacing w:before="80" w:after="60"/>
      </w:pPr>
      <w:r>
        <w:rPr>
          <w:b/>
        </w:rPr>
        <w:t>表3 规划参数及其性质</w:t>
      </w:r>
    </w:p>
    <w:tbl>
      <w:tblPr>
        <w:tblStyle w:val="TableGrid"/>
        <w:tblW w:type="auto" w:w="0"/>
        <w:tblLayout w:type="fixed"/>
        <w:tblLook w:firstColumn="1" w:firstRow="1" w:lastColumn="0" w:lastRow="0" w:noHBand="0" w:noVBand="1" w:val="04A0"/>
      </w:tblPr>
      <w:tblGrid>
        <w:gridCol w:w="2324"/>
        <w:gridCol w:w="4252"/>
        <w:gridCol w:w="3061"/>
      </w:tblGrid>
      <w:tr>
        <w:trPr>
          <w:tblHeader/>
          <w:cantSplit/>
        </w:trPr>
        <w:tc>
          <w:tcPr>
            <w:tcW w:type="dxa" w:w="2324"/>
            <w:shd w:fill="F0F2F4"/>
            <w:vAlign w:val="center"/>
          </w:tcPr>
          <w:p>
            <w:pPr>
              <w:spacing w:after="40" w:before="40" w:line="250" w:lineRule="auto"/>
            </w:pPr>
            <w:r>
              <w:rPr>
                <w:sz w:val="17"/>
              </w:rPr>
              <w:t>参数或条件</w:t>
            </w:r>
          </w:p>
        </w:tc>
        <w:tc>
          <w:tcPr>
            <w:tcW w:type="dxa" w:w="4252"/>
            <w:shd w:fill="F0F2F4"/>
            <w:vAlign w:val="center"/>
          </w:tcPr>
          <w:p>
            <w:pPr>
              <w:spacing w:after="40" w:before="40" w:line="250" w:lineRule="auto"/>
            </w:pPr>
            <w:r>
              <w:rPr>
                <w:sz w:val="17"/>
              </w:rPr>
              <w:t>设置</w:t>
            </w:r>
          </w:p>
        </w:tc>
        <w:tc>
          <w:tcPr>
            <w:tcW w:type="dxa" w:w="3061"/>
            <w:shd w:fill="F0F2F4"/>
            <w:vAlign w:val="center"/>
          </w:tcPr>
          <w:p>
            <w:pPr>
              <w:spacing w:after="40" w:before="40" w:line="250" w:lineRule="auto"/>
            </w:pPr>
            <w:r>
              <w:rPr>
                <w:sz w:val="17"/>
              </w:rPr>
              <w:t>性质</w:t>
            </w:r>
          </w:p>
        </w:tc>
      </w:tr>
      <w:tr>
        <w:trPr>
          <w:cantSplit/>
        </w:trPr>
        <w:tc>
          <w:tcPr>
            <w:tcW w:type="dxa" w:w="2324"/>
            <w:vAlign w:val="center"/>
          </w:tcPr>
          <w:p>
            <w:pPr>
              <w:spacing w:after="40" w:before="40" w:line="250" w:lineRule="auto"/>
            </w:pPr>
            <w:r>
              <w:rPr>
                <w:sz w:val="17"/>
              </w:rPr>
              <w:t>规划范围与目标</w:t>
            </w:r>
          </w:p>
        </w:tc>
        <w:tc>
          <w:tcPr>
            <w:tcW w:type="dxa" w:w="4252"/>
            <w:vAlign w:val="center"/>
          </w:tcPr>
          <w:p>
            <w:pPr>
              <w:spacing w:after="40" w:before="40" w:line="250" w:lineRule="auto"/>
            </w:pPr>
            <w:r>
              <w:rPr>
                <w:sz w:val="17"/>
              </w:rPr>
              <w:t>2025—2044年；59单元等权J</w:t>
            </w:r>
          </w:p>
        </w:tc>
        <w:tc>
          <w:tcPr>
            <w:tcW w:type="dxa" w:w="3061"/>
            <w:vAlign w:val="center"/>
          </w:tcPr>
          <w:p>
            <w:pPr>
              <w:spacing w:after="40" w:before="40" w:line="250" w:lineRule="auto"/>
            </w:pPr>
            <w:r>
              <w:rPr>
                <w:sz w:val="17"/>
              </w:rPr>
              <w:t>长期情景规划</w:t>
            </w:r>
          </w:p>
        </w:tc>
      </w:tr>
      <w:tr>
        <w:trPr>
          <w:cantSplit/>
        </w:trPr>
        <w:tc>
          <w:tcPr>
            <w:tcW w:type="dxa" w:w="2324"/>
            <w:vAlign w:val="center"/>
          </w:tcPr>
          <w:p>
            <w:pPr>
              <w:spacing w:after="40" w:before="40" w:line="250" w:lineRule="auto"/>
            </w:pPr>
            <w:r>
              <w:rPr>
                <w:sz w:val="17"/>
              </w:rPr>
              <w:t>年评分下降量d</w:t>
            </w:r>
          </w:p>
        </w:tc>
        <w:tc>
          <w:tcPr>
            <w:tcW w:type="dxa" w:w="4252"/>
            <w:vAlign w:val="center"/>
          </w:tcPr>
          <w:p>
            <w:pPr>
              <w:spacing w:after="40" w:before="40" w:line="250" w:lineRule="auto"/>
            </w:pPr>
            <w:r>
              <w:rPr>
                <w:sz w:val="17"/>
              </w:rPr>
              <w:t>0.65分/年；敏感性0.45、0.85</w:t>
            </w:r>
          </w:p>
        </w:tc>
        <w:tc>
          <w:tcPr>
            <w:tcW w:type="dxa" w:w="3061"/>
            <w:vAlign w:val="center"/>
          </w:tcPr>
          <w:p>
            <w:pPr>
              <w:spacing w:after="40" w:before="40" w:line="250" w:lineRule="auto"/>
            </w:pPr>
            <w:r>
              <w:rPr>
                <w:sz w:val="17"/>
              </w:rPr>
              <w:t>情景参数，未由养护事件识别</w:t>
            </w:r>
          </w:p>
        </w:tc>
      </w:tr>
      <w:tr>
        <w:trPr>
          <w:cantSplit/>
        </w:trPr>
        <w:tc>
          <w:tcPr>
            <w:tcW w:type="dxa" w:w="2324"/>
            <w:vAlign w:val="center"/>
          </w:tcPr>
          <w:p>
            <w:pPr>
              <w:spacing w:after="40" w:before="40" w:line="250" w:lineRule="auto"/>
            </w:pPr>
            <w:r>
              <w:rPr>
                <w:sz w:val="17"/>
              </w:rPr>
              <w:t>养护后评分恢复量R</w:t>
            </w:r>
          </w:p>
        </w:tc>
        <w:tc>
          <w:tcPr>
            <w:tcW w:type="dxa" w:w="4252"/>
            <w:vAlign w:val="center"/>
          </w:tcPr>
          <w:p>
            <w:pPr>
              <w:spacing w:after="40" w:before="40" w:line="250" w:lineRule="auto"/>
            </w:pPr>
            <w:r>
              <w:rPr>
                <w:sz w:val="17"/>
              </w:rPr>
              <w:t>6分，评分上限100</w:t>
            </w:r>
          </w:p>
        </w:tc>
        <w:tc>
          <w:tcPr>
            <w:tcW w:type="dxa" w:w="3061"/>
            <w:vAlign w:val="center"/>
          </w:tcPr>
          <w:p>
            <w:pPr>
              <w:spacing w:after="40" w:before="40" w:line="250" w:lineRule="auto"/>
            </w:pPr>
            <w:r>
              <w:rPr>
                <w:sz w:val="17"/>
              </w:rPr>
              <w:t>情景参数，未用前后记录校准</w:t>
            </w:r>
          </w:p>
        </w:tc>
      </w:tr>
      <w:tr>
        <w:trPr>
          <w:cantSplit/>
        </w:trPr>
        <w:tc>
          <w:tcPr>
            <w:tcW w:type="dxa" w:w="2324"/>
            <w:vAlign w:val="center"/>
          </w:tcPr>
          <w:p>
            <w:pPr>
              <w:spacing w:after="40" w:before="40" w:line="250" w:lineRule="auto"/>
            </w:pPr>
            <w:r>
              <w:rPr>
                <w:sz w:val="17"/>
              </w:rPr>
              <w:t>归一化养护资源</w:t>
            </w:r>
          </w:p>
        </w:tc>
        <w:tc>
          <w:tcPr>
            <w:tcW w:type="dxa" w:w="4252"/>
            <w:vAlign w:val="center"/>
          </w:tcPr>
          <w:p>
            <w:pPr>
              <w:spacing w:after="40" w:before="40" w:line="250" w:lineRule="auto"/>
            </w:pPr>
            <w:r>
              <w:rPr>
                <w:sz w:val="17"/>
              </w:rPr>
              <w:t>rᵢ=Aᵢ/A_total；B_used=Σxᵢₜrᵢ</w:t>
            </w:r>
          </w:p>
        </w:tc>
        <w:tc>
          <w:tcPr>
            <w:tcW w:type="dxa" w:w="3061"/>
            <w:vAlign w:val="center"/>
          </w:tcPr>
          <w:p>
            <w:pPr>
              <w:spacing w:after="40" w:before="40" w:line="250" w:lineRule="auto"/>
            </w:pPr>
            <w:r>
              <w:rPr>
                <w:sz w:val="17"/>
              </w:rPr>
              <w:t>面积占比；无量纲</w:t>
            </w:r>
          </w:p>
        </w:tc>
      </w:tr>
      <w:tr>
        <w:trPr>
          <w:cantSplit/>
        </w:trPr>
        <w:tc>
          <w:tcPr>
            <w:tcW w:type="dxa" w:w="2324"/>
            <w:vAlign w:val="center"/>
          </w:tcPr>
          <w:p>
            <w:pPr>
              <w:spacing w:after="40" w:before="40" w:line="250" w:lineRule="auto"/>
            </w:pPr>
            <w:r>
              <w:rPr>
                <w:sz w:val="17"/>
              </w:rPr>
              <w:t>年末评分管理条件</w:t>
            </w:r>
          </w:p>
        </w:tc>
        <w:tc>
          <w:tcPr>
            <w:tcW w:type="dxa" w:w="4252"/>
            <w:vAlign w:val="center"/>
          </w:tcPr>
          <w:p>
            <w:pPr>
              <w:spacing w:after="40" w:before="40" w:line="250" w:lineRule="auto"/>
            </w:pPr>
            <w:r>
              <w:rPr>
                <w:sz w:val="17"/>
              </w:rPr>
              <w:t>全部&gt;60；至少57/59个&gt;75</w:t>
            </w:r>
          </w:p>
        </w:tc>
        <w:tc>
          <w:tcPr>
            <w:tcW w:type="dxa" w:w="3061"/>
            <w:vAlign w:val="center"/>
          </w:tcPr>
          <w:p>
            <w:pPr>
              <w:spacing w:after="40" w:before="40" w:line="250" w:lineRule="auto"/>
            </w:pPr>
            <w:r>
              <w:rPr>
                <w:sz w:val="17"/>
              </w:rPr>
              <w:t>本文管理目标</w:t>
            </w:r>
          </w:p>
        </w:tc>
      </w:tr>
      <w:tr>
        <w:trPr>
          <w:cantSplit/>
        </w:trPr>
        <w:tc>
          <w:tcPr>
            <w:tcW w:type="dxa" w:w="2324"/>
            <w:vAlign w:val="center"/>
          </w:tcPr>
          <w:p>
            <w:pPr>
              <w:spacing w:after="40" w:before="40" w:line="250" w:lineRule="auto"/>
            </w:pPr>
            <w:r>
              <w:rPr>
                <w:sz w:val="17"/>
              </w:rPr>
              <w:t>年度养护数量上限</w:t>
            </w:r>
          </w:p>
        </w:tc>
        <w:tc>
          <w:tcPr>
            <w:tcW w:type="dxa" w:w="4252"/>
            <w:vAlign w:val="center"/>
          </w:tcPr>
          <w:p>
            <w:pPr>
              <w:spacing w:after="40" w:before="40" w:line="250" w:lineRule="auto"/>
            </w:pPr>
            <w:r>
              <w:rPr>
                <w:sz w:val="17"/>
              </w:rPr>
              <w:t>8个单元</w:t>
            </w:r>
          </w:p>
        </w:tc>
        <w:tc>
          <w:tcPr>
            <w:tcW w:type="dxa" w:w="3061"/>
            <w:vAlign w:val="center"/>
          </w:tcPr>
          <w:p>
            <w:pPr>
              <w:spacing w:after="40" w:before="40" w:line="250" w:lineRule="auto"/>
            </w:pPr>
            <w:r>
              <w:rPr>
                <w:sz w:val="17"/>
              </w:rPr>
              <w:t>规划能力约束</w:t>
            </w:r>
          </w:p>
        </w:tc>
      </w:tr>
      <w:tr>
        <w:trPr>
          <w:cantSplit/>
        </w:trPr>
        <w:tc>
          <w:tcPr>
            <w:tcW w:type="dxa" w:w="2324"/>
            <w:vAlign w:val="center"/>
          </w:tcPr>
          <w:p>
            <w:pPr>
              <w:spacing w:after="40" w:before="40" w:line="250" w:lineRule="auto"/>
            </w:pPr>
            <w:r>
              <w:rPr>
                <w:sz w:val="17"/>
              </w:rPr>
              <w:t>同单元间隔/累计次数</w:t>
            </w:r>
          </w:p>
        </w:tc>
        <w:tc>
          <w:tcPr>
            <w:tcW w:type="dxa" w:w="4252"/>
            <w:vAlign w:val="center"/>
          </w:tcPr>
          <w:p>
            <w:pPr>
              <w:spacing w:after="40" w:before="40" w:line="250" w:lineRule="auto"/>
            </w:pPr>
            <w:r>
              <w:rPr>
                <w:sz w:val="17"/>
              </w:rPr>
              <w:t>至少3年；最多3次</w:t>
            </w:r>
          </w:p>
        </w:tc>
        <w:tc>
          <w:tcPr>
            <w:tcW w:type="dxa" w:w="3061"/>
            <w:vAlign w:val="center"/>
          </w:tcPr>
          <w:p>
            <w:pPr>
              <w:spacing w:after="40" w:before="40" w:line="250" w:lineRule="auto"/>
            </w:pPr>
            <w:r>
              <w:rPr>
                <w:sz w:val="17"/>
              </w:rPr>
              <w:t>规划行动约束</w:t>
            </w:r>
          </w:p>
        </w:tc>
      </w:tr>
      <w:tr>
        <w:trPr>
          <w:cantSplit/>
        </w:trPr>
        <w:tc>
          <w:tcPr>
            <w:tcW w:type="dxa" w:w="2324"/>
            <w:vAlign w:val="center"/>
          </w:tcPr>
          <w:p>
            <w:pPr>
              <w:spacing w:after="40" w:before="40" w:line="250" w:lineRule="auto"/>
            </w:pPr>
            <w:r>
              <w:rPr>
                <w:sz w:val="17"/>
              </w:rPr>
              <w:t>GJO求解设置</w:t>
            </w:r>
          </w:p>
        </w:tc>
        <w:tc>
          <w:tcPr>
            <w:tcW w:type="dxa" w:w="4252"/>
            <w:vAlign w:val="center"/>
          </w:tcPr>
          <w:p>
            <w:pPr>
              <w:spacing w:after="40" w:before="40" w:line="250" w:lineRule="auto"/>
            </w:pPr>
            <w:r>
              <w:rPr>
                <w:sz w:val="17"/>
              </w:rPr>
              <w:t>种群30；10000次候选评价；每档30个seed</w:t>
            </w:r>
          </w:p>
        </w:tc>
        <w:tc>
          <w:tcPr>
            <w:tcW w:type="dxa" w:w="3061"/>
            <w:vAlign w:val="center"/>
          </w:tcPr>
          <w:p>
            <w:pPr>
              <w:spacing w:after="40" w:before="40" w:line="250" w:lineRule="auto"/>
            </w:pPr>
            <w:r>
              <w:rPr>
                <w:sz w:val="17"/>
              </w:rPr>
              <w:t>固定计算设置</w:t>
            </w:r>
          </w:p>
        </w:tc>
      </w:tr>
      <w:tr>
        <w:trPr>
          <w:cantSplit/>
        </w:trPr>
        <w:tc>
          <w:tcPr>
            <w:tcW w:type="dxa" w:w="2324"/>
            <w:vAlign w:val="center"/>
          </w:tcPr>
          <w:p>
            <w:pPr>
              <w:spacing w:after="40" w:before="40" w:line="250" w:lineRule="auto"/>
            </w:pPr>
            <w:r>
              <w:rPr>
                <w:sz w:val="17"/>
              </w:rPr>
              <w:t>公共候选检查</w:t>
            </w:r>
          </w:p>
        </w:tc>
        <w:tc>
          <w:tcPr>
            <w:tcW w:type="dxa" w:w="4252"/>
            <w:vAlign w:val="center"/>
          </w:tcPr>
          <w:p>
            <w:pPr>
              <w:spacing w:after="40" w:before="40" w:line="250" w:lineRule="auto"/>
            </w:pPr>
            <w:r>
              <w:rPr>
                <w:sz w:val="17"/>
              </w:rPr>
              <w:t>3套固定端点排程与8类统一规则</w:t>
            </w:r>
          </w:p>
        </w:tc>
        <w:tc>
          <w:tcPr>
            <w:tcW w:type="dxa" w:w="3061"/>
            <w:vAlign w:val="center"/>
          </w:tcPr>
          <w:p>
            <w:pPr>
              <w:spacing w:after="40" w:before="40" w:line="250" w:lineRule="auto"/>
            </w:pPr>
            <w:r>
              <w:rPr>
                <w:sz w:val="17"/>
              </w:rPr>
              <w:t>当前条件复算后选一个初始成员</w:t>
            </w:r>
          </w:p>
        </w:tc>
      </w:tr>
    </w:tbl>
    <w:p>
      <w:pPr>
        <w:spacing w:line="250" w:lineRule="auto" w:after="100"/>
      </w:pPr>
      <w:r>
        <w:rPr>
          <w:sz w:val="17"/>
        </w:rPr>
        <w:t>评分区间映射依据JTG/T 5230—2026；至少57/59个单元评分&gt;75的比例由本文设置。</w:t>
      </w:r>
    </w:p>
    <w:p>
      <w:pPr>
        <w:pStyle w:val="Heading2"/>
      </w:pPr>
      <w:r>
        <w:t>2.5 养护资源水平设置</w:t>
      </w:r>
    </w:p>
    <w:p>
      <w:pPr>
        <w:ind w:firstLine="420"/>
      </w:pPr>
      <w:r>
        <w:t>以LOCF规划初始状态下保存的最好已知最低可行参考资源0.2151498644408547和高状态参考资源2.8115652635666377为端点，在两者之间等距设置7档累计归一化养护资源上限B：0.215150、0.647886、1.080622、1.513358、1.946093、2.378829和2.811565。计算使用完整精度，展示保留6位小数。LOCF与Ridge使用相同绝对B，不依据Ridge自身可行资源重新归一化。设计变量ρ取0、1/6、…、1，仅用于生成档位；ρ=0对应已知可行参考资源，而非零资源。端点来自既有有限搜索，仅作为可重复的情景设计依据。中间档B=1.513358预先指定为代表资源水平。年评分下降量敏感性保持该B和LOCF规划初始状态不变，比较d=0.45、0.65和0.85分/年。</w:t>
      </w:r>
    </w:p>
    <w:p>
      <w:pPr>
        <w:pStyle w:val="Heading2"/>
      </w:pPr>
      <w:r>
        <w:t>2.6 养护时机优化与评价指标</w:t>
      </w:r>
    </w:p>
    <w:p>
      <w:pPr>
        <w:ind w:firstLine="420"/>
      </w:pPr>
      <w:r>
        <w:t>以59个单元、20个年份的等权年末评分均值作为最大化目标，每个单元的评分权重相同，不随面积变化：</w:t>
      </w:r>
    </w:p>
    <w:p>
      <w:pPr>
        <w:spacing w:before="80" w:after="120"/>
        <w:jc w:val="center"/>
      </w:pPr>
      <m:oMathPara>
        <m:oMathParaPr>
          <m:jc m:val="center"/>
        </m:oMathParaPr>
        <m:oMath>
          <m:r>
            <m:t xml:space="preserve">J=</m:t>
          </m:r>
          <m:f>
            <m:num>
              <m:r>
                <m:t xml:space="preserve">1</m:t>
              </m:r>
            </m:num>
            <m:den>
              <m:r>
                <m:t xml:space="preserve">59×20</m:t>
              </m:r>
            </m:den>
          </m:f>
          <m:sSub>
            <m:e>
              <m:r>
                <m:t xml:space="preserve">Σ</m:t>
              </m:r>
            </m:e>
            <m:sub>
              <m:r>
                <m:t xml:space="preserve">t</m:t>
              </m:r>
            </m:sub>
          </m:sSub>
          <m:sSub>
            <m:e>
              <m:r>
                <m:t xml:space="preserve">Σ</m:t>
              </m:r>
            </m:e>
            <m:sub>
              <m:r>
                <m:t xml:space="preserve">i</m:t>
              </m:r>
            </m:sub>
          </m:sSub>
          <m:r>
            <m:t xml:space="preserve"> S(i,t)</m:t>
          </m:r>
        </m:oMath>
      </m:oMathPara>
    </w:p>
    <w:p>
      <w:pPr>
        <w:ind w:firstLine="420"/>
      </w:pPr>
      <w:r>
        <w:t>采用金豺优化算法（GJO）求解养护年份</w:t>
      </w:r>
      <w:r>
        <w:rPr>
          <w:sz w:val="16"/>
          <w:vertAlign w:val="superscript"/>
        </w:rPr>
        <w:t>[8]</w:t>
      </w:r>
      <w:r>
        <w:t>。每个单元设置3个[0,1]坐标，共177维；坐标u映射为min[20,⌊21u⌋]，0表示不养护，1—20对应规划年份。各单元请求年份升序排列、去重，并拒绝不满足3年间隔的请求；同一年超过8个请求时，按养护前评分由低到高、同分按固定单元顺序接纳，拒绝的请求不移至其他年份。资源和状态条件统一评价。采用可行性优先规则：可行解优于不可行解，可行解比较J，不可行解比较约束违反量</w:t>
      </w:r>
      <w:r>
        <w:rPr>
          <w:sz w:val="16"/>
          <w:vertAlign w:val="superscript"/>
        </w:rPr>
        <w:t>[9]</w:t>
      </w:r>
      <w:r>
        <w:t>。</w:t>
      </w:r>
    </w:p>
    <w:p>
      <w:pPr>
        <w:ind w:firstLine="420"/>
      </w:pPr>
      <w:r>
        <w:t>每次运行种群30、候选评价10000次，每档两套规划初始状态各运行30个seed（20261015—20261044），主实验共420次。将三套已保存的端点排程及八类评分阈值规则在当前规划初始状态、d和B下检查；端点行动不取消、不移年。规则阈值依次为76、78、80、82、84、86、88、90分。选择其中可行且J最高的候选作为一个公共初始个体，其余29个由各seed生成；没有可行候选时保留违反量最小的规则候选。16个不同情景的176次候选预处理单列，公共个体进入种群后的评价计入10000次。不同seed共享这项已知排程信息，因此可行率不能单独证明随机搜索发现可行解的能力。d=0.45和0.85各增加30次，d=0.65复用主实验；另在代表条件下设置10组同seed的求解器检查，详见补充材料。</w:t>
      </w:r>
    </w:p>
    <w:p>
      <w:pPr>
        <w:ind w:firstLine="420"/>
      </w:pPr>
      <w:r>
        <w:t>除J外，计算相对相同规划初始状态、相同d下无养护递推的增益ΔJ=J−J₀；无养护递推仅为比较基线，不要求满足管理条件。各情景报告可行运行数及其均值、样本标准差、最好值，并保留失败记录，同时记录末年评分、最低评分、养护行动数与资源使用率B_used/B。相邻档平均J的增量除以资源上限增量，用于描述单位资源对应的评分变化，不作经济收益解释。</w:t>
      </w:r>
    </w:p>
    <w:p>
      <w:pPr>
        <w:ind w:firstLine="420"/>
      </w:pPr>
      <w:r>
        <w:t>排程比较以各档30组同seed配对为主，行动集合元素为“单元—年份”，Jaccard=交集行动数/并集行动数。两套方案均可行时，计算Ridge减LOCF的J差、ΔJ差及行动数差。首次养护年差仅在两方案均养护的单元间计算，先得到每对的平均绝对差，再汇总30对；未养护者记为缺失，不记作年份0。另分别统计仅LOCF养护、仅Ridge养护、双方均未养护以及首次养护同年的单元数。配对统计采用样本标准差和线性插值四分位数。</w:t>
      </w:r>
    </w:p>
    <w:p>
      <w:pPr>
        <w:ind w:firstLine="420"/>
      </w:pPr>
      <w:r>
        <w:t>代表方案分别从两套规划初始状态的当档30次可行运行中选择J最高者；差异不超过10⁻¹⁰时依次选择资源使用量较低者和seed较小者，仅用于年度展示。另以不调用搜索评价器的独立代码，按保存的实际行动逐年复算评分、资源、行动次数、间隔及全部管理条件。面积与养护次数的Spearman相关诊断及完整排程均列入补充材料。</w:t>
      </w:r>
    </w:p>
    <w:p>
      <w:pPr>
        <w:pStyle w:val="Heading1"/>
      </w:pPr>
      <w:r>
        <w:t>3 结果</w:t>
      </w:r>
    </w:p>
    <w:p>
      <w:pPr>
        <w:pStyle w:val="Heading2"/>
      </w:pPr>
      <w:r>
        <w:t>3.1 检测数据与状态预测结果</w:t>
      </w:r>
    </w:p>
    <w:p>
      <w:pPr>
        <w:ind w:firstLine="420"/>
      </w:pPr>
      <w:r>
        <w:t>图1显示，59个检测单元在2012—2024年的观测覆盖并不连续。767个潜在单元—年位置中，全桥评分有效记录387条、缺失380条；上部结构评分有效记录380条、缺失387条。全桥和上部结构均有记录的位置为380个，另有7个位置仅有全桥评分。缺失表示该位置没有可用检测记录，不按0分处理。年度覆盖与逐单元缺失分布说明，不能直接将各年度现有评分的均值变化视为同一批单元的连续状态变化。</w:t>
      </w:r>
    </w:p>
    <w:p>
      <w:pPr>
        <w:keepNext/>
        <w:spacing w:before="100" w:after="40"/>
        <w:jc w:val="center"/>
      </w:pPr>
      <w:r>
        <w:drawing>
          <wp:inline xmlns:a="http://schemas.openxmlformats.org/drawingml/2006/main" xmlns:pic="http://schemas.openxmlformats.org/drawingml/2006/picture">
            <wp:extent cx="6120000" cy="3850824"/>
            <wp:docPr id="1" name="Picture 1"/>
            <wp:cNvGraphicFramePr>
              <a:graphicFrameLocks noChangeAspect="1"/>
            </wp:cNvGraphicFramePr>
            <a:graphic>
              <a:graphicData uri="http://schemas.openxmlformats.org/drawingml/2006/picture">
                <pic:pic>
                  <pic:nvPicPr>
                    <pic:cNvPr id="0" name="Figure_01_observation_coverage.png"/>
                    <pic:cNvPicPr/>
                  </pic:nvPicPr>
                  <pic:blipFill>
                    <a:blip r:embed="rId11"/>
                    <a:stretch>
                      <a:fillRect/>
                    </a:stretch>
                  </pic:blipFill>
                  <pic:spPr>
                    <a:xfrm>
                      <a:off x="0" y="0"/>
                      <a:ext cx="6120000" cy="3850824"/>
                    </a:xfrm>
                    <a:prstGeom prst="rect"/>
                  </pic:spPr>
                </pic:pic>
              </a:graphicData>
            </a:graphic>
          </wp:inline>
        </w:drawing>
      </w:r>
    </w:p>
    <w:p>
      <w:pPr>
        <w:pStyle w:val="Caption"/>
        <w:keepNext/>
        <w:spacing w:before="80" w:after="60"/>
      </w:pPr>
      <w:r>
        <w:rPr>
          <w:b/>
        </w:rPr>
        <w:t>图1 检测覆盖与缺失</w:t>
      </w:r>
    </w:p>
    <w:p>
      <w:pPr>
        <w:spacing w:line="250" w:lineRule="auto" w:after="100"/>
      </w:pPr>
      <w:r>
        <w:rPr>
          <w:sz w:val="17"/>
        </w:rPr>
        <w:t>2012—2024年59个检测单元的年度覆盖及逐单元观测分布；缺失表示没有可用检测记录。</w:t>
      </w:r>
    </w:p>
    <w:p>
      <w:pPr>
        <w:ind w:firstLine="420"/>
      </w:pPr>
      <w:r>
        <w:t>在2018—2024年扩展时间窗口验证的216条后续真实检测记录上，Ridge的RMSE和MAE分别为4.0771分和3.0332分，低于LOCF的4.9971分和3.7128分，也低于XGBoost的4.6146分和3.6122分。Ridge的R²为0.3274，XGBoost为0.1384，LOCF为−0.0104。表2和图2共同表明，在本数据和验证任务下，Ridge的整体预测误差最低，因此用于构建缺测单元的候选规划初始状态。</w:t>
      </w:r>
    </w:p>
    <w:p>
      <w:pPr>
        <w:ind w:firstLine="420"/>
      </w:pPr>
      <w:r>
        <w:t>不同测试年份的样本数量差异较大：2020年和2022年各有59条，而2023年和2024年各仅6条。这里的整体指标汇总真实后续检测记录，不通过补齐缺测年份增加测试样本。因而，整体误差较低说明模型对当前汇总任务较适合，不能解释为各年度预测精度完全一致；最新年份的少量实测也不足以直接验证全部单元的规划起点。</w:t>
      </w:r>
    </w:p>
    <w:p>
      <w:pPr>
        <w:pStyle w:val="Caption"/>
        <w:keepNext/>
        <w:spacing w:before="80" w:after="60"/>
      </w:pPr>
      <w:r>
        <w:rPr>
          <w:b/>
        </w:rPr>
        <w:t>表2 连续全桥评分预测结果</w:t>
      </w:r>
    </w:p>
    <w:tbl>
      <w:tblPr>
        <w:tblStyle w:val="TableGrid"/>
        <w:tblW w:type="auto" w:w="0"/>
        <w:tblLayout w:type="fixed"/>
        <w:tblLook w:firstColumn="1" w:firstRow="1" w:lastColumn="0" w:lastRow="0" w:noHBand="0" w:noVBand="1" w:val="04A0"/>
      </w:tblPr>
      <w:tblGrid>
        <w:gridCol w:w="1417"/>
        <w:gridCol w:w="964"/>
        <w:gridCol w:w="1814"/>
        <w:gridCol w:w="1814"/>
        <w:gridCol w:w="1814"/>
        <w:gridCol w:w="1814"/>
      </w:tblGrid>
      <w:tr>
        <w:trPr>
          <w:tblHeader/>
          <w:cantSplit/>
        </w:trPr>
        <w:tc>
          <w:tcPr>
            <w:tcW w:type="dxa" w:w="1417"/>
            <w:shd w:fill="F0F2F4"/>
            <w:vAlign w:val="center"/>
          </w:tcPr>
          <w:p>
            <w:pPr>
              <w:spacing w:after="40" w:before="40" w:line="250" w:lineRule="auto"/>
            </w:pPr>
            <w:r>
              <w:rPr>
                <w:sz w:val="17"/>
              </w:rPr>
              <w:t>模型</w:t>
            </w:r>
          </w:p>
        </w:tc>
        <w:tc>
          <w:tcPr>
            <w:tcW w:type="dxa" w:w="964"/>
            <w:shd w:fill="F0F2F4"/>
            <w:vAlign w:val="center"/>
          </w:tcPr>
          <w:p>
            <w:pPr>
              <w:spacing w:after="40" w:before="40" w:line="250" w:lineRule="auto"/>
            </w:pPr>
            <w:r>
              <w:rPr>
                <w:sz w:val="17"/>
              </w:rPr>
              <w:t>样本数</w:t>
            </w:r>
          </w:p>
        </w:tc>
        <w:tc>
          <w:tcPr>
            <w:tcW w:type="dxa" w:w="1814"/>
            <w:shd w:fill="F0F2F4"/>
            <w:vAlign w:val="center"/>
          </w:tcPr>
          <w:p>
            <w:pPr>
              <w:spacing w:after="40" w:before="40" w:line="250" w:lineRule="auto"/>
            </w:pPr>
            <w:r>
              <w:rPr>
                <w:sz w:val="17"/>
              </w:rPr>
              <w:t>RMSE/分</w:t>
            </w:r>
          </w:p>
        </w:tc>
        <w:tc>
          <w:tcPr>
            <w:tcW w:type="dxa" w:w="1814"/>
            <w:shd w:fill="F0F2F4"/>
            <w:vAlign w:val="center"/>
          </w:tcPr>
          <w:p>
            <w:pPr>
              <w:spacing w:after="40" w:before="40" w:line="250" w:lineRule="auto"/>
            </w:pPr>
            <w:r>
              <w:rPr>
                <w:sz w:val="17"/>
              </w:rPr>
              <w:t>MAE/分</w:t>
            </w:r>
          </w:p>
        </w:tc>
        <w:tc>
          <w:tcPr>
            <w:tcW w:type="dxa" w:w="1814"/>
            <w:shd w:fill="F0F2F4"/>
            <w:vAlign w:val="center"/>
          </w:tcPr>
          <w:p>
            <w:pPr>
              <w:spacing w:after="40" w:before="40" w:line="250" w:lineRule="auto"/>
            </w:pPr>
            <w:r>
              <w:rPr>
                <w:sz w:val="17"/>
              </w:rPr>
              <w:t>R²</w:t>
            </w:r>
          </w:p>
        </w:tc>
        <w:tc>
          <w:tcPr>
            <w:tcW w:type="dxa" w:w="1814"/>
            <w:shd w:fill="F0F2F4"/>
            <w:vAlign w:val="center"/>
          </w:tcPr>
          <w:p>
            <w:pPr>
              <w:spacing w:after="40" w:before="40" w:line="250" w:lineRule="auto"/>
            </w:pPr>
            <w:r>
              <w:rPr>
                <w:sz w:val="17"/>
              </w:rPr>
              <w:t>Pearson r</w:t>
            </w:r>
          </w:p>
        </w:tc>
      </w:tr>
      <w:tr>
        <w:trPr>
          <w:cantSplit/>
        </w:trPr>
        <w:tc>
          <w:tcPr>
            <w:tcW w:type="dxa" w:w="1417"/>
            <w:vAlign w:val="center"/>
          </w:tcPr>
          <w:p>
            <w:pPr>
              <w:spacing w:after="40" w:before="40" w:line="250" w:lineRule="auto"/>
            </w:pPr>
            <w:r>
              <w:rPr>
                <w:sz w:val="17"/>
              </w:rPr>
              <w:t>LOCF</w:t>
            </w:r>
          </w:p>
        </w:tc>
        <w:tc>
          <w:tcPr>
            <w:tcW w:type="dxa" w:w="964"/>
            <w:vAlign w:val="center"/>
          </w:tcPr>
          <w:p>
            <w:pPr>
              <w:spacing w:after="40" w:before="40" w:line="250" w:lineRule="auto"/>
            </w:pPr>
            <w:r>
              <w:rPr>
                <w:sz w:val="17"/>
              </w:rPr>
              <w:t>216</w:t>
            </w:r>
          </w:p>
        </w:tc>
        <w:tc>
          <w:tcPr>
            <w:tcW w:type="dxa" w:w="1814"/>
            <w:vAlign w:val="center"/>
          </w:tcPr>
          <w:p>
            <w:pPr>
              <w:spacing w:after="40" w:before="40" w:line="250" w:lineRule="auto"/>
            </w:pPr>
            <w:r>
              <w:rPr>
                <w:sz w:val="17"/>
              </w:rPr>
              <w:t>4.9971</w:t>
            </w:r>
          </w:p>
        </w:tc>
        <w:tc>
          <w:tcPr>
            <w:tcW w:type="dxa" w:w="1814"/>
            <w:vAlign w:val="center"/>
          </w:tcPr>
          <w:p>
            <w:pPr>
              <w:spacing w:after="40" w:before="40" w:line="250" w:lineRule="auto"/>
            </w:pPr>
            <w:r>
              <w:rPr>
                <w:sz w:val="17"/>
              </w:rPr>
              <w:t>3.7128</w:t>
            </w:r>
          </w:p>
        </w:tc>
        <w:tc>
          <w:tcPr>
            <w:tcW w:type="dxa" w:w="1814"/>
            <w:vAlign w:val="center"/>
          </w:tcPr>
          <w:p>
            <w:pPr>
              <w:spacing w:after="40" w:before="40" w:line="250" w:lineRule="auto"/>
            </w:pPr>
            <w:r>
              <w:rPr>
                <w:sz w:val="17"/>
              </w:rPr>
              <w:t>-0.0104</w:t>
            </w:r>
          </w:p>
        </w:tc>
        <w:tc>
          <w:tcPr>
            <w:tcW w:type="dxa" w:w="1814"/>
            <w:vAlign w:val="center"/>
          </w:tcPr>
          <w:p>
            <w:pPr>
              <w:spacing w:after="40" w:before="40" w:line="250" w:lineRule="auto"/>
            </w:pPr>
            <w:r>
              <w:rPr>
                <w:sz w:val="17"/>
              </w:rPr>
              <w:t>0.5862</w:t>
            </w:r>
          </w:p>
        </w:tc>
      </w:tr>
      <w:tr>
        <w:trPr>
          <w:cantSplit/>
        </w:trPr>
        <w:tc>
          <w:tcPr>
            <w:tcW w:type="dxa" w:w="1417"/>
            <w:vAlign w:val="center"/>
          </w:tcPr>
          <w:p>
            <w:pPr>
              <w:spacing w:after="40" w:before="40" w:line="250" w:lineRule="auto"/>
            </w:pPr>
            <w:r>
              <w:rPr>
                <w:sz w:val="17"/>
              </w:rPr>
              <w:t>Ridge</w:t>
            </w:r>
          </w:p>
        </w:tc>
        <w:tc>
          <w:tcPr>
            <w:tcW w:type="dxa" w:w="964"/>
            <w:vAlign w:val="center"/>
          </w:tcPr>
          <w:p>
            <w:pPr>
              <w:spacing w:after="40" w:before="40" w:line="250" w:lineRule="auto"/>
            </w:pPr>
            <w:r>
              <w:rPr>
                <w:sz w:val="17"/>
              </w:rPr>
              <w:t>216</w:t>
            </w:r>
          </w:p>
        </w:tc>
        <w:tc>
          <w:tcPr>
            <w:tcW w:type="dxa" w:w="1814"/>
            <w:vAlign w:val="center"/>
          </w:tcPr>
          <w:p>
            <w:pPr>
              <w:spacing w:after="40" w:before="40" w:line="250" w:lineRule="auto"/>
            </w:pPr>
            <w:r>
              <w:rPr>
                <w:sz w:val="17"/>
              </w:rPr>
              <w:t>4.0771</w:t>
            </w:r>
          </w:p>
        </w:tc>
        <w:tc>
          <w:tcPr>
            <w:tcW w:type="dxa" w:w="1814"/>
            <w:vAlign w:val="center"/>
          </w:tcPr>
          <w:p>
            <w:pPr>
              <w:spacing w:after="40" w:before="40" w:line="250" w:lineRule="auto"/>
            </w:pPr>
            <w:r>
              <w:rPr>
                <w:sz w:val="17"/>
              </w:rPr>
              <w:t>3.0332</w:t>
            </w:r>
          </w:p>
        </w:tc>
        <w:tc>
          <w:tcPr>
            <w:tcW w:type="dxa" w:w="1814"/>
            <w:vAlign w:val="center"/>
          </w:tcPr>
          <w:p>
            <w:pPr>
              <w:spacing w:after="40" w:before="40" w:line="250" w:lineRule="auto"/>
            </w:pPr>
            <w:r>
              <w:rPr>
                <w:sz w:val="17"/>
              </w:rPr>
              <w:t>0.3274</w:t>
            </w:r>
          </w:p>
        </w:tc>
        <w:tc>
          <w:tcPr>
            <w:tcW w:type="dxa" w:w="1814"/>
            <w:vAlign w:val="center"/>
          </w:tcPr>
          <w:p>
            <w:pPr>
              <w:spacing w:after="40" w:before="40" w:line="250" w:lineRule="auto"/>
            </w:pPr>
            <w:r>
              <w:rPr>
                <w:sz w:val="17"/>
              </w:rPr>
              <w:t>0.5820</w:t>
            </w:r>
          </w:p>
        </w:tc>
      </w:tr>
      <w:tr>
        <w:trPr>
          <w:cantSplit/>
        </w:trPr>
        <w:tc>
          <w:tcPr>
            <w:tcW w:type="dxa" w:w="1417"/>
            <w:vAlign w:val="center"/>
          </w:tcPr>
          <w:p>
            <w:pPr>
              <w:spacing w:after="40" w:before="40" w:line="250" w:lineRule="auto"/>
            </w:pPr>
            <w:r>
              <w:rPr>
                <w:sz w:val="17"/>
              </w:rPr>
              <w:t>XGBoost</w:t>
            </w:r>
          </w:p>
        </w:tc>
        <w:tc>
          <w:tcPr>
            <w:tcW w:type="dxa" w:w="964"/>
            <w:vAlign w:val="center"/>
          </w:tcPr>
          <w:p>
            <w:pPr>
              <w:spacing w:after="40" w:before="40" w:line="250" w:lineRule="auto"/>
            </w:pPr>
            <w:r>
              <w:rPr>
                <w:sz w:val="17"/>
              </w:rPr>
              <w:t>216</w:t>
            </w:r>
          </w:p>
        </w:tc>
        <w:tc>
          <w:tcPr>
            <w:tcW w:type="dxa" w:w="1814"/>
            <w:vAlign w:val="center"/>
          </w:tcPr>
          <w:p>
            <w:pPr>
              <w:spacing w:after="40" w:before="40" w:line="250" w:lineRule="auto"/>
            </w:pPr>
            <w:r>
              <w:rPr>
                <w:sz w:val="17"/>
              </w:rPr>
              <w:t>4.6146</w:t>
            </w:r>
          </w:p>
        </w:tc>
        <w:tc>
          <w:tcPr>
            <w:tcW w:type="dxa" w:w="1814"/>
            <w:vAlign w:val="center"/>
          </w:tcPr>
          <w:p>
            <w:pPr>
              <w:spacing w:after="40" w:before="40" w:line="250" w:lineRule="auto"/>
            </w:pPr>
            <w:r>
              <w:rPr>
                <w:sz w:val="17"/>
              </w:rPr>
              <w:t>3.6122</w:t>
            </w:r>
          </w:p>
        </w:tc>
        <w:tc>
          <w:tcPr>
            <w:tcW w:type="dxa" w:w="1814"/>
            <w:vAlign w:val="center"/>
          </w:tcPr>
          <w:p>
            <w:pPr>
              <w:spacing w:after="40" w:before="40" w:line="250" w:lineRule="auto"/>
            </w:pPr>
            <w:r>
              <w:rPr>
                <w:sz w:val="17"/>
              </w:rPr>
              <w:t>0.1384</w:t>
            </w:r>
          </w:p>
        </w:tc>
        <w:tc>
          <w:tcPr>
            <w:tcW w:type="dxa" w:w="1814"/>
            <w:vAlign w:val="center"/>
          </w:tcPr>
          <w:p>
            <w:pPr>
              <w:spacing w:after="40" w:before="40" w:line="250" w:lineRule="auto"/>
            </w:pPr>
            <w:r>
              <w:rPr>
                <w:sz w:val="17"/>
              </w:rPr>
              <w:t>0.5486</w:t>
            </w:r>
          </w:p>
        </w:tc>
      </w:tr>
    </w:tbl>
    <w:p>
      <w:pPr>
        <w:spacing w:line="250" w:lineRule="auto" w:after="100"/>
      </w:pPr>
      <w:r>
        <w:rPr>
          <w:sz w:val="17"/>
        </w:rPr>
        <w:t>各模型使用相同的216条时间外测试记录；RMSE与MAE用于评价评分误差，r用于描述共同变化程度。</w:t>
      </w:r>
    </w:p>
    <w:p>
      <w:pPr>
        <w:keepNext/>
        <w:spacing w:before="100" w:after="40"/>
        <w:jc w:val="center"/>
      </w:pPr>
      <w:r>
        <w:drawing>
          <wp:inline xmlns:a="http://schemas.openxmlformats.org/drawingml/2006/main" xmlns:pic="http://schemas.openxmlformats.org/drawingml/2006/picture">
            <wp:extent cx="6120000" cy="5405018"/>
            <wp:docPr id="2" name="Picture 2"/>
            <wp:cNvGraphicFramePr>
              <a:graphicFrameLocks noChangeAspect="1"/>
            </wp:cNvGraphicFramePr>
            <a:graphic>
              <a:graphicData uri="http://schemas.openxmlformats.org/drawingml/2006/picture">
                <pic:pic>
                  <pic:nvPicPr>
                    <pic:cNvPr id="0" name="Figure_02_continuous_prediction.png"/>
                    <pic:cNvPicPr/>
                  </pic:nvPicPr>
                  <pic:blipFill>
                    <a:blip r:embed="rId12"/>
                    <a:stretch>
                      <a:fillRect/>
                    </a:stretch>
                  </pic:blipFill>
                  <pic:spPr>
                    <a:xfrm>
                      <a:off x="0" y="0"/>
                      <a:ext cx="6120000" cy="5405018"/>
                    </a:xfrm>
                    <a:prstGeom prst="rect"/>
                  </pic:spPr>
                </pic:pic>
              </a:graphicData>
            </a:graphic>
          </wp:inline>
        </w:drawing>
      </w:r>
    </w:p>
    <w:p>
      <w:pPr>
        <w:pStyle w:val="Caption"/>
        <w:keepNext/>
        <w:spacing w:before="80" w:after="60"/>
      </w:pPr>
      <w:r>
        <w:rPr>
          <w:b/>
        </w:rPr>
        <w:t>图2 LOCF、Ridge与XGBoost的连续评分预测结果</w:t>
      </w:r>
    </w:p>
    <w:p>
      <w:pPr>
        <w:spacing w:line="250" w:lineRule="auto" w:after="100"/>
      </w:pPr>
      <w:r>
        <w:rPr>
          <w:sz w:val="17"/>
        </w:rPr>
        <w:t>2018—2024年扩展时间窗口验证，216条下一次真实检测记录；预测跨度为实际相邻检测间隔。</w:t>
      </w:r>
    </w:p>
    <w:p>
      <w:pPr>
        <w:ind w:firstLine="420"/>
      </w:pPr>
      <w:r>
        <w:t>LOCF、Ridge和XGBoost的Pearson r分别为0.5862、0.5820和0.5486。LOCF的r略高于Ridge，但其RMSE和MAE较大。r反映预测值与观测值的共同变化程度，不能替代评分误差指标，本文据时间外预测误差选择规划初始状态预测方法。这些结果回答了RQ1，但评价对象是既有单元的后续真实记录，不能据此确认53个缺测单元的2024年估计评分等于同期真值。</w:t>
      </w:r>
    </w:p>
    <w:p>
      <w:pPr>
        <w:pStyle w:val="Heading2"/>
      </w:pPr>
      <w:r>
        <w:t>3.2 规划初始状态及其对养护时机的影响</w:t>
      </w:r>
    </w:p>
    <w:p>
      <w:pPr>
        <w:ind w:firstLine="420"/>
      </w:pPr>
      <w:r>
        <w:t>两套2024年规划初始状态均保留6个单元的当年实测评分，其余53个分别采用最近真实观测延续和Ridge预测。LOCF规划初始状态均值及标准差为90.6417±3.8398分，范围81.18—98.51分；Ridge为92.2957±3.0024分，范围84.64—98.41分。图3呈现逐单元差异。Ridge规划初始状态整体较高、离散程度较小，但这只是两种构造方法的输出差别，不是2024年真实状态改善的观测结果。参考年评分下降量下，两套无养护基线的长期平均评分分别为83.816695分和85.470737分，后续相对养护增益分别扣除各自基线（表4）。</w:t>
      </w:r>
    </w:p>
    <w:p>
      <w:pPr>
        <w:ind w:firstLine="420"/>
      </w:pPr>
      <w:r>
        <w:t>逐单元比较中，46个单元的Ridge规划初始状态高于LOCF，7个低于LOCF，6个保持相同；两套规划初始状态的全单元平均差为1.6540分。因此，两者的差别并非对所有单元统一增加同一评分。后续在同一状态递推与资源条件下，逐单元规划初始状态差异可能改变行动对象及实施顺序，不能只用全体规划初始状态均分代替排程比较。</w:t>
      </w:r>
    </w:p>
    <w:p>
      <w:pPr>
        <w:keepNext/>
        <w:spacing w:before="100" w:after="40"/>
        <w:jc w:val="center"/>
      </w:pPr>
      <w:r>
        <w:drawing>
          <wp:inline xmlns:a="http://schemas.openxmlformats.org/drawingml/2006/main" xmlns:pic="http://schemas.openxmlformats.org/drawingml/2006/picture">
            <wp:extent cx="6120000" cy="2441696"/>
            <wp:docPr id="3" name="Picture 3"/>
            <wp:cNvGraphicFramePr>
              <a:graphicFrameLocks noChangeAspect="1"/>
            </wp:cNvGraphicFramePr>
            <a:graphic>
              <a:graphicData uri="http://schemas.openxmlformats.org/drawingml/2006/picture">
                <pic:pic>
                  <pic:nvPicPr>
                    <pic:cNvPr id="0" name="Figure_03_initial_conditions.png"/>
                    <pic:cNvPicPr/>
                  </pic:nvPicPr>
                  <pic:blipFill>
                    <a:blip r:embed="rId13"/>
                    <a:stretch>
                      <a:fillRect/>
                    </a:stretch>
                  </pic:blipFill>
                  <pic:spPr>
                    <a:xfrm>
                      <a:off x="0" y="0"/>
                      <a:ext cx="6120000" cy="2441696"/>
                    </a:xfrm>
                    <a:prstGeom prst="rect"/>
                  </pic:spPr>
                </pic:pic>
              </a:graphicData>
            </a:graphic>
          </wp:inline>
        </w:drawing>
      </w:r>
    </w:p>
    <w:p>
      <w:pPr>
        <w:pStyle w:val="Caption"/>
        <w:keepNext/>
        <w:spacing w:before="80" w:after="60"/>
      </w:pPr>
      <w:r>
        <w:rPr>
          <w:b/>
        </w:rPr>
        <w:t>图3 两套2024年规划初始状态</w:t>
      </w:r>
    </w:p>
    <w:p>
      <w:pPr>
        <w:spacing w:line="250" w:lineRule="auto" w:after="100"/>
      </w:pPr>
      <w:r>
        <w:rPr>
          <w:sz w:val="17"/>
        </w:rPr>
        <w:t>LOCF与Ridge均保留6条2024年实测值，其余53个单元为估计值。</w:t>
      </w:r>
    </w:p>
    <w:p>
      <w:pPr>
        <w:pStyle w:val="Caption"/>
        <w:keepNext/>
        <w:spacing w:before="80" w:after="60"/>
      </w:pPr>
      <w:r>
        <w:rPr>
          <w:b/>
        </w:rPr>
        <w:t>表4 两套规划初始状态及无养护基线</w:t>
      </w:r>
    </w:p>
    <w:tbl>
      <w:tblPr>
        <w:tblStyle w:val="TableGrid"/>
        <w:tblW w:type="auto" w:w="0"/>
        <w:tblLayout w:type="fixed"/>
        <w:tblLook w:firstColumn="1" w:firstRow="1" w:lastColumn="0" w:lastRow="0" w:noHBand="0" w:noVBand="1" w:val="04A0"/>
      </w:tblPr>
      <w:tblGrid>
        <w:gridCol w:w="907"/>
        <w:gridCol w:w="2608"/>
        <w:gridCol w:w="2098"/>
        <w:gridCol w:w="1984"/>
        <w:gridCol w:w="2041"/>
      </w:tblGrid>
      <w:tr>
        <w:trPr>
          <w:tblHeader/>
          <w:cantSplit/>
        </w:trPr>
        <w:tc>
          <w:tcPr>
            <w:tcW w:type="dxa" w:w="907"/>
            <w:shd w:fill="F0F2F4"/>
            <w:vAlign w:val="center"/>
          </w:tcPr>
          <w:p>
            <w:pPr>
              <w:spacing w:after="40" w:before="40" w:line="250" w:lineRule="auto"/>
            </w:pPr>
            <w:r>
              <w:rPr>
                <w:sz w:val="17"/>
              </w:rPr>
              <w:t>方法</w:t>
            </w:r>
          </w:p>
        </w:tc>
        <w:tc>
          <w:tcPr>
            <w:tcW w:type="dxa" w:w="2608"/>
            <w:shd w:fill="F0F2F4"/>
            <w:vAlign w:val="center"/>
          </w:tcPr>
          <w:p>
            <w:pPr>
              <w:spacing w:after="40" w:before="40" w:line="250" w:lineRule="auto"/>
            </w:pPr>
            <w:r>
              <w:rPr>
                <w:sz w:val="17"/>
              </w:rPr>
              <w:t>规划初始状态</w:t>
              <w:br/>
              <w:t>均值±样本SD</w:t>
            </w:r>
          </w:p>
        </w:tc>
        <w:tc>
          <w:tcPr>
            <w:tcW w:type="dxa" w:w="2098"/>
            <w:shd w:fill="F0F2F4"/>
            <w:vAlign w:val="center"/>
          </w:tcPr>
          <w:p>
            <w:pPr>
              <w:spacing w:after="40" w:before="40" w:line="250" w:lineRule="auto"/>
            </w:pPr>
            <w:r>
              <w:rPr>
                <w:sz w:val="17"/>
              </w:rPr>
              <w:t>规划初始状态</w:t>
              <w:br/>
              <w:t>范围</w:t>
            </w:r>
          </w:p>
        </w:tc>
        <w:tc>
          <w:tcPr>
            <w:tcW w:type="dxa" w:w="1984"/>
            <w:shd w:fill="F0F2F4"/>
            <w:vAlign w:val="center"/>
          </w:tcPr>
          <w:p>
            <w:pPr>
              <w:spacing w:after="40" w:before="40" w:line="250" w:lineRule="auto"/>
            </w:pPr>
            <w:r>
              <w:rPr>
                <w:sz w:val="17"/>
              </w:rPr>
              <w:t>无养护J₀</w:t>
            </w:r>
          </w:p>
        </w:tc>
        <w:tc>
          <w:tcPr>
            <w:tcW w:type="dxa" w:w="2041"/>
            <w:shd w:fill="F0F2F4"/>
            <w:vAlign w:val="center"/>
          </w:tcPr>
          <w:p>
            <w:pPr>
              <w:spacing w:after="40" w:before="40" w:line="250" w:lineRule="auto"/>
            </w:pPr>
            <w:r>
              <w:rPr>
                <w:sz w:val="17"/>
              </w:rPr>
              <w:t>无养护2044均分</w:t>
            </w:r>
          </w:p>
        </w:tc>
      </w:tr>
      <w:tr>
        <w:trPr>
          <w:cantSplit/>
        </w:trPr>
        <w:tc>
          <w:tcPr>
            <w:tcW w:type="dxa" w:w="907"/>
            <w:vAlign w:val="center"/>
          </w:tcPr>
          <w:p>
            <w:pPr>
              <w:spacing w:after="40" w:before="40" w:line="250" w:lineRule="auto"/>
            </w:pPr>
            <w:r>
              <w:rPr>
                <w:sz w:val="17"/>
              </w:rPr>
              <w:t>LOCF</w:t>
            </w:r>
          </w:p>
        </w:tc>
        <w:tc>
          <w:tcPr>
            <w:tcW w:type="dxa" w:w="2608"/>
            <w:vAlign w:val="center"/>
          </w:tcPr>
          <w:p>
            <w:pPr>
              <w:spacing w:after="40" w:before="40" w:line="250" w:lineRule="auto"/>
            </w:pPr>
            <w:r>
              <w:rPr>
                <w:sz w:val="17"/>
              </w:rPr>
              <w:t>90.6417±3.8398</w:t>
            </w:r>
          </w:p>
        </w:tc>
        <w:tc>
          <w:tcPr>
            <w:tcW w:type="dxa" w:w="2098"/>
            <w:vAlign w:val="center"/>
          </w:tcPr>
          <w:p>
            <w:pPr>
              <w:spacing w:after="40" w:before="40" w:line="250" w:lineRule="auto"/>
            </w:pPr>
            <w:r>
              <w:rPr>
                <w:sz w:val="17"/>
              </w:rPr>
              <w:t>81.18—98.51</w:t>
            </w:r>
          </w:p>
        </w:tc>
        <w:tc>
          <w:tcPr>
            <w:tcW w:type="dxa" w:w="1984"/>
            <w:vAlign w:val="center"/>
          </w:tcPr>
          <w:p>
            <w:pPr>
              <w:spacing w:after="40" w:before="40" w:line="250" w:lineRule="auto"/>
            </w:pPr>
            <w:r>
              <w:rPr>
                <w:sz w:val="17"/>
              </w:rPr>
              <w:t>83.8167</w:t>
            </w:r>
          </w:p>
        </w:tc>
        <w:tc>
          <w:tcPr>
            <w:tcW w:type="dxa" w:w="2041"/>
            <w:vAlign w:val="center"/>
          </w:tcPr>
          <w:p>
            <w:pPr>
              <w:spacing w:after="40" w:before="40" w:line="250" w:lineRule="auto"/>
            </w:pPr>
            <w:r>
              <w:rPr>
                <w:sz w:val="17"/>
              </w:rPr>
              <w:t>77.6417</w:t>
            </w:r>
          </w:p>
        </w:tc>
      </w:tr>
      <w:tr>
        <w:trPr>
          <w:cantSplit/>
        </w:trPr>
        <w:tc>
          <w:tcPr>
            <w:tcW w:type="dxa" w:w="907"/>
            <w:vAlign w:val="center"/>
          </w:tcPr>
          <w:p>
            <w:pPr>
              <w:spacing w:after="40" w:before="40" w:line="250" w:lineRule="auto"/>
            </w:pPr>
            <w:r>
              <w:rPr>
                <w:sz w:val="17"/>
              </w:rPr>
              <w:t>Ridge</w:t>
            </w:r>
          </w:p>
        </w:tc>
        <w:tc>
          <w:tcPr>
            <w:tcW w:type="dxa" w:w="2608"/>
            <w:vAlign w:val="center"/>
          </w:tcPr>
          <w:p>
            <w:pPr>
              <w:spacing w:after="40" w:before="40" w:line="250" w:lineRule="auto"/>
            </w:pPr>
            <w:r>
              <w:rPr>
                <w:sz w:val="17"/>
              </w:rPr>
              <w:t>92.2957±3.0024</w:t>
            </w:r>
          </w:p>
        </w:tc>
        <w:tc>
          <w:tcPr>
            <w:tcW w:type="dxa" w:w="2098"/>
            <w:vAlign w:val="center"/>
          </w:tcPr>
          <w:p>
            <w:pPr>
              <w:spacing w:after="40" w:before="40" w:line="250" w:lineRule="auto"/>
            </w:pPr>
            <w:r>
              <w:rPr>
                <w:sz w:val="17"/>
              </w:rPr>
              <w:t>84.64—98.41</w:t>
            </w:r>
          </w:p>
        </w:tc>
        <w:tc>
          <w:tcPr>
            <w:tcW w:type="dxa" w:w="1984"/>
            <w:vAlign w:val="center"/>
          </w:tcPr>
          <w:p>
            <w:pPr>
              <w:spacing w:after="40" w:before="40" w:line="250" w:lineRule="auto"/>
            </w:pPr>
            <w:r>
              <w:rPr>
                <w:sz w:val="17"/>
              </w:rPr>
              <w:t>85.4707</w:t>
            </w:r>
          </w:p>
        </w:tc>
        <w:tc>
          <w:tcPr>
            <w:tcW w:type="dxa" w:w="2041"/>
            <w:vAlign w:val="center"/>
          </w:tcPr>
          <w:p>
            <w:pPr>
              <w:spacing w:after="40" w:before="40" w:line="250" w:lineRule="auto"/>
            </w:pPr>
            <w:r>
              <w:rPr>
                <w:sz w:val="17"/>
              </w:rPr>
              <w:t>79.2957</w:t>
            </w:r>
          </w:p>
        </w:tc>
      </w:tr>
    </w:tbl>
    <w:p>
      <w:pPr>
        <w:spacing w:line="250" w:lineRule="auto" w:after="100"/>
      </w:pPr>
      <w:r>
        <w:rPr>
          <w:sz w:val="17"/>
        </w:rPr>
        <w:t>两套规划初始状态均含6个2024年实测单元与53个估计单元；无养护基线采用d=0.65，仅用于计算ΔJ，不要求满足管理条件。</w:t>
      </w:r>
    </w:p>
    <w:p>
      <w:pPr>
        <w:ind w:firstLine="420"/>
      </w:pPr>
      <w:r>
        <w:t>在代表资源上限B=1.513358下，LOCF和Ridge的30次长期平均评分J分别为90.6162±0.5326分和92.5847±0.1579分，绝对J平均差为1.9684分。对应平均ΔJ分别为6.7995分和7.1139分，差为0.3144分。Ridge规划初始状态下的绝对长期评分较高，但扣除各自无养护基线后，两套规划初始状态的平均养护增益差异明显缩小。在更高资源档，ΔJ差的方向还会改变，因此相对养护增益不存在固定的规划初始状态优劣排序。图5展示两套规划初始状态在该资源档各自最好可行代表方案的长期轨迹，仅用于说明年度变化。</w:t>
      </w:r>
    </w:p>
    <w:p>
      <w:pPr>
        <w:keepNext/>
        <w:spacing w:before="100" w:after="40"/>
        <w:jc w:val="center"/>
      </w:pPr>
      <w:r>
        <w:drawing>
          <wp:inline xmlns:a="http://schemas.openxmlformats.org/drawingml/2006/main" xmlns:pic="http://schemas.openxmlformats.org/drawingml/2006/picture">
            <wp:extent cx="6120000" cy="2619678"/>
            <wp:docPr id="4" name="Picture 4"/>
            <wp:cNvGraphicFramePr>
              <a:graphicFrameLocks noChangeAspect="1"/>
            </wp:cNvGraphicFramePr>
            <a:graphic>
              <a:graphicData uri="http://schemas.openxmlformats.org/drawingml/2006/picture">
                <pic:pic>
                  <pic:nvPicPr>
                    <pic:cNvPr id="0" name="Figure_05_initial_trajectories.png"/>
                    <pic:cNvPicPr/>
                  </pic:nvPicPr>
                  <pic:blipFill>
                    <a:blip r:embed="rId14"/>
                    <a:stretch>
                      <a:fillRect/>
                    </a:stretch>
                  </pic:blipFill>
                  <pic:spPr>
                    <a:xfrm>
                      <a:off x="0" y="0"/>
                      <a:ext cx="6120000" cy="2619678"/>
                    </a:xfrm>
                    <a:prstGeom prst="rect"/>
                  </pic:spPr>
                </pic:pic>
              </a:graphicData>
            </a:graphic>
          </wp:inline>
        </w:drawing>
      </w:r>
    </w:p>
    <w:p>
      <w:pPr>
        <w:pStyle w:val="Caption"/>
        <w:keepNext/>
        <w:spacing w:before="80" w:after="60"/>
      </w:pPr>
      <w:r>
        <w:rPr>
          <w:b/>
        </w:rPr>
        <w:t>图5 代表资源档两套规划初始状态的长期评分轨迹</w:t>
      </w:r>
    </w:p>
    <w:p>
      <w:pPr>
        <w:spacing w:line="250" w:lineRule="auto" w:after="100"/>
      </w:pPr>
      <w:r>
        <w:rPr>
          <w:sz w:val="17"/>
        </w:rPr>
        <w:t>B=1.513358、d=0.65；两套规划初始状态分别选取当档30次中的最好可行排程，用于年度变化展示。</w:t>
      </w:r>
    </w:p>
    <w:p>
      <w:pPr>
        <w:ind w:firstLine="420"/>
      </w:pPr>
      <w:r>
        <w:t>养护时机比较采用每档30组相同随机seed的排程配对，七档共210对，而不以两份最好代表排程代替重复运行证据。B=1.513358时，精确单元—年份行动集合的Jaccard为0.0687±0.0228，中位数0.0700，四分位区间0.0534—0.0794。首次养护年份比较先限定在每对双方均安排养护的单元内，再计算运行级平均绝对差；30对该指标的均值为2.9224年，中位数2.86年，四分位区间2.59—3.18年。双方首次养护年份相同的单元数平均7.43个，Ridge相对LOCF的行动数平均增加10.30次。未养护单元不编码为第0年。</w:t>
      </w:r>
    </w:p>
    <w:p>
      <w:pPr>
        <w:ind w:firstLine="420"/>
      </w:pPr>
      <w:r>
        <w:t>两项时机指标的比较对象不同。Jaccard要求检测单元和实施年份同时相同，养护对象相同但年份不同仍属于不同行动；首次年份差则不描述第二、第三次行动。因此，行动集合重合较少与首次行动相差数年可以同时出现。本文同时保留这两类指标，分别呈现完整行动安排的重合程度与首次实施时点的变化，完整配对结果列入补充材料。</w:t>
      </w:r>
    </w:p>
    <w:p>
      <w:pPr>
        <w:ind w:firstLine="420"/>
      </w:pPr>
      <w:r>
        <w:t>图6显示，从B=0.215150至2.378829，各档Jaccard均值约为0.065—0.077，首次养护年份平均绝对差的组均值约为0.81—2.92年。最高资源上限B=2.811565下，Jaccard均值升至0.8613，首次年差降至约0.0011年，双方行动数均为148次。规划初始状态对具体养护时机的影响具有资源条件依赖性；多数低、中等资源档下两套排程差异较大，在最高资源档下明显缩小。该趋同还受到共同高状态候选、行动趋于充分以及有限搜索的共同影响，不能解释为规划初始状态影响消失。相同资源、参数和seed下仍有不同安排，但由于问题离散、非凸且采用有限随机搜索，也不能将全部排程差异完全归因于规划初始状态。</w:t>
      </w:r>
    </w:p>
    <w:p>
      <w:pPr>
        <w:keepNext/>
        <w:spacing w:before="100" w:after="40"/>
        <w:jc w:val="center"/>
      </w:pPr>
      <w:r>
        <w:drawing>
          <wp:inline xmlns:a="http://schemas.openxmlformats.org/drawingml/2006/main" xmlns:pic="http://schemas.openxmlformats.org/drawingml/2006/picture">
            <wp:extent cx="6120000" cy="2584736"/>
            <wp:docPr id="5" name="Picture 5"/>
            <wp:cNvGraphicFramePr>
              <a:graphicFrameLocks noChangeAspect="1"/>
            </wp:cNvGraphicFramePr>
            <a:graphic>
              <a:graphicData uri="http://schemas.openxmlformats.org/drawingml/2006/picture">
                <pic:pic>
                  <pic:nvPicPr>
                    <pic:cNvPr id="0" name="Figure_06_schedule_changes.png"/>
                    <pic:cNvPicPr/>
                  </pic:nvPicPr>
                  <pic:blipFill>
                    <a:blip r:embed="rId15"/>
                    <a:stretch>
                      <a:fillRect/>
                    </a:stretch>
                  </pic:blipFill>
                  <pic:spPr>
                    <a:xfrm>
                      <a:off x="0" y="0"/>
                      <a:ext cx="6120000" cy="2584736"/>
                    </a:xfrm>
                    <a:prstGeom prst="rect"/>
                  </pic:spPr>
                </pic:pic>
              </a:graphicData>
            </a:graphic>
          </wp:inline>
        </w:drawing>
      </w:r>
    </w:p>
    <w:p>
      <w:pPr>
        <w:pStyle w:val="Caption"/>
        <w:keepNext/>
        <w:spacing w:before="80" w:after="60"/>
      </w:pPr>
      <w:r>
        <w:rPr>
          <w:b/>
        </w:rPr>
        <w:t>图6 同seed配对排程的行动重合与首次养护年差</w:t>
      </w:r>
    </w:p>
    <w:p>
      <w:pPr>
        <w:spacing w:line="250" w:lineRule="auto" w:after="100"/>
      </w:pPr>
      <w:r>
        <w:rPr>
          <w:sz w:val="17"/>
        </w:rPr>
        <w:t>每档30对。(a)单元—年份行动集合的Jaccard；(b)每对先在双方均养护单元内计算首次养护年平均绝对差，再展示30个运行级MAE。箱体为Q25—Q75，中线为中位数；未养护单元不编码为年份0。</w:t>
      </w:r>
    </w:p>
    <w:p>
      <w:pPr>
        <w:pStyle w:val="Heading2"/>
      </w:pPr>
      <w:r>
        <w:t>3.3 养护资源水平对长期状态的影响</w:t>
      </w:r>
    </w:p>
    <w:p>
      <w:pPr>
        <w:ind w:firstLine="420"/>
      </w:pPr>
      <w:r>
        <w:t>七档共同资源结果见表5和图4。两套规划初始状态均使用相同绝对资源上限B；最低档B=0.215150是最好已知最低可行参考资源，并不表示没有养护投入。各档每套规划初始状态的30次GJO结果均满足给定规划条件。图中均值、样本标准差及最好值均来自当档30次运行，统计未混入其他资源档的已知方案。由于初始化包含按当前条件核查的公共候选，这些可行结果也不表示独立发现可行方案的概率为100%。</w:t>
      </w:r>
    </w:p>
    <w:p>
      <w:pPr>
        <w:pStyle w:val="Caption"/>
        <w:keepNext/>
        <w:spacing w:before="80" w:after="60"/>
      </w:pPr>
      <w:r>
        <w:rPr>
          <w:b/>
        </w:rPr>
        <w:t>表5 七档共同资源上限下的长期状态结果</w:t>
      </w:r>
    </w:p>
    <w:tbl>
      <w:tblPr>
        <w:tblStyle w:val="TableGrid"/>
        <w:tblW w:type="auto" w:w="0"/>
        <w:tblLayout w:type="fixed"/>
        <w:tblLook w:firstColumn="1" w:firstRow="1" w:lastColumn="0" w:lastRow="0" w:noHBand="0" w:noVBand="1" w:val="04A0"/>
      </w:tblPr>
      <w:tblGrid>
        <w:gridCol w:w="1417"/>
        <w:gridCol w:w="907"/>
        <w:gridCol w:w="1417"/>
        <w:gridCol w:w="2608"/>
        <w:gridCol w:w="1644"/>
        <w:gridCol w:w="1644"/>
      </w:tblGrid>
      <w:tr>
        <w:trPr>
          <w:tblHeader/>
          <w:cantSplit/>
        </w:trPr>
        <w:tc>
          <w:tcPr>
            <w:tcW w:type="dxa" w:w="1417"/>
            <w:shd w:fill="F0F2F4"/>
            <w:vAlign w:val="center"/>
          </w:tcPr>
          <w:p>
            <w:pPr>
              <w:spacing w:after="40" w:before="40" w:line="250" w:lineRule="auto"/>
            </w:pPr>
            <w:r>
              <w:rPr>
                <w:sz w:val="16"/>
              </w:rPr>
              <w:t>共同B</w:t>
            </w:r>
          </w:p>
        </w:tc>
        <w:tc>
          <w:tcPr>
            <w:tcW w:type="dxa" w:w="907"/>
            <w:shd w:fill="F0F2F4"/>
            <w:vAlign w:val="center"/>
          </w:tcPr>
          <w:p>
            <w:pPr>
              <w:spacing w:after="40" w:before="40" w:line="250" w:lineRule="auto"/>
            </w:pPr>
            <w:r>
              <w:rPr>
                <w:sz w:val="16"/>
              </w:rPr>
              <w:t>方法</w:t>
            </w:r>
          </w:p>
        </w:tc>
        <w:tc>
          <w:tcPr>
            <w:tcW w:type="dxa" w:w="1417"/>
            <w:shd w:fill="F0F2F4"/>
            <w:vAlign w:val="center"/>
          </w:tcPr>
          <w:p>
            <w:pPr>
              <w:spacing w:after="40" w:before="40" w:line="250" w:lineRule="auto"/>
            </w:pPr>
            <w:r>
              <w:rPr>
                <w:sz w:val="16"/>
              </w:rPr>
              <w:t>可行数/运行数</w:t>
            </w:r>
          </w:p>
        </w:tc>
        <w:tc>
          <w:tcPr>
            <w:tcW w:type="dxa" w:w="2608"/>
            <w:shd w:fill="F0F2F4"/>
            <w:vAlign w:val="center"/>
          </w:tcPr>
          <w:p>
            <w:pPr>
              <w:spacing w:after="40" w:before="40" w:line="250" w:lineRule="auto"/>
            </w:pPr>
            <w:r>
              <w:rPr>
                <w:sz w:val="16"/>
              </w:rPr>
              <w:t>J均值±样本SD</w:t>
            </w:r>
          </w:p>
        </w:tc>
        <w:tc>
          <w:tcPr>
            <w:tcW w:type="dxa" w:w="1644"/>
            <w:shd w:fill="F0F2F4"/>
            <w:vAlign w:val="center"/>
          </w:tcPr>
          <w:p>
            <w:pPr>
              <w:spacing w:after="40" w:before="40" w:line="250" w:lineRule="auto"/>
            </w:pPr>
            <w:r>
              <w:rPr>
                <w:sz w:val="16"/>
              </w:rPr>
              <w:t>最好J</w:t>
            </w:r>
          </w:p>
        </w:tc>
        <w:tc>
          <w:tcPr>
            <w:tcW w:type="dxa" w:w="1644"/>
            <w:shd w:fill="F0F2F4"/>
            <w:vAlign w:val="center"/>
          </w:tcPr>
          <w:p>
            <w:pPr>
              <w:spacing w:after="40" w:before="40" w:line="250" w:lineRule="auto"/>
            </w:pPr>
            <w:r>
              <w:rPr>
                <w:sz w:val="16"/>
              </w:rPr>
              <w:t>平均ΔJ</w:t>
            </w:r>
          </w:p>
        </w:tc>
      </w:tr>
      <w:tr>
        <w:trPr>
          <w:cantSplit/>
        </w:trPr>
        <w:tc>
          <w:tcPr>
            <w:tcW w:type="dxa" w:w="1417"/>
            <w:vAlign w:val="center"/>
          </w:tcPr>
          <w:p>
            <w:pPr>
              <w:spacing w:after="40" w:before="40" w:line="250" w:lineRule="auto"/>
            </w:pPr>
            <w:r>
              <w:rPr>
                <w:sz w:val="16"/>
              </w:rPr>
              <w:t>0.215150</w:t>
            </w:r>
          </w:p>
        </w:tc>
        <w:tc>
          <w:tcPr>
            <w:tcW w:type="dxa" w:w="907"/>
            <w:vAlign w:val="center"/>
          </w:tcPr>
          <w:p>
            <w:pPr>
              <w:spacing w:after="40" w:before="40" w:line="250" w:lineRule="auto"/>
            </w:pPr>
            <w:r>
              <w:rPr>
                <w:sz w:val="16"/>
              </w:rPr>
              <w:t>LOCF</w:t>
            </w:r>
          </w:p>
        </w:tc>
        <w:tc>
          <w:tcPr>
            <w:tcW w:type="dxa" w:w="1417"/>
            <w:vAlign w:val="center"/>
          </w:tcPr>
          <w:p>
            <w:pPr>
              <w:spacing w:after="40" w:before="40" w:line="250" w:lineRule="auto"/>
            </w:pPr>
            <w:r>
              <w:rPr>
                <w:sz w:val="16"/>
              </w:rPr>
              <w:t>30/30</w:t>
            </w:r>
          </w:p>
        </w:tc>
        <w:tc>
          <w:tcPr>
            <w:tcW w:type="dxa" w:w="2608"/>
            <w:vAlign w:val="center"/>
          </w:tcPr>
          <w:p>
            <w:pPr>
              <w:spacing w:after="40" w:before="40" w:line="250" w:lineRule="auto"/>
            </w:pPr>
            <w:r>
              <w:rPr>
                <w:sz w:val="16"/>
              </w:rPr>
              <w:t>85.0848±0.0101</w:t>
            </w:r>
          </w:p>
        </w:tc>
        <w:tc>
          <w:tcPr>
            <w:tcW w:type="dxa" w:w="1644"/>
            <w:vAlign w:val="center"/>
          </w:tcPr>
          <w:p>
            <w:pPr>
              <w:spacing w:after="40" w:before="40" w:line="250" w:lineRule="auto"/>
            </w:pPr>
            <w:r>
              <w:rPr>
                <w:sz w:val="16"/>
              </w:rPr>
              <w:t>85.0930</w:t>
            </w:r>
          </w:p>
        </w:tc>
        <w:tc>
          <w:tcPr>
            <w:tcW w:type="dxa" w:w="1644"/>
            <w:vAlign w:val="center"/>
          </w:tcPr>
          <w:p>
            <w:pPr>
              <w:spacing w:after="40" w:before="40" w:line="250" w:lineRule="auto"/>
            </w:pPr>
            <w:r>
              <w:rPr>
                <w:sz w:val="16"/>
              </w:rPr>
              <w:t>1.2681</w:t>
            </w:r>
          </w:p>
        </w:tc>
      </w:tr>
      <w:tr>
        <w:trPr>
          <w:cantSplit/>
        </w:trPr>
        <w:tc>
          <w:tcPr>
            <w:tcW w:type="dxa" w:w="1417"/>
            <w:vAlign w:val="center"/>
          </w:tcPr>
          <w:p>
            <w:pPr>
              <w:spacing w:after="40" w:before="40" w:line="250" w:lineRule="auto"/>
            </w:pPr>
            <w:r>
              <w:rPr>
                <w:sz w:val="16"/>
              </w:rPr>
              <w:t>0.215150</w:t>
            </w:r>
          </w:p>
        </w:tc>
        <w:tc>
          <w:tcPr>
            <w:tcW w:type="dxa" w:w="907"/>
            <w:vAlign w:val="center"/>
          </w:tcPr>
          <w:p>
            <w:pPr>
              <w:spacing w:after="40" w:before="40" w:line="250" w:lineRule="auto"/>
            </w:pPr>
            <w:r>
              <w:rPr>
                <w:sz w:val="16"/>
              </w:rPr>
              <w:t>Ridge</w:t>
            </w:r>
          </w:p>
        </w:tc>
        <w:tc>
          <w:tcPr>
            <w:tcW w:type="dxa" w:w="1417"/>
            <w:vAlign w:val="center"/>
          </w:tcPr>
          <w:p>
            <w:pPr>
              <w:spacing w:after="40" w:before="40" w:line="250" w:lineRule="auto"/>
            </w:pPr>
            <w:r>
              <w:rPr>
                <w:sz w:val="16"/>
              </w:rPr>
              <w:t>30/30</w:t>
            </w:r>
          </w:p>
        </w:tc>
        <w:tc>
          <w:tcPr>
            <w:tcW w:type="dxa" w:w="2608"/>
            <w:vAlign w:val="center"/>
          </w:tcPr>
          <w:p>
            <w:pPr>
              <w:spacing w:after="40" w:before="40" w:line="250" w:lineRule="auto"/>
            </w:pPr>
            <w:r>
              <w:rPr>
                <w:sz w:val="16"/>
              </w:rPr>
              <w:t>87.7321±0.1093</w:t>
            </w:r>
          </w:p>
        </w:tc>
        <w:tc>
          <w:tcPr>
            <w:tcW w:type="dxa" w:w="1644"/>
            <w:vAlign w:val="center"/>
          </w:tcPr>
          <w:p>
            <w:pPr>
              <w:spacing w:after="40" w:before="40" w:line="250" w:lineRule="auto"/>
            </w:pPr>
            <w:r>
              <w:rPr>
                <w:sz w:val="16"/>
              </w:rPr>
              <w:t>87.9623</w:t>
            </w:r>
          </w:p>
        </w:tc>
        <w:tc>
          <w:tcPr>
            <w:tcW w:type="dxa" w:w="1644"/>
            <w:vAlign w:val="center"/>
          </w:tcPr>
          <w:p>
            <w:pPr>
              <w:spacing w:after="40" w:before="40" w:line="250" w:lineRule="auto"/>
            </w:pPr>
            <w:r>
              <w:rPr>
                <w:sz w:val="16"/>
              </w:rPr>
              <w:t>2.2614</w:t>
            </w:r>
          </w:p>
        </w:tc>
      </w:tr>
      <w:tr>
        <w:trPr>
          <w:cantSplit/>
        </w:trPr>
        <w:tc>
          <w:tcPr>
            <w:tcW w:type="dxa" w:w="1417"/>
            <w:vAlign w:val="center"/>
          </w:tcPr>
          <w:p>
            <w:pPr>
              <w:spacing w:after="40" w:before="40" w:line="250" w:lineRule="auto"/>
            </w:pPr>
            <w:r>
              <w:rPr>
                <w:sz w:val="16"/>
              </w:rPr>
              <w:t>0.647886</w:t>
            </w:r>
          </w:p>
        </w:tc>
        <w:tc>
          <w:tcPr>
            <w:tcW w:type="dxa" w:w="907"/>
            <w:vAlign w:val="center"/>
          </w:tcPr>
          <w:p>
            <w:pPr>
              <w:spacing w:after="40" w:before="40" w:line="250" w:lineRule="auto"/>
            </w:pPr>
            <w:r>
              <w:rPr>
                <w:sz w:val="16"/>
              </w:rPr>
              <w:t>LOCF</w:t>
            </w:r>
          </w:p>
        </w:tc>
        <w:tc>
          <w:tcPr>
            <w:tcW w:type="dxa" w:w="1417"/>
            <w:vAlign w:val="center"/>
          </w:tcPr>
          <w:p>
            <w:pPr>
              <w:spacing w:after="40" w:before="40" w:line="250" w:lineRule="auto"/>
            </w:pPr>
            <w:r>
              <w:rPr>
                <w:sz w:val="16"/>
              </w:rPr>
              <w:t>30/30</w:t>
            </w:r>
          </w:p>
        </w:tc>
        <w:tc>
          <w:tcPr>
            <w:tcW w:type="dxa" w:w="2608"/>
            <w:vAlign w:val="center"/>
          </w:tcPr>
          <w:p>
            <w:pPr>
              <w:spacing w:after="40" w:before="40" w:line="250" w:lineRule="auto"/>
            </w:pPr>
            <w:r>
              <w:rPr>
                <w:sz w:val="16"/>
              </w:rPr>
              <w:t>89.1967±0.2703</w:t>
            </w:r>
          </w:p>
        </w:tc>
        <w:tc>
          <w:tcPr>
            <w:tcW w:type="dxa" w:w="1644"/>
            <w:vAlign w:val="center"/>
          </w:tcPr>
          <w:p>
            <w:pPr>
              <w:spacing w:after="40" w:before="40" w:line="250" w:lineRule="auto"/>
            </w:pPr>
            <w:r>
              <w:rPr>
                <w:sz w:val="16"/>
              </w:rPr>
              <w:t>89.6738</w:t>
            </w:r>
          </w:p>
        </w:tc>
        <w:tc>
          <w:tcPr>
            <w:tcW w:type="dxa" w:w="1644"/>
            <w:vAlign w:val="center"/>
          </w:tcPr>
          <w:p>
            <w:pPr>
              <w:spacing w:after="40" w:before="40" w:line="250" w:lineRule="auto"/>
            </w:pPr>
            <w:r>
              <w:rPr>
                <w:sz w:val="16"/>
              </w:rPr>
              <w:t>5.3800</w:t>
            </w:r>
          </w:p>
        </w:tc>
      </w:tr>
      <w:tr>
        <w:trPr>
          <w:cantSplit/>
        </w:trPr>
        <w:tc>
          <w:tcPr>
            <w:tcW w:type="dxa" w:w="1417"/>
            <w:vAlign w:val="center"/>
          </w:tcPr>
          <w:p>
            <w:pPr>
              <w:spacing w:after="40" w:before="40" w:line="250" w:lineRule="auto"/>
            </w:pPr>
            <w:r>
              <w:rPr>
                <w:sz w:val="16"/>
              </w:rPr>
              <w:t>0.647886</w:t>
            </w:r>
          </w:p>
        </w:tc>
        <w:tc>
          <w:tcPr>
            <w:tcW w:type="dxa" w:w="907"/>
            <w:vAlign w:val="center"/>
          </w:tcPr>
          <w:p>
            <w:pPr>
              <w:spacing w:after="40" w:before="40" w:line="250" w:lineRule="auto"/>
            </w:pPr>
            <w:r>
              <w:rPr>
                <w:sz w:val="16"/>
              </w:rPr>
              <w:t>Ridge</w:t>
            </w:r>
          </w:p>
        </w:tc>
        <w:tc>
          <w:tcPr>
            <w:tcW w:type="dxa" w:w="1417"/>
            <w:vAlign w:val="center"/>
          </w:tcPr>
          <w:p>
            <w:pPr>
              <w:spacing w:after="40" w:before="40" w:line="250" w:lineRule="auto"/>
            </w:pPr>
            <w:r>
              <w:rPr>
                <w:sz w:val="16"/>
              </w:rPr>
              <w:t>30/30</w:t>
            </w:r>
          </w:p>
        </w:tc>
        <w:tc>
          <w:tcPr>
            <w:tcW w:type="dxa" w:w="2608"/>
            <w:vAlign w:val="center"/>
          </w:tcPr>
          <w:p>
            <w:pPr>
              <w:spacing w:after="40" w:before="40" w:line="250" w:lineRule="auto"/>
            </w:pPr>
            <w:r>
              <w:rPr>
                <w:sz w:val="16"/>
              </w:rPr>
              <w:t>90.9199±0.1805</w:t>
            </w:r>
          </w:p>
        </w:tc>
        <w:tc>
          <w:tcPr>
            <w:tcW w:type="dxa" w:w="1644"/>
            <w:vAlign w:val="center"/>
          </w:tcPr>
          <w:p>
            <w:pPr>
              <w:spacing w:after="40" w:before="40" w:line="250" w:lineRule="auto"/>
            </w:pPr>
            <w:r>
              <w:rPr>
                <w:sz w:val="16"/>
              </w:rPr>
              <w:t>91.2090</w:t>
            </w:r>
          </w:p>
        </w:tc>
        <w:tc>
          <w:tcPr>
            <w:tcW w:type="dxa" w:w="1644"/>
            <w:vAlign w:val="center"/>
          </w:tcPr>
          <w:p>
            <w:pPr>
              <w:spacing w:after="40" w:before="40" w:line="250" w:lineRule="auto"/>
            </w:pPr>
            <w:r>
              <w:rPr>
                <w:sz w:val="16"/>
              </w:rPr>
              <w:t>5.4491</w:t>
            </w:r>
          </w:p>
        </w:tc>
      </w:tr>
      <w:tr>
        <w:trPr>
          <w:cantSplit/>
        </w:trPr>
        <w:tc>
          <w:tcPr>
            <w:tcW w:type="dxa" w:w="1417"/>
            <w:vAlign w:val="center"/>
          </w:tcPr>
          <w:p>
            <w:pPr>
              <w:spacing w:after="40" w:before="40" w:line="250" w:lineRule="auto"/>
            </w:pPr>
            <w:r>
              <w:rPr>
                <w:sz w:val="16"/>
              </w:rPr>
              <w:t>1.080622</w:t>
            </w:r>
          </w:p>
        </w:tc>
        <w:tc>
          <w:tcPr>
            <w:tcW w:type="dxa" w:w="907"/>
            <w:vAlign w:val="center"/>
          </w:tcPr>
          <w:p>
            <w:pPr>
              <w:spacing w:after="40" w:before="40" w:line="250" w:lineRule="auto"/>
            </w:pPr>
            <w:r>
              <w:rPr>
                <w:sz w:val="16"/>
              </w:rPr>
              <w:t>LOCF</w:t>
            </w:r>
          </w:p>
        </w:tc>
        <w:tc>
          <w:tcPr>
            <w:tcW w:type="dxa" w:w="1417"/>
            <w:vAlign w:val="center"/>
          </w:tcPr>
          <w:p>
            <w:pPr>
              <w:spacing w:after="40" w:before="40" w:line="250" w:lineRule="auto"/>
            </w:pPr>
            <w:r>
              <w:rPr>
                <w:sz w:val="16"/>
              </w:rPr>
              <w:t>30/30</w:t>
            </w:r>
          </w:p>
        </w:tc>
        <w:tc>
          <w:tcPr>
            <w:tcW w:type="dxa" w:w="2608"/>
            <w:vAlign w:val="center"/>
          </w:tcPr>
          <w:p>
            <w:pPr>
              <w:spacing w:after="40" w:before="40" w:line="250" w:lineRule="auto"/>
            </w:pPr>
            <w:r>
              <w:rPr>
                <w:sz w:val="16"/>
              </w:rPr>
              <w:t>90.2545±0.3831</w:t>
            </w:r>
          </w:p>
        </w:tc>
        <w:tc>
          <w:tcPr>
            <w:tcW w:type="dxa" w:w="1644"/>
            <w:vAlign w:val="center"/>
          </w:tcPr>
          <w:p>
            <w:pPr>
              <w:spacing w:after="40" w:before="40" w:line="250" w:lineRule="auto"/>
            </w:pPr>
            <w:r>
              <w:rPr>
                <w:sz w:val="16"/>
              </w:rPr>
              <w:t>90.7629</w:t>
            </w:r>
          </w:p>
        </w:tc>
        <w:tc>
          <w:tcPr>
            <w:tcW w:type="dxa" w:w="1644"/>
            <w:vAlign w:val="center"/>
          </w:tcPr>
          <w:p>
            <w:pPr>
              <w:spacing w:after="40" w:before="40" w:line="250" w:lineRule="auto"/>
            </w:pPr>
            <w:r>
              <w:rPr>
                <w:sz w:val="16"/>
              </w:rPr>
              <w:t>6.4378</w:t>
            </w:r>
          </w:p>
        </w:tc>
      </w:tr>
      <w:tr>
        <w:trPr>
          <w:cantSplit/>
        </w:trPr>
        <w:tc>
          <w:tcPr>
            <w:tcW w:type="dxa" w:w="1417"/>
            <w:vAlign w:val="center"/>
          </w:tcPr>
          <w:p>
            <w:pPr>
              <w:spacing w:after="40" w:before="40" w:line="250" w:lineRule="auto"/>
            </w:pPr>
            <w:r>
              <w:rPr>
                <w:sz w:val="16"/>
              </w:rPr>
              <w:t>1.080622</w:t>
            </w:r>
          </w:p>
        </w:tc>
        <w:tc>
          <w:tcPr>
            <w:tcW w:type="dxa" w:w="907"/>
            <w:vAlign w:val="center"/>
          </w:tcPr>
          <w:p>
            <w:pPr>
              <w:spacing w:after="40" w:before="40" w:line="250" w:lineRule="auto"/>
            </w:pPr>
            <w:r>
              <w:rPr>
                <w:sz w:val="16"/>
              </w:rPr>
              <w:t>Ridge</w:t>
            </w:r>
          </w:p>
        </w:tc>
        <w:tc>
          <w:tcPr>
            <w:tcW w:type="dxa" w:w="1417"/>
            <w:vAlign w:val="center"/>
          </w:tcPr>
          <w:p>
            <w:pPr>
              <w:spacing w:after="40" w:before="40" w:line="250" w:lineRule="auto"/>
            </w:pPr>
            <w:r>
              <w:rPr>
                <w:sz w:val="16"/>
              </w:rPr>
              <w:t>30/30</w:t>
            </w:r>
          </w:p>
        </w:tc>
        <w:tc>
          <w:tcPr>
            <w:tcW w:type="dxa" w:w="2608"/>
            <w:vAlign w:val="center"/>
          </w:tcPr>
          <w:p>
            <w:pPr>
              <w:spacing w:after="40" w:before="40" w:line="250" w:lineRule="auto"/>
            </w:pPr>
            <w:r>
              <w:rPr>
                <w:sz w:val="16"/>
              </w:rPr>
              <w:t>91.9869±0.2238</w:t>
            </w:r>
          </w:p>
        </w:tc>
        <w:tc>
          <w:tcPr>
            <w:tcW w:type="dxa" w:w="1644"/>
            <w:vAlign w:val="center"/>
          </w:tcPr>
          <w:p>
            <w:pPr>
              <w:spacing w:after="40" w:before="40" w:line="250" w:lineRule="auto"/>
            </w:pPr>
            <w:r>
              <w:rPr>
                <w:sz w:val="16"/>
              </w:rPr>
              <w:t>92.5082</w:t>
            </w:r>
          </w:p>
        </w:tc>
        <w:tc>
          <w:tcPr>
            <w:tcW w:type="dxa" w:w="1644"/>
            <w:vAlign w:val="center"/>
          </w:tcPr>
          <w:p>
            <w:pPr>
              <w:spacing w:after="40" w:before="40" w:line="250" w:lineRule="auto"/>
            </w:pPr>
            <w:r>
              <w:rPr>
                <w:sz w:val="16"/>
              </w:rPr>
              <w:t>6.5161</w:t>
            </w:r>
          </w:p>
        </w:tc>
      </w:tr>
      <w:tr>
        <w:trPr>
          <w:cantSplit/>
        </w:trPr>
        <w:tc>
          <w:tcPr>
            <w:tcW w:type="dxa" w:w="1417"/>
            <w:vAlign w:val="center"/>
          </w:tcPr>
          <w:p>
            <w:pPr>
              <w:spacing w:after="40" w:before="40" w:line="250" w:lineRule="auto"/>
            </w:pPr>
            <w:r>
              <w:rPr>
                <w:sz w:val="16"/>
              </w:rPr>
              <w:t>1.513358</w:t>
            </w:r>
          </w:p>
        </w:tc>
        <w:tc>
          <w:tcPr>
            <w:tcW w:type="dxa" w:w="907"/>
            <w:vAlign w:val="center"/>
          </w:tcPr>
          <w:p>
            <w:pPr>
              <w:spacing w:after="40" w:before="40" w:line="250" w:lineRule="auto"/>
            </w:pPr>
            <w:r>
              <w:rPr>
                <w:sz w:val="16"/>
              </w:rPr>
              <w:t>LOCF</w:t>
            </w:r>
          </w:p>
        </w:tc>
        <w:tc>
          <w:tcPr>
            <w:tcW w:type="dxa" w:w="1417"/>
            <w:vAlign w:val="center"/>
          </w:tcPr>
          <w:p>
            <w:pPr>
              <w:spacing w:after="40" w:before="40" w:line="250" w:lineRule="auto"/>
            </w:pPr>
            <w:r>
              <w:rPr>
                <w:sz w:val="16"/>
              </w:rPr>
              <w:t>30/30</w:t>
            </w:r>
          </w:p>
        </w:tc>
        <w:tc>
          <w:tcPr>
            <w:tcW w:type="dxa" w:w="2608"/>
            <w:vAlign w:val="center"/>
          </w:tcPr>
          <w:p>
            <w:pPr>
              <w:spacing w:after="40" w:before="40" w:line="250" w:lineRule="auto"/>
            </w:pPr>
            <w:r>
              <w:rPr>
                <w:sz w:val="16"/>
              </w:rPr>
              <w:t>90.6162±0.5326</w:t>
            </w:r>
          </w:p>
        </w:tc>
        <w:tc>
          <w:tcPr>
            <w:tcW w:type="dxa" w:w="1644"/>
            <w:vAlign w:val="center"/>
          </w:tcPr>
          <w:p>
            <w:pPr>
              <w:spacing w:after="40" w:before="40" w:line="250" w:lineRule="auto"/>
            </w:pPr>
            <w:r>
              <w:rPr>
                <w:sz w:val="16"/>
              </w:rPr>
              <w:t>91.2365</w:t>
            </w:r>
          </w:p>
        </w:tc>
        <w:tc>
          <w:tcPr>
            <w:tcW w:type="dxa" w:w="1644"/>
            <w:vAlign w:val="center"/>
          </w:tcPr>
          <w:p>
            <w:pPr>
              <w:spacing w:after="40" w:before="40" w:line="250" w:lineRule="auto"/>
            </w:pPr>
            <w:r>
              <w:rPr>
                <w:sz w:val="16"/>
              </w:rPr>
              <w:t>6.7995</w:t>
            </w:r>
          </w:p>
        </w:tc>
      </w:tr>
      <w:tr>
        <w:trPr>
          <w:cantSplit/>
        </w:trPr>
        <w:tc>
          <w:tcPr>
            <w:tcW w:type="dxa" w:w="1417"/>
            <w:vAlign w:val="center"/>
          </w:tcPr>
          <w:p>
            <w:pPr>
              <w:spacing w:after="40" w:before="40" w:line="250" w:lineRule="auto"/>
            </w:pPr>
            <w:r>
              <w:rPr>
                <w:sz w:val="16"/>
              </w:rPr>
              <w:t>1.513358</w:t>
            </w:r>
          </w:p>
        </w:tc>
        <w:tc>
          <w:tcPr>
            <w:tcW w:type="dxa" w:w="907"/>
            <w:vAlign w:val="center"/>
          </w:tcPr>
          <w:p>
            <w:pPr>
              <w:spacing w:after="40" w:before="40" w:line="250" w:lineRule="auto"/>
            </w:pPr>
            <w:r>
              <w:rPr>
                <w:sz w:val="16"/>
              </w:rPr>
              <w:t>Ridge</w:t>
            </w:r>
          </w:p>
        </w:tc>
        <w:tc>
          <w:tcPr>
            <w:tcW w:type="dxa" w:w="1417"/>
            <w:vAlign w:val="center"/>
          </w:tcPr>
          <w:p>
            <w:pPr>
              <w:spacing w:after="40" w:before="40" w:line="250" w:lineRule="auto"/>
            </w:pPr>
            <w:r>
              <w:rPr>
                <w:sz w:val="16"/>
              </w:rPr>
              <w:t>30/30</w:t>
            </w:r>
          </w:p>
        </w:tc>
        <w:tc>
          <w:tcPr>
            <w:tcW w:type="dxa" w:w="2608"/>
            <w:vAlign w:val="center"/>
          </w:tcPr>
          <w:p>
            <w:pPr>
              <w:spacing w:after="40" w:before="40" w:line="250" w:lineRule="auto"/>
            </w:pPr>
            <w:r>
              <w:rPr>
                <w:sz w:val="16"/>
              </w:rPr>
              <w:t>92.5847±0.1579</w:t>
            </w:r>
          </w:p>
        </w:tc>
        <w:tc>
          <w:tcPr>
            <w:tcW w:type="dxa" w:w="1644"/>
            <w:vAlign w:val="center"/>
          </w:tcPr>
          <w:p>
            <w:pPr>
              <w:spacing w:after="40" w:before="40" w:line="250" w:lineRule="auto"/>
            </w:pPr>
            <w:r>
              <w:rPr>
                <w:sz w:val="16"/>
              </w:rPr>
              <w:t>92.8094</w:t>
            </w:r>
          </w:p>
        </w:tc>
        <w:tc>
          <w:tcPr>
            <w:tcW w:type="dxa" w:w="1644"/>
            <w:vAlign w:val="center"/>
          </w:tcPr>
          <w:p>
            <w:pPr>
              <w:spacing w:after="40" w:before="40" w:line="250" w:lineRule="auto"/>
            </w:pPr>
            <w:r>
              <w:rPr>
                <w:sz w:val="16"/>
              </w:rPr>
              <w:t>7.1139</w:t>
            </w:r>
          </w:p>
        </w:tc>
      </w:tr>
      <w:tr>
        <w:trPr>
          <w:cantSplit/>
        </w:trPr>
        <w:tc>
          <w:tcPr>
            <w:tcW w:type="dxa" w:w="1417"/>
            <w:vAlign w:val="center"/>
          </w:tcPr>
          <w:p>
            <w:pPr>
              <w:spacing w:after="40" w:before="40" w:line="250" w:lineRule="auto"/>
            </w:pPr>
            <w:r>
              <w:rPr>
                <w:sz w:val="16"/>
              </w:rPr>
              <w:t>1.946093</w:t>
            </w:r>
          </w:p>
        </w:tc>
        <w:tc>
          <w:tcPr>
            <w:tcW w:type="dxa" w:w="907"/>
            <w:vAlign w:val="center"/>
          </w:tcPr>
          <w:p>
            <w:pPr>
              <w:spacing w:after="40" w:before="40" w:line="250" w:lineRule="auto"/>
            </w:pPr>
            <w:r>
              <w:rPr>
                <w:sz w:val="16"/>
              </w:rPr>
              <w:t>LOCF</w:t>
            </w:r>
          </w:p>
        </w:tc>
        <w:tc>
          <w:tcPr>
            <w:tcW w:type="dxa" w:w="1417"/>
            <w:vAlign w:val="center"/>
          </w:tcPr>
          <w:p>
            <w:pPr>
              <w:spacing w:after="40" w:before="40" w:line="250" w:lineRule="auto"/>
            </w:pPr>
            <w:r>
              <w:rPr>
                <w:sz w:val="16"/>
              </w:rPr>
              <w:t>30/30</w:t>
            </w:r>
          </w:p>
        </w:tc>
        <w:tc>
          <w:tcPr>
            <w:tcW w:type="dxa" w:w="2608"/>
            <w:vAlign w:val="center"/>
          </w:tcPr>
          <w:p>
            <w:pPr>
              <w:spacing w:after="40" w:before="40" w:line="250" w:lineRule="auto"/>
            </w:pPr>
            <w:r>
              <w:rPr>
                <w:sz w:val="16"/>
              </w:rPr>
              <w:t>91.0286±0.0049</w:t>
            </w:r>
          </w:p>
        </w:tc>
        <w:tc>
          <w:tcPr>
            <w:tcW w:type="dxa" w:w="1644"/>
            <w:vAlign w:val="center"/>
          </w:tcPr>
          <w:p>
            <w:pPr>
              <w:spacing w:after="40" w:before="40" w:line="250" w:lineRule="auto"/>
            </w:pPr>
            <w:r>
              <w:rPr>
                <w:sz w:val="16"/>
              </w:rPr>
              <w:t>91.0513</w:t>
            </w:r>
          </w:p>
        </w:tc>
        <w:tc>
          <w:tcPr>
            <w:tcW w:type="dxa" w:w="1644"/>
            <w:vAlign w:val="center"/>
          </w:tcPr>
          <w:p>
            <w:pPr>
              <w:spacing w:after="40" w:before="40" w:line="250" w:lineRule="auto"/>
            </w:pPr>
            <w:r>
              <w:rPr>
                <w:sz w:val="16"/>
              </w:rPr>
              <w:t>7.2119</w:t>
            </w:r>
          </w:p>
        </w:tc>
      </w:tr>
      <w:tr>
        <w:trPr>
          <w:cantSplit/>
        </w:trPr>
        <w:tc>
          <w:tcPr>
            <w:tcW w:type="dxa" w:w="1417"/>
            <w:vAlign w:val="center"/>
          </w:tcPr>
          <w:p>
            <w:pPr>
              <w:spacing w:after="40" w:before="40" w:line="250" w:lineRule="auto"/>
            </w:pPr>
            <w:r>
              <w:rPr>
                <w:sz w:val="16"/>
              </w:rPr>
              <w:t>1.946093</w:t>
            </w:r>
          </w:p>
        </w:tc>
        <w:tc>
          <w:tcPr>
            <w:tcW w:type="dxa" w:w="907"/>
            <w:vAlign w:val="center"/>
          </w:tcPr>
          <w:p>
            <w:pPr>
              <w:spacing w:after="40" w:before="40" w:line="250" w:lineRule="auto"/>
            </w:pPr>
            <w:r>
              <w:rPr>
                <w:sz w:val="16"/>
              </w:rPr>
              <w:t>Ridge</w:t>
            </w:r>
          </w:p>
        </w:tc>
        <w:tc>
          <w:tcPr>
            <w:tcW w:type="dxa" w:w="1417"/>
            <w:vAlign w:val="center"/>
          </w:tcPr>
          <w:p>
            <w:pPr>
              <w:spacing w:after="40" w:before="40" w:line="250" w:lineRule="auto"/>
            </w:pPr>
            <w:r>
              <w:rPr>
                <w:sz w:val="16"/>
              </w:rPr>
              <w:t>30/30</w:t>
            </w:r>
          </w:p>
        </w:tc>
        <w:tc>
          <w:tcPr>
            <w:tcW w:type="dxa" w:w="2608"/>
            <w:vAlign w:val="center"/>
          </w:tcPr>
          <w:p>
            <w:pPr>
              <w:spacing w:after="40" w:before="40" w:line="250" w:lineRule="auto"/>
            </w:pPr>
            <w:r>
              <w:rPr>
                <w:sz w:val="16"/>
              </w:rPr>
              <w:t>93.0424±0.1653</w:t>
            </w:r>
          </w:p>
        </w:tc>
        <w:tc>
          <w:tcPr>
            <w:tcW w:type="dxa" w:w="1644"/>
            <w:vAlign w:val="center"/>
          </w:tcPr>
          <w:p>
            <w:pPr>
              <w:spacing w:after="40" w:before="40" w:line="250" w:lineRule="auto"/>
            </w:pPr>
            <w:r>
              <w:rPr>
                <w:sz w:val="16"/>
              </w:rPr>
              <w:t>93.3342</w:t>
            </w:r>
          </w:p>
        </w:tc>
        <w:tc>
          <w:tcPr>
            <w:tcW w:type="dxa" w:w="1644"/>
            <w:vAlign w:val="center"/>
          </w:tcPr>
          <w:p>
            <w:pPr>
              <w:spacing w:after="40" w:before="40" w:line="250" w:lineRule="auto"/>
            </w:pPr>
            <w:r>
              <w:rPr>
                <w:sz w:val="16"/>
              </w:rPr>
              <w:t>7.5717</w:t>
            </w:r>
          </w:p>
        </w:tc>
      </w:tr>
      <w:tr>
        <w:trPr>
          <w:cantSplit/>
        </w:trPr>
        <w:tc>
          <w:tcPr>
            <w:tcW w:type="dxa" w:w="1417"/>
            <w:vAlign w:val="center"/>
          </w:tcPr>
          <w:p>
            <w:pPr>
              <w:spacing w:after="40" w:before="40" w:line="250" w:lineRule="auto"/>
            </w:pPr>
            <w:r>
              <w:rPr>
                <w:sz w:val="16"/>
              </w:rPr>
              <w:t>2.378829</w:t>
            </w:r>
          </w:p>
        </w:tc>
        <w:tc>
          <w:tcPr>
            <w:tcW w:type="dxa" w:w="907"/>
            <w:vAlign w:val="center"/>
          </w:tcPr>
          <w:p>
            <w:pPr>
              <w:spacing w:after="40" w:before="40" w:line="250" w:lineRule="auto"/>
            </w:pPr>
            <w:r>
              <w:rPr>
                <w:sz w:val="16"/>
              </w:rPr>
              <w:t>LOCF</w:t>
            </w:r>
          </w:p>
        </w:tc>
        <w:tc>
          <w:tcPr>
            <w:tcW w:type="dxa" w:w="1417"/>
            <w:vAlign w:val="center"/>
          </w:tcPr>
          <w:p>
            <w:pPr>
              <w:spacing w:after="40" w:before="40" w:line="250" w:lineRule="auto"/>
            </w:pPr>
            <w:r>
              <w:rPr>
                <w:sz w:val="16"/>
              </w:rPr>
              <w:t>30/30</w:t>
            </w:r>
          </w:p>
        </w:tc>
        <w:tc>
          <w:tcPr>
            <w:tcW w:type="dxa" w:w="2608"/>
            <w:vAlign w:val="center"/>
          </w:tcPr>
          <w:p>
            <w:pPr>
              <w:spacing w:after="40" w:before="40" w:line="250" w:lineRule="auto"/>
            </w:pPr>
            <w:r>
              <w:rPr>
                <w:sz w:val="16"/>
              </w:rPr>
              <w:t>91.7926±0.0124</w:t>
            </w:r>
          </w:p>
        </w:tc>
        <w:tc>
          <w:tcPr>
            <w:tcW w:type="dxa" w:w="1644"/>
            <w:vAlign w:val="center"/>
          </w:tcPr>
          <w:p>
            <w:pPr>
              <w:spacing w:after="40" w:before="40" w:line="250" w:lineRule="auto"/>
            </w:pPr>
            <w:r>
              <w:rPr>
                <w:sz w:val="16"/>
              </w:rPr>
              <w:t>91.8150</w:t>
            </w:r>
          </w:p>
        </w:tc>
        <w:tc>
          <w:tcPr>
            <w:tcW w:type="dxa" w:w="1644"/>
            <w:vAlign w:val="center"/>
          </w:tcPr>
          <w:p>
            <w:pPr>
              <w:spacing w:after="40" w:before="40" w:line="250" w:lineRule="auto"/>
            </w:pPr>
            <w:r>
              <w:rPr>
                <w:sz w:val="16"/>
              </w:rPr>
              <w:t>7.9759</w:t>
            </w:r>
          </w:p>
        </w:tc>
      </w:tr>
      <w:tr>
        <w:trPr>
          <w:cantSplit/>
        </w:trPr>
        <w:tc>
          <w:tcPr>
            <w:tcW w:type="dxa" w:w="1417"/>
            <w:vAlign w:val="center"/>
          </w:tcPr>
          <w:p>
            <w:pPr>
              <w:spacing w:after="40" w:before="40" w:line="250" w:lineRule="auto"/>
            </w:pPr>
            <w:r>
              <w:rPr>
                <w:sz w:val="16"/>
              </w:rPr>
              <w:t>2.378829</w:t>
            </w:r>
          </w:p>
        </w:tc>
        <w:tc>
          <w:tcPr>
            <w:tcW w:type="dxa" w:w="907"/>
            <w:vAlign w:val="center"/>
          </w:tcPr>
          <w:p>
            <w:pPr>
              <w:spacing w:after="40" w:before="40" w:line="250" w:lineRule="auto"/>
            </w:pPr>
            <w:r>
              <w:rPr>
                <w:sz w:val="16"/>
              </w:rPr>
              <w:t>Ridge</w:t>
            </w:r>
          </w:p>
        </w:tc>
        <w:tc>
          <w:tcPr>
            <w:tcW w:type="dxa" w:w="1417"/>
            <w:vAlign w:val="center"/>
          </w:tcPr>
          <w:p>
            <w:pPr>
              <w:spacing w:after="40" w:before="40" w:line="250" w:lineRule="auto"/>
            </w:pPr>
            <w:r>
              <w:rPr>
                <w:sz w:val="16"/>
              </w:rPr>
              <w:t>30/30</w:t>
            </w:r>
          </w:p>
        </w:tc>
        <w:tc>
          <w:tcPr>
            <w:tcW w:type="dxa" w:w="2608"/>
            <w:vAlign w:val="center"/>
          </w:tcPr>
          <w:p>
            <w:pPr>
              <w:spacing w:after="40" w:before="40" w:line="250" w:lineRule="auto"/>
            </w:pPr>
            <w:r>
              <w:rPr>
                <w:sz w:val="16"/>
              </w:rPr>
              <w:t>93.2791±0.1285</w:t>
            </w:r>
          </w:p>
        </w:tc>
        <w:tc>
          <w:tcPr>
            <w:tcW w:type="dxa" w:w="1644"/>
            <w:vAlign w:val="center"/>
          </w:tcPr>
          <w:p>
            <w:pPr>
              <w:spacing w:after="40" w:before="40" w:line="250" w:lineRule="auto"/>
            </w:pPr>
            <w:r>
              <w:rPr>
                <w:sz w:val="16"/>
              </w:rPr>
              <w:t>93.4975</w:t>
            </w:r>
          </w:p>
        </w:tc>
        <w:tc>
          <w:tcPr>
            <w:tcW w:type="dxa" w:w="1644"/>
            <w:vAlign w:val="center"/>
          </w:tcPr>
          <w:p>
            <w:pPr>
              <w:spacing w:after="40" w:before="40" w:line="250" w:lineRule="auto"/>
            </w:pPr>
            <w:r>
              <w:rPr>
                <w:sz w:val="16"/>
              </w:rPr>
              <w:t>7.8084</w:t>
            </w:r>
          </w:p>
        </w:tc>
      </w:tr>
      <w:tr>
        <w:trPr>
          <w:cantSplit/>
        </w:trPr>
        <w:tc>
          <w:tcPr>
            <w:tcW w:type="dxa" w:w="1417"/>
            <w:vAlign w:val="center"/>
          </w:tcPr>
          <w:p>
            <w:pPr>
              <w:spacing w:after="40" w:before="40" w:line="250" w:lineRule="auto"/>
            </w:pPr>
            <w:r>
              <w:rPr>
                <w:sz w:val="16"/>
              </w:rPr>
              <w:t>2.811565</w:t>
            </w:r>
          </w:p>
        </w:tc>
        <w:tc>
          <w:tcPr>
            <w:tcW w:type="dxa" w:w="907"/>
            <w:vAlign w:val="center"/>
          </w:tcPr>
          <w:p>
            <w:pPr>
              <w:spacing w:after="40" w:before="40" w:line="250" w:lineRule="auto"/>
            </w:pPr>
            <w:r>
              <w:rPr>
                <w:sz w:val="16"/>
              </w:rPr>
              <w:t>LOCF</w:t>
            </w:r>
          </w:p>
        </w:tc>
        <w:tc>
          <w:tcPr>
            <w:tcW w:type="dxa" w:w="1417"/>
            <w:vAlign w:val="center"/>
          </w:tcPr>
          <w:p>
            <w:pPr>
              <w:spacing w:after="40" w:before="40" w:line="250" w:lineRule="auto"/>
            </w:pPr>
            <w:r>
              <w:rPr>
                <w:sz w:val="16"/>
              </w:rPr>
              <w:t>30/30</w:t>
            </w:r>
          </w:p>
        </w:tc>
        <w:tc>
          <w:tcPr>
            <w:tcW w:type="dxa" w:w="2608"/>
            <w:vAlign w:val="center"/>
          </w:tcPr>
          <w:p>
            <w:pPr>
              <w:spacing w:after="40" w:before="40" w:line="250" w:lineRule="auto"/>
            </w:pPr>
            <w:r>
              <w:rPr>
                <w:sz w:val="16"/>
              </w:rPr>
              <w:t>92.2101±0.0169</w:t>
            </w:r>
          </w:p>
        </w:tc>
        <w:tc>
          <w:tcPr>
            <w:tcW w:type="dxa" w:w="1644"/>
            <w:vAlign w:val="center"/>
          </w:tcPr>
          <w:p>
            <w:pPr>
              <w:spacing w:after="40" w:before="40" w:line="250" w:lineRule="auto"/>
            </w:pPr>
            <w:r>
              <w:rPr>
                <w:sz w:val="16"/>
              </w:rPr>
              <w:t>92.2472</w:t>
            </w:r>
          </w:p>
        </w:tc>
        <w:tc>
          <w:tcPr>
            <w:tcW w:type="dxa" w:w="1644"/>
            <w:vAlign w:val="center"/>
          </w:tcPr>
          <w:p>
            <w:pPr>
              <w:spacing w:after="40" w:before="40" w:line="250" w:lineRule="auto"/>
            </w:pPr>
            <w:r>
              <w:rPr>
                <w:sz w:val="16"/>
              </w:rPr>
              <w:t>8.3934</w:t>
            </w:r>
          </w:p>
        </w:tc>
      </w:tr>
      <w:tr>
        <w:trPr>
          <w:cantSplit/>
        </w:trPr>
        <w:tc>
          <w:tcPr>
            <w:tcW w:type="dxa" w:w="1417"/>
            <w:vAlign w:val="center"/>
          </w:tcPr>
          <w:p>
            <w:pPr>
              <w:spacing w:after="40" w:before="40" w:line="250" w:lineRule="auto"/>
            </w:pPr>
            <w:r>
              <w:rPr>
                <w:sz w:val="16"/>
              </w:rPr>
              <w:t>2.811565</w:t>
            </w:r>
          </w:p>
        </w:tc>
        <w:tc>
          <w:tcPr>
            <w:tcW w:type="dxa" w:w="907"/>
            <w:vAlign w:val="center"/>
          </w:tcPr>
          <w:p>
            <w:pPr>
              <w:spacing w:after="40" w:before="40" w:line="250" w:lineRule="auto"/>
            </w:pPr>
            <w:r>
              <w:rPr>
                <w:sz w:val="16"/>
              </w:rPr>
              <w:t>Ridge</w:t>
            </w:r>
          </w:p>
        </w:tc>
        <w:tc>
          <w:tcPr>
            <w:tcW w:type="dxa" w:w="1417"/>
            <w:vAlign w:val="center"/>
          </w:tcPr>
          <w:p>
            <w:pPr>
              <w:spacing w:after="40" w:before="40" w:line="250" w:lineRule="auto"/>
            </w:pPr>
            <w:r>
              <w:rPr>
                <w:sz w:val="16"/>
              </w:rPr>
              <w:t>30/30</w:t>
            </w:r>
          </w:p>
        </w:tc>
        <w:tc>
          <w:tcPr>
            <w:tcW w:type="dxa" w:w="2608"/>
            <w:vAlign w:val="center"/>
          </w:tcPr>
          <w:p>
            <w:pPr>
              <w:spacing w:after="40" w:before="40" w:line="250" w:lineRule="auto"/>
            </w:pPr>
            <w:r>
              <w:rPr>
                <w:sz w:val="16"/>
              </w:rPr>
              <w:t>93.8523±0.0103</w:t>
            </w:r>
          </w:p>
        </w:tc>
        <w:tc>
          <w:tcPr>
            <w:tcW w:type="dxa" w:w="1644"/>
            <w:vAlign w:val="center"/>
          </w:tcPr>
          <w:p>
            <w:pPr>
              <w:spacing w:after="40" w:before="40" w:line="250" w:lineRule="auto"/>
            </w:pPr>
            <w:r>
              <w:rPr>
                <w:sz w:val="16"/>
              </w:rPr>
              <w:t>93.8742</w:t>
            </w:r>
          </w:p>
        </w:tc>
        <w:tc>
          <w:tcPr>
            <w:tcW w:type="dxa" w:w="1644"/>
            <w:vAlign w:val="center"/>
          </w:tcPr>
          <w:p>
            <w:pPr>
              <w:spacing w:after="40" w:before="40" w:line="250" w:lineRule="auto"/>
            </w:pPr>
            <w:r>
              <w:rPr>
                <w:sz w:val="16"/>
              </w:rPr>
              <w:t>8.3815</w:t>
            </w:r>
          </w:p>
        </w:tc>
      </w:tr>
    </w:tbl>
    <w:p>
      <w:pPr>
        <w:spacing w:line="250" w:lineRule="auto" w:after="100"/>
      </w:pPr>
      <w:r>
        <w:rPr>
          <w:sz w:val="17"/>
        </w:rPr>
        <w:t>全部统计来自当档30次标准GJO；样本标准差的分母为n−1。各档初始化使用按当前条件检查的公共候选，可行数量需结合这一设置解释。最低B为已知可行参考资源。</w:t>
      </w:r>
    </w:p>
    <w:p>
      <w:pPr>
        <w:keepNext/>
        <w:spacing w:before="100" w:after="40"/>
        <w:jc w:val="center"/>
      </w:pPr>
      <w:r>
        <w:drawing>
          <wp:inline xmlns:a="http://schemas.openxmlformats.org/drawingml/2006/main" xmlns:pic="http://schemas.openxmlformats.org/drawingml/2006/picture">
            <wp:extent cx="6120000" cy="2484966"/>
            <wp:docPr id="6" name="Picture 6"/>
            <wp:cNvGraphicFramePr>
              <a:graphicFrameLocks noChangeAspect="1"/>
            </wp:cNvGraphicFramePr>
            <a:graphic>
              <a:graphicData uri="http://schemas.openxmlformats.org/drawingml/2006/picture">
                <pic:pic>
                  <pic:nvPicPr>
                    <pic:cNvPr id="0" name="Figure_04_resource_response.png"/>
                    <pic:cNvPicPr/>
                  </pic:nvPicPr>
                  <pic:blipFill>
                    <a:blip r:embed="rId16"/>
                    <a:stretch>
                      <a:fillRect/>
                    </a:stretch>
                  </pic:blipFill>
                  <pic:spPr>
                    <a:xfrm>
                      <a:off x="0" y="0"/>
                      <a:ext cx="6120000" cy="2484966"/>
                    </a:xfrm>
                    <a:prstGeom prst="rect"/>
                  </pic:spPr>
                </pic:pic>
              </a:graphicData>
            </a:graphic>
          </wp:inline>
        </w:drawing>
      </w:r>
    </w:p>
    <w:p>
      <w:pPr>
        <w:pStyle w:val="Caption"/>
        <w:keepNext/>
        <w:spacing w:before="80" w:after="60"/>
      </w:pPr>
      <w:r>
        <w:rPr>
          <w:b/>
        </w:rPr>
        <w:t>图4 共同资源上限下的长期平均评分及相对养护增益</w:t>
      </w:r>
    </w:p>
    <w:p>
      <w:pPr>
        <w:spacing w:line="250" w:lineRule="auto" w:after="100"/>
      </w:pPr>
      <w:r>
        <w:rPr>
          <w:sz w:val="17"/>
        </w:rPr>
        <w:t>各点和误差线为当档30次GJO的均值与样本标准差，最好值来自同一组30次运行；ΔJ分别扣除同规划初始状态、同d的无养护基线。B为累计归一化养护资源上限，最低档B=0.215150。</w:t>
      </w:r>
    </w:p>
    <w:p>
      <w:pPr>
        <w:ind w:firstLine="420"/>
      </w:pPr>
      <w:r>
        <w:t>当B由0.215150增加至2.811565时，LOCF的平均J由85.0848分提高至92.2101分，增加7.1253分；Ridge由87.7321分提高至93.8523分，增加6.1202分。两套规划初始状态均表现为资源上限增加时长期平均状态改善。最低档向第二档增加资源带来的评分改善最大，其后相邻档位的单位资源评分改善总体较小，但并非严格单调。该结果是给定状态递推、管理目标及行动约束下的描述性变化，不据此确定现实中的最佳资源水平。</w:t>
      </w:r>
    </w:p>
    <w:p>
      <w:pPr>
        <w:ind w:firstLine="420"/>
      </w:pPr>
      <w:r>
        <w:t>图4同时给出相对各自无养护基线的ΔJ。绝对J反映长期评分水平，ΔJ反映在同规划初始状态、同年评分下降量下实施养护所增加的评分，两者回答不同问题。Ridge曲线的绝对位置较高，不能单独作为其养护安排优于LOCF的依据。B只表示累计等效全网络处理面积，图中单位资源对应的评分变化也不表示货币投入的回报。</w:t>
      </w:r>
    </w:p>
    <w:p>
      <w:pPr>
        <w:ind w:firstLine="420"/>
      </w:pPr>
      <w:r>
        <w:t>资源条件约束的是20年累计面积当量，而不是规定必须实施多少次行动。相同B下，养护不同面积的单元可以形成不同的总行动数；资源上限增加，也不要求方案把新增资源全部用完。因而，RQ3的主要判断依据是共同资源上限下长期评分及相对增益的变化，行动数量只作为养护配置的补充描述。</w:t>
      </w:r>
    </w:p>
    <w:p>
      <w:pPr>
        <w:pStyle w:val="Heading2"/>
      </w:pPr>
      <w:r>
        <w:t>3.4 代表性养护方案</w:t>
      </w:r>
    </w:p>
    <w:p>
      <w:pPr>
        <w:ind w:firstLine="420"/>
      </w:pPr>
      <w:r>
        <w:t>选取LOCF规划初始状态、B=1.513358下30次运行中J最高的可行方案，展示年度安排（图7）。该方案的长期平均评分为91.2365分，实际累计归一化养护资源为1.472294，低于资源上限；20年共实施111次养护，涉及58个检测单元，年均5.55次，任一年最多8次。单元养护次数及相邻行动间隔均满足既定限制。该方案用于呈现具体过程，不代替30次运行的组均值，也不表示数学意义上的最佳安排。</w:t>
      </w:r>
    </w:p>
    <w:p>
      <w:pPr>
        <w:ind w:firstLine="420"/>
      </w:pPr>
      <w:r>
        <w:t>图7(a)中，年度平均评分由2025年的90.8053分逐步提高至2034年的92.1619分，此后随养护安排变化而有所波动，至2044年为88.7871分。图7(c)显示，规划前期多次达到每年8个单元的行动上限，后期行动数量减少，年度均分仍受持续评分下降和历年行动配置共同影响。因而，长期平均评分较高并不要求各年度评分持续上升。</w:t>
      </w:r>
    </w:p>
    <w:p>
      <w:pPr>
        <w:keepNext/>
        <w:spacing w:before="100" w:after="40"/>
        <w:jc w:val="center"/>
      </w:pPr>
      <w:r>
        <w:drawing>
          <wp:inline xmlns:a="http://schemas.openxmlformats.org/drawingml/2006/main" xmlns:pic="http://schemas.openxmlformats.org/drawingml/2006/picture">
            <wp:extent cx="6120000" cy="4585820"/>
            <wp:docPr id="7" name="Picture 7"/>
            <wp:cNvGraphicFramePr>
              <a:graphicFrameLocks noChangeAspect="1"/>
            </wp:cNvGraphicFramePr>
            <a:graphic>
              <a:graphicData uri="http://schemas.openxmlformats.org/drawingml/2006/picture">
                <pic:pic>
                  <pic:nvPicPr>
                    <pic:cNvPr id="0" name="Figure_07_representative_schedule.png"/>
                    <pic:cNvPicPr/>
                  </pic:nvPicPr>
                  <pic:blipFill>
                    <a:blip r:embed="rId17"/>
                    <a:stretch>
                      <a:fillRect/>
                    </a:stretch>
                  </pic:blipFill>
                  <pic:spPr>
                    <a:xfrm>
                      <a:off x="0" y="0"/>
                      <a:ext cx="6120000" cy="4585820"/>
                    </a:xfrm>
                    <a:prstGeom prst="rect"/>
                  </pic:spPr>
                </pic:pic>
              </a:graphicData>
            </a:graphic>
          </wp:inline>
        </w:drawing>
      </w:r>
    </w:p>
    <w:p>
      <w:pPr>
        <w:pStyle w:val="Caption"/>
        <w:keepNext/>
        <w:spacing w:before="80" w:after="60"/>
      </w:pPr>
      <w:r>
        <w:rPr>
          <w:b/>
        </w:rPr>
        <w:t>图7 LOCF代表方案的年度状态与养护安排</w:t>
      </w:r>
    </w:p>
    <w:p>
      <w:pPr>
        <w:spacing w:line="250" w:lineRule="auto" w:after="100"/>
      </w:pPr>
      <w:r>
        <w:rPr>
          <w:sz w:val="17"/>
        </w:rPr>
        <w:t>B=1.513358、d=0.65。(b)中75分为1、2类与3类的评分边界，60分为3类与4类边界；管理条件是全部单元&gt;60且至少57/59个&gt;75。(c)年度养护单元数上限为8。</w:t>
      </w:r>
    </w:p>
    <w:p>
      <w:pPr>
        <w:ind w:firstLine="420"/>
      </w:pPr>
      <w:r>
        <w:t>图7(b)的年度最低评分在整个规划期均高于75分，全期最低值为76.67分，说明这一代表方案的年末评分均处于1、2类对应区间。75分是1、2类与3类的区间边界，60分是3类与4类的边界。上述最低评分结果是该方案的表现；模型管理条件仍为全部单元年末评分&gt;60，且每年至少57/59个单元评分&gt;75，并未要求所有单元在所有年份均高于75分。</w:t>
      </w:r>
    </w:p>
    <w:p>
      <w:pPr>
        <w:ind w:firstLine="420"/>
      </w:pPr>
      <w:r>
        <w:t>年度最低评分用于检查较低状态单元，年度均分用于描述全体评分水平，两条曲线不能相互替代。各年取得最低评分的单元可能不同，因此图中的最低评分曲线也不应解读为某一固定单元的连续变化。逐单元年末评分与行动年份均保留在详细年度状态及完整代表排程中，便于核查年度汇总背后的具体安排。</w:t>
      </w:r>
    </w:p>
    <w:p>
      <w:pPr>
        <w:pStyle w:val="Heading2"/>
      </w:pPr>
      <w:r>
        <w:t>3.5 年评分下降量敏感性</w:t>
      </w:r>
    </w:p>
    <w:p>
      <w:pPr>
        <w:ind w:firstLine="420"/>
      </w:pPr>
      <w:r>
        <w:t>保持LOCF规划初始状态、B=1.513358及其他规划条件相同，比较年评分下降量d为0.45、0.65和0.85分/年的结果（图8、表6）。各情景均汇总30次运行，其中d=0.65复用主实验结果。长期平均J依次为92.8642±0.3567、90.6162±0.5326和88.2388±0.5569分；2044年平均评分依次为91.8170、87.4287和82.7458分。在固定资源上限下，较大的年评分下降量对应较低的长期平均评分和末年评分。</w:t>
      </w:r>
    </w:p>
    <w:p>
      <w:pPr>
        <w:keepNext/>
        <w:spacing w:before="100" w:after="40"/>
        <w:jc w:val="center"/>
      </w:pPr>
      <w:r>
        <w:drawing>
          <wp:inline xmlns:a="http://schemas.openxmlformats.org/drawingml/2006/main" xmlns:pic="http://schemas.openxmlformats.org/drawingml/2006/picture">
            <wp:extent cx="6120000" cy="4496648"/>
            <wp:docPr id="8" name="Picture 8"/>
            <wp:cNvGraphicFramePr>
              <a:graphicFrameLocks noChangeAspect="1"/>
            </wp:cNvGraphicFramePr>
            <a:graphic>
              <a:graphicData uri="http://schemas.openxmlformats.org/drawingml/2006/picture">
                <pic:pic>
                  <pic:nvPicPr>
                    <pic:cNvPr id="0" name="Figure_08_deterioration.png"/>
                    <pic:cNvPicPr/>
                  </pic:nvPicPr>
                  <pic:blipFill>
                    <a:blip r:embed="rId18"/>
                    <a:stretch>
                      <a:fillRect/>
                    </a:stretch>
                  </pic:blipFill>
                  <pic:spPr>
                    <a:xfrm>
                      <a:off x="0" y="0"/>
                      <a:ext cx="6120000" cy="4496648"/>
                    </a:xfrm>
                    <a:prstGeom prst="rect"/>
                  </pic:spPr>
                </pic:pic>
              </a:graphicData>
            </a:graphic>
          </wp:inline>
        </w:drawing>
      </w:r>
    </w:p>
    <w:p>
      <w:pPr>
        <w:pStyle w:val="Caption"/>
        <w:keepNext/>
        <w:spacing w:before="80" w:after="60"/>
      </w:pPr>
      <w:r>
        <w:rPr>
          <w:b/>
        </w:rPr>
        <w:t>图8 年评分下降量敏感性</w:t>
      </w:r>
    </w:p>
    <w:p>
      <w:pPr>
        <w:spacing w:line="250" w:lineRule="auto" w:after="100"/>
      </w:pPr>
      <w:r>
        <w:rPr>
          <w:sz w:val="17"/>
        </w:rPr>
        <w:t>LOCF、固定B=1.513358；d=0.45、0.65、0.85分/年，各30次。(a)(b)为组统计及最好值，(c)(d)为各d的最好可行代表方案；ΔJ采用各自同d无养护基线。</w:t>
      </w:r>
    </w:p>
    <w:p>
      <w:pPr>
        <w:pStyle w:val="Caption"/>
        <w:keepNext/>
        <w:spacing w:before="80" w:after="60"/>
      </w:pPr>
      <w:r>
        <w:rPr>
          <w:b/>
        </w:rPr>
        <w:t>表6 代表资源档规划初始状态比较、年评分下降量敏感性及配对排程</w:t>
      </w:r>
    </w:p>
    <w:p>
      <w:pPr>
        <w:spacing w:line="250" w:lineRule="auto" w:after="100"/>
      </w:pPr>
      <w:r>
        <w:rPr>
          <w:sz w:val="17"/>
        </w:rPr>
        <w:t>A. 规划初始状态比较：B=1.513358、d=0.65，每组30次。</w:t>
      </w:r>
    </w:p>
    <w:tbl>
      <w:tblPr>
        <w:tblStyle w:val="TableGrid"/>
        <w:tblW w:type="auto" w:w="0"/>
        <w:tblLayout w:type="fixed"/>
        <w:tblLook w:firstColumn="1" w:firstRow="1" w:lastColumn="0" w:lastRow="0" w:noHBand="0" w:noVBand="1" w:val="04A0"/>
      </w:tblPr>
      <w:tblGrid>
        <w:gridCol w:w="1247"/>
        <w:gridCol w:w="2778"/>
        <w:gridCol w:w="1871"/>
        <w:gridCol w:w="2098"/>
        <w:gridCol w:w="1644"/>
      </w:tblGrid>
      <w:tr>
        <w:trPr>
          <w:tblHeader/>
          <w:cantSplit/>
        </w:trPr>
        <w:tc>
          <w:tcPr>
            <w:tcW w:type="dxa" w:w="1247"/>
            <w:shd w:fill="F0F2F4"/>
            <w:vAlign w:val="center"/>
          </w:tcPr>
          <w:p>
            <w:pPr>
              <w:spacing w:after="40" w:before="40" w:line="250" w:lineRule="auto"/>
            </w:pPr>
            <w:r>
              <w:rPr>
                <w:sz w:val="17"/>
              </w:rPr>
              <w:t>方法</w:t>
            </w:r>
          </w:p>
        </w:tc>
        <w:tc>
          <w:tcPr>
            <w:tcW w:type="dxa" w:w="2778"/>
            <w:shd w:fill="F0F2F4"/>
            <w:vAlign w:val="center"/>
          </w:tcPr>
          <w:p>
            <w:pPr>
              <w:spacing w:after="40" w:before="40" w:line="250" w:lineRule="auto"/>
            </w:pPr>
            <w:r>
              <w:rPr>
                <w:sz w:val="17"/>
              </w:rPr>
              <w:t>J均值±样本SD</w:t>
            </w:r>
          </w:p>
        </w:tc>
        <w:tc>
          <w:tcPr>
            <w:tcW w:type="dxa" w:w="1871"/>
            <w:shd w:fill="F0F2F4"/>
            <w:vAlign w:val="center"/>
          </w:tcPr>
          <w:p>
            <w:pPr>
              <w:spacing w:after="40" w:before="40" w:line="250" w:lineRule="auto"/>
            </w:pPr>
            <w:r>
              <w:rPr>
                <w:sz w:val="17"/>
              </w:rPr>
              <w:t>平均ΔJ</w:t>
            </w:r>
          </w:p>
        </w:tc>
        <w:tc>
          <w:tcPr>
            <w:tcW w:type="dxa" w:w="2098"/>
            <w:shd w:fill="F0F2F4"/>
            <w:vAlign w:val="center"/>
          </w:tcPr>
          <w:p>
            <w:pPr>
              <w:spacing w:after="40" w:before="40" w:line="250" w:lineRule="auto"/>
            </w:pPr>
            <w:r>
              <w:rPr>
                <w:sz w:val="17"/>
              </w:rPr>
              <w:t>2044平均评分</w:t>
            </w:r>
          </w:p>
        </w:tc>
        <w:tc>
          <w:tcPr>
            <w:tcW w:type="dxa" w:w="1644"/>
            <w:shd w:fill="F0F2F4"/>
            <w:vAlign w:val="center"/>
          </w:tcPr>
          <w:p>
            <w:pPr>
              <w:spacing w:after="40" w:before="40" w:line="250" w:lineRule="auto"/>
            </w:pPr>
            <w:r>
              <w:rPr>
                <w:sz w:val="17"/>
              </w:rPr>
              <w:t>平均行动数</w:t>
            </w:r>
          </w:p>
        </w:tc>
      </w:tr>
      <w:tr>
        <w:trPr>
          <w:cantSplit/>
        </w:trPr>
        <w:tc>
          <w:tcPr>
            <w:tcW w:type="dxa" w:w="1247"/>
            <w:vAlign w:val="center"/>
          </w:tcPr>
          <w:p>
            <w:pPr>
              <w:spacing w:after="40" w:before="40" w:line="250" w:lineRule="auto"/>
            </w:pPr>
            <w:r>
              <w:rPr>
                <w:sz w:val="17"/>
              </w:rPr>
              <w:t>LOCF</w:t>
            </w:r>
          </w:p>
        </w:tc>
        <w:tc>
          <w:tcPr>
            <w:tcW w:type="dxa" w:w="2778"/>
            <w:vAlign w:val="center"/>
          </w:tcPr>
          <w:p>
            <w:pPr>
              <w:spacing w:after="40" w:before="40" w:line="250" w:lineRule="auto"/>
            </w:pPr>
            <w:r>
              <w:rPr>
                <w:sz w:val="17"/>
              </w:rPr>
              <w:t>90.6162±0.5326</w:t>
            </w:r>
          </w:p>
        </w:tc>
        <w:tc>
          <w:tcPr>
            <w:tcW w:type="dxa" w:w="1871"/>
            <w:vAlign w:val="center"/>
          </w:tcPr>
          <w:p>
            <w:pPr>
              <w:spacing w:after="40" w:before="40" w:line="250" w:lineRule="auto"/>
            </w:pPr>
            <w:r>
              <w:rPr>
                <w:sz w:val="17"/>
              </w:rPr>
              <w:t>6.7995</w:t>
            </w:r>
          </w:p>
        </w:tc>
        <w:tc>
          <w:tcPr>
            <w:tcW w:type="dxa" w:w="2098"/>
            <w:vAlign w:val="center"/>
          </w:tcPr>
          <w:p>
            <w:pPr>
              <w:spacing w:after="40" w:before="40" w:line="250" w:lineRule="auto"/>
            </w:pPr>
            <w:r>
              <w:rPr>
                <w:sz w:val="17"/>
              </w:rPr>
              <w:t>87.4287</w:t>
            </w:r>
          </w:p>
        </w:tc>
        <w:tc>
          <w:tcPr>
            <w:tcW w:type="dxa" w:w="1644"/>
            <w:vAlign w:val="center"/>
          </w:tcPr>
          <w:p>
            <w:pPr>
              <w:spacing w:after="40" w:before="40" w:line="250" w:lineRule="auto"/>
            </w:pPr>
            <w:r>
              <w:rPr>
                <w:sz w:val="17"/>
              </w:rPr>
              <w:t>97.13</w:t>
            </w:r>
          </w:p>
        </w:tc>
      </w:tr>
      <w:tr>
        <w:trPr>
          <w:cantSplit/>
        </w:trPr>
        <w:tc>
          <w:tcPr>
            <w:tcW w:type="dxa" w:w="1247"/>
            <w:vAlign w:val="center"/>
          </w:tcPr>
          <w:p>
            <w:pPr>
              <w:spacing w:after="40" w:before="40" w:line="250" w:lineRule="auto"/>
            </w:pPr>
            <w:r>
              <w:rPr>
                <w:sz w:val="17"/>
              </w:rPr>
              <w:t>Ridge</w:t>
            </w:r>
          </w:p>
        </w:tc>
        <w:tc>
          <w:tcPr>
            <w:tcW w:type="dxa" w:w="2778"/>
            <w:vAlign w:val="center"/>
          </w:tcPr>
          <w:p>
            <w:pPr>
              <w:spacing w:after="40" w:before="40" w:line="250" w:lineRule="auto"/>
            </w:pPr>
            <w:r>
              <w:rPr>
                <w:sz w:val="17"/>
              </w:rPr>
              <w:t>92.5847±0.1579</w:t>
            </w:r>
          </w:p>
        </w:tc>
        <w:tc>
          <w:tcPr>
            <w:tcW w:type="dxa" w:w="1871"/>
            <w:vAlign w:val="center"/>
          </w:tcPr>
          <w:p>
            <w:pPr>
              <w:spacing w:after="40" w:before="40" w:line="250" w:lineRule="auto"/>
            </w:pPr>
            <w:r>
              <w:rPr>
                <w:sz w:val="17"/>
              </w:rPr>
              <w:t>7.1139</w:t>
            </w:r>
          </w:p>
        </w:tc>
        <w:tc>
          <w:tcPr>
            <w:tcW w:type="dxa" w:w="2098"/>
            <w:vAlign w:val="center"/>
          </w:tcPr>
          <w:p>
            <w:pPr>
              <w:spacing w:after="40" w:before="40" w:line="250" w:lineRule="auto"/>
            </w:pPr>
            <w:r>
              <w:rPr>
                <w:sz w:val="17"/>
              </w:rPr>
              <w:t>89.9310</w:t>
            </w:r>
          </w:p>
        </w:tc>
        <w:tc>
          <w:tcPr>
            <w:tcW w:type="dxa" w:w="1644"/>
            <w:vAlign w:val="center"/>
          </w:tcPr>
          <w:p>
            <w:pPr>
              <w:spacing w:after="40" w:before="40" w:line="250" w:lineRule="auto"/>
            </w:pPr>
            <w:r>
              <w:rPr>
                <w:sz w:val="17"/>
              </w:rPr>
              <w:t>107.43</w:t>
            </w:r>
          </w:p>
        </w:tc>
      </w:tr>
    </w:tbl>
    <w:p>
      <w:pPr>
        <w:spacing w:line="250" w:lineRule="auto" w:after="100"/>
      </w:pPr>
      <w:r>
        <w:rPr>
          <w:sz w:val="17"/>
        </w:rPr>
        <w:t>B. 年评分下降量敏感性：LOCF、同一B，每组30次；d=0.65复用A。</w:t>
      </w:r>
    </w:p>
    <w:tbl>
      <w:tblPr>
        <w:tblStyle w:val="TableGrid"/>
        <w:tblW w:type="auto" w:w="0"/>
        <w:tblLayout w:type="fixed"/>
        <w:tblLook w:firstColumn="1" w:firstRow="1" w:lastColumn="0" w:lastRow="0" w:noHBand="0" w:noVBand="1" w:val="04A0"/>
      </w:tblPr>
      <w:tblGrid>
        <w:gridCol w:w="1247"/>
        <w:gridCol w:w="2778"/>
        <w:gridCol w:w="1871"/>
        <w:gridCol w:w="2098"/>
        <w:gridCol w:w="1644"/>
      </w:tblGrid>
      <w:tr>
        <w:trPr>
          <w:tblHeader/>
          <w:cantSplit/>
        </w:trPr>
        <w:tc>
          <w:tcPr>
            <w:tcW w:type="dxa" w:w="1247"/>
            <w:shd w:fill="F0F2F4"/>
            <w:vAlign w:val="center"/>
          </w:tcPr>
          <w:p>
            <w:pPr>
              <w:spacing w:after="40" w:before="40" w:line="250" w:lineRule="auto"/>
            </w:pPr>
            <w:r>
              <w:rPr>
                <w:sz w:val="17"/>
              </w:rPr>
              <w:t>d/(分·年⁻¹)</w:t>
            </w:r>
          </w:p>
        </w:tc>
        <w:tc>
          <w:tcPr>
            <w:tcW w:type="dxa" w:w="2778"/>
            <w:shd w:fill="F0F2F4"/>
            <w:vAlign w:val="center"/>
          </w:tcPr>
          <w:p>
            <w:pPr>
              <w:spacing w:after="40" w:before="40" w:line="250" w:lineRule="auto"/>
            </w:pPr>
            <w:r>
              <w:rPr>
                <w:sz w:val="17"/>
              </w:rPr>
              <w:t>J均值±样本SD</w:t>
            </w:r>
          </w:p>
        </w:tc>
        <w:tc>
          <w:tcPr>
            <w:tcW w:type="dxa" w:w="1871"/>
            <w:shd w:fill="F0F2F4"/>
            <w:vAlign w:val="center"/>
          </w:tcPr>
          <w:p>
            <w:pPr>
              <w:spacing w:after="40" w:before="40" w:line="250" w:lineRule="auto"/>
            </w:pPr>
            <w:r>
              <w:rPr>
                <w:sz w:val="17"/>
              </w:rPr>
              <w:t>平均ΔJ</w:t>
            </w:r>
          </w:p>
        </w:tc>
        <w:tc>
          <w:tcPr>
            <w:tcW w:type="dxa" w:w="2098"/>
            <w:shd w:fill="F0F2F4"/>
            <w:vAlign w:val="center"/>
          </w:tcPr>
          <w:p>
            <w:pPr>
              <w:spacing w:after="40" w:before="40" w:line="250" w:lineRule="auto"/>
            </w:pPr>
            <w:r>
              <w:rPr>
                <w:sz w:val="17"/>
              </w:rPr>
              <w:t>2044平均评分</w:t>
            </w:r>
          </w:p>
        </w:tc>
        <w:tc>
          <w:tcPr>
            <w:tcW w:type="dxa" w:w="1644"/>
            <w:shd w:fill="F0F2F4"/>
            <w:vAlign w:val="center"/>
          </w:tcPr>
          <w:p>
            <w:pPr>
              <w:spacing w:after="40" w:before="40" w:line="250" w:lineRule="auto"/>
            </w:pPr>
            <w:r>
              <w:rPr>
                <w:sz w:val="17"/>
              </w:rPr>
              <w:t>平均行动数</w:t>
            </w:r>
          </w:p>
        </w:tc>
      </w:tr>
      <w:tr>
        <w:trPr>
          <w:cantSplit/>
        </w:trPr>
        <w:tc>
          <w:tcPr>
            <w:tcW w:type="dxa" w:w="1247"/>
            <w:vAlign w:val="center"/>
          </w:tcPr>
          <w:p>
            <w:pPr>
              <w:spacing w:after="40" w:before="40" w:line="250" w:lineRule="auto"/>
            </w:pPr>
            <w:r>
              <w:rPr>
                <w:sz w:val="17"/>
              </w:rPr>
              <w:t>0.45</w:t>
            </w:r>
          </w:p>
        </w:tc>
        <w:tc>
          <w:tcPr>
            <w:tcW w:type="dxa" w:w="2778"/>
            <w:vAlign w:val="center"/>
          </w:tcPr>
          <w:p>
            <w:pPr>
              <w:spacing w:after="40" w:before="40" w:line="250" w:lineRule="auto"/>
            </w:pPr>
            <w:r>
              <w:rPr>
                <w:sz w:val="17"/>
              </w:rPr>
              <w:t>92.8642±0.3567</w:t>
            </w:r>
          </w:p>
        </w:tc>
        <w:tc>
          <w:tcPr>
            <w:tcW w:type="dxa" w:w="1871"/>
            <w:vAlign w:val="center"/>
          </w:tcPr>
          <w:p>
            <w:pPr>
              <w:spacing w:after="40" w:before="40" w:line="250" w:lineRule="auto"/>
            </w:pPr>
            <w:r>
              <w:rPr>
                <w:sz w:val="17"/>
              </w:rPr>
              <w:t>6.9475</w:t>
            </w:r>
          </w:p>
        </w:tc>
        <w:tc>
          <w:tcPr>
            <w:tcW w:type="dxa" w:w="2098"/>
            <w:vAlign w:val="center"/>
          </w:tcPr>
          <w:p>
            <w:pPr>
              <w:spacing w:after="40" w:before="40" w:line="250" w:lineRule="auto"/>
            </w:pPr>
            <w:r>
              <w:rPr>
                <w:sz w:val="17"/>
              </w:rPr>
              <w:t>91.8170</w:t>
            </w:r>
          </w:p>
        </w:tc>
        <w:tc>
          <w:tcPr>
            <w:tcW w:type="dxa" w:w="1644"/>
            <w:vAlign w:val="center"/>
          </w:tcPr>
          <w:p>
            <w:pPr>
              <w:spacing w:after="40" w:before="40" w:line="250" w:lineRule="auto"/>
            </w:pPr>
            <w:r>
              <w:rPr>
                <w:sz w:val="17"/>
              </w:rPr>
              <w:t>103.60</w:t>
            </w:r>
          </w:p>
        </w:tc>
      </w:tr>
      <w:tr>
        <w:trPr>
          <w:cantSplit/>
        </w:trPr>
        <w:tc>
          <w:tcPr>
            <w:tcW w:type="dxa" w:w="1247"/>
            <w:vAlign w:val="center"/>
          </w:tcPr>
          <w:p>
            <w:pPr>
              <w:spacing w:after="40" w:before="40" w:line="250" w:lineRule="auto"/>
            </w:pPr>
            <w:r>
              <w:rPr>
                <w:sz w:val="17"/>
              </w:rPr>
              <w:t>0.65</w:t>
            </w:r>
          </w:p>
        </w:tc>
        <w:tc>
          <w:tcPr>
            <w:tcW w:type="dxa" w:w="2778"/>
            <w:vAlign w:val="center"/>
          </w:tcPr>
          <w:p>
            <w:pPr>
              <w:spacing w:after="40" w:before="40" w:line="250" w:lineRule="auto"/>
            </w:pPr>
            <w:r>
              <w:rPr>
                <w:sz w:val="17"/>
              </w:rPr>
              <w:t>90.6162±0.5326</w:t>
            </w:r>
          </w:p>
        </w:tc>
        <w:tc>
          <w:tcPr>
            <w:tcW w:type="dxa" w:w="1871"/>
            <w:vAlign w:val="center"/>
          </w:tcPr>
          <w:p>
            <w:pPr>
              <w:spacing w:after="40" w:before="40" w:line="250" w:lineRule="auto"/>
            </w:pPr>
            <w:r>
              <w:rPr>
                <w:sz w:val="17"/>
              </w:rPr>
              <w:t>6.7995</w:t>
            </w:r>
          </w:p>
        </w:tc>
        <w:tc>
          <w:tcPr>
            <w:tcW w:type="dxa" w:w="2098"/>
            <w:vAlign w:val="center"/>
          </w:tcPr>
          <w:p>
            <w:pPr>
              <w:spacing w:after="40" w:before="40" w:line="250" w:lineRule="auto"/>
            </w:pPr>
            <w:r>
              <w:rPr>
                <w:sz w:val="17"/>
              </w:rPr>
              <w:t>87.4287</w:t>
            </w:r>
          </w:p>
        </w:tc>
        <w:tc>
          <w:tcPr>
            <w:tcW w:type="dxa" w:w="1644"/>
            <w:vAlign w:val="center"/>
          </w:tcPr>
          <w:p>
            <w:pPr>
              <w:spacing w:after="40" w:before="40" w:line="250" w:lineRule="auto"/>
            </w:pPr>
            <w:r>
              <w:rPr>
                <w:sz w:val="17"/>
              </w:rPr>
              <w:t>97.13</w:t>
            </w:r>
          </w:p>
        </w:tc>
      </w:tr>
      <w:tr>
        <w:trPr>
          <w:cantSplit/>
        </w:trPr>
        <w:tc>
          <w:tcPr>
            <w:tcW w:type="dxa" w:w="1247"/>
            <w:vAlign w:val="center"/>
          </w:tcPr>
          <w:p>
            <w:pPr>
              <w:spacing w:after="40" w:before="40" w:line="250" w:lineRule="auto"/>
            </w:pPr>
            <w:r>
              <w:rPr>
                <w:sz w:val="17"/>
              </w:rPr>
              <w:t>0.85</w:t>
            </w:r>
          </w:p>
        </w:tc>
        <w:tc>
          <w:tcPr>
            <w:tcW w:type="dxa" w:w="2778"/>
            <w:vAlign w:val="center"/>
          </w:tcPr>
          <w:p>
            <w:pPr>
              <w:spacing w:after="40" w:before="40" w:line="250" w:lineRule="auto"/>
            </w:pPr>
            <w:r>
              <w:rPr>
                <w:sz w:val="17"/>
              </w:rPr>
              <w:t>88.2388±0.5569</w:t>
            </w:r>
          </w:p>
        </w:tc>
        <w:tc>
          <w:tcPr>
            <w:tcW w:type="dxa" w:w="1871"/>
            <w:vAlign w:val="center"/>
          </w:tcPr>
          <w:p>
            <w:pPr>
              <w:spacing w:after="40" w:before="40" w:line="250" w:lineRule="auto"/>
            </w:pPr>
            <w:r>
              <w:rPr>
                <w:sz w:val="17"/>
              </w:rPr>
              <w:t>6.5221</w:t>
            </w:r>
          </w:p>
        </w:tc>
        <w:tc>
          <w:tcPr>
            <w:tcW w:type="dxa" w:w="2098"/>
            <w:vAlign w:val="center"/>
          </w:tcPr>
          <w:p>
            <w:pPr>
              <w:spacing w:after="40" w:before="40" w:line="250" w:lineRule="auto"/>
            </w:pPr>
            <w:r>
              <w:rPr>
                <w:sz w:val="17"/>
              </w:rPr>
              <w:t>82.7458</w:t>
            </w:r>
          </w:p>
        </w:tc>
        <w:tc>
          <w:tcPr>
            <w:tcW w:type="dxa" w:w="1644"/>
            <w:vAlign w:val="center"/>
          </w:tcPr>
          <w:p>
            <w:pPr>
              <w:spacing w:after="40" w:before="40" w:line="250" w:lineRule="auto"/>
            </w:pPr>
            <w:r>
              <w:rPr>
                <w:sz w:val="17"/>
              </w:rPr>
              <w:t>89.77</w:t>
            </w:r>
          </w:p>
        </w:tc>
      </w:tr>
    </w:tbl>
    <w:p>
      <w:pPr>
        <w:spacing w:line="250" w:lineRule="auto" w:after="100"/>
      </w:pPr>
      <w:r>
        <w:rPr>
          <w:sz w:val="17"/>
        </w:rPr>
        <w:t>C. 同seed配对排程：正文保留代表B的一行，完整七档统计见补充材料。</w:t>
      </w:r>
    </w:p>
    <w:tbl>
      <w:tblPr>
        <w:tblStyle w:val="TableGrid"/>
        <w:tblW w:type="auto" w:w="0"/>
        <w:tblLayout w:type="fixed"/>
        <w:tblLook w:firstColumn="1" w:firstRow="1" w:lastColumn="0" w:lastRow="0" w:noHBand="0" w:noVBand="1" w:val="04A0"/>
      </w:tblPr>
      <w:tblGrid>
        <w:gridCol w:w="1361"/>
        <w:gridCol w:w="1984"/>
        <w:gridCol w:w="2268"/>
        <w:gridCol w:w="1984"/>
        <w:gridCol w:w="2041"/>
      </w:tblGrid>
      <w:tr>
        <w:trPr>
          <w:tblHeader/>
          <w:cantSplit/>
        </w:trPr>
        <w:tc>
          <w:tcPr>
            <w:tcW w:type="dxa" w:w="1361"/>
            <w:shd w:fill="F0F2F4"/>
            <w:vAlign w:val="center"/>
          </w:tcPr>
          <w:p>
            <w:pPr>
              <w:spacing w:after="40" w:before="40" w:line="250" w:lineRule="auto"/>
            </w:pPr>
            <w:r>
              <w:rPr>
                <w:sz w:val="16"/>
              </w:rPr>
              <w:t>B/配对数</w:t>
            </w:r>
          </w:p>
        </w:tc>
        <w:tc>
          <w:tcPr>
            <w:tcW w:type="dxa" w:w="1984"/>
            <w:shd w:fill="F0F2F4"/>
            <w:vAlign w:val="center"/>
          </w:tcPr>
          <w:p>
            <w:pPr>
              <w:spacing w:after="40" w:before="40" w:line="250" w:lineRule="auto"/>
            </w:pPr>
            <w:r>
              <w:rPr>
                <w:sz w:val="16"/>
              </w:rPr>
              <w:t>Jaccard</w:t>
              <w:br/>
              <w:t>均值±样本SD</w:t>
            </w:r>
          </w:p>
        </w:tc>
        <w:tc>
          <w:tcPr>
            <w:tcW w:type="dxa" w:w="2268"/>
            <w:shd w:fill="F0F2F4"/>
            <w:vAlign w:val="center"/>
          </w:tcPr>
          <w:p>
            <w:pPr>
              <w:spacing w:after="40" w:before="40" w:line="250" w:lineRule="auto"/>
            </w:pPr>
            <w:r>
              <w:rPr>
                <w:sz w:val="16"/>
              </w:rPr>
              <w:t>Jaccard</w:t>
              <w:br/>
              <w:t>中位数[Q25,Q75]</w:t>
            </w:r>
          </w:p>
        </w:tc>
        <w:tc>
          <w:tcPr>
            <w:tcW w:type="dxa" w:w="1984"/>
            <w:shd w:fill="F0F2F4"/>
            <w:vAlign w:val="center"/>
          </w:tcPr>
          <w:p>
            <w:pPr>
              <w:spacing w:after="40" w:before="40" w:line="250" w:lineRule="auto"/>
            </w:pPr>
            <w:r>
              <w:rPr>
                <w:sz w:val="16"/>
              </w:rPr>
              <w:t>首次养护年MAE</w:t>
              <w:br/>
              <w:t>均值/中位数(年)</w:t>
            </w:r>
          </w:p>
        </w:tc>
        <w:tc>
          <w:tcPr>
            <w:tcW w:type="dxa" w:w="2041"/>
            <w:shd w:fill="F0F2F4"/>
            <w:vAlign w:val="center"/>
          </w:tcPr>
          <w:p>
            <w:pPr>
              <w:spacing w:after="40" w:before="40" w:line="250" w:lineRule="auto"/>
            </w:pPr>
            <w:r>
              <w:rPr>
                <w:sz w:val="16"/>
              </w:rPr>
              <w:t>首次养护年MAE</w:t>
              <w:br/>
              <w:t>[Q25,Q75](年)</w:t>
            </w:r>
          </w:p>
        </w:tc>
      </w:tr>
      <w:tr>
        <w:trPr>
          <w:cantSplit/>
        </w:trPr>
        <w:tc>
          <w:tcPr>
            <w:tcW w:type="dxa" w:w="1361"/>
            <w:vAlign w:val="center"/>
          </w:tcPr>
          <w:p>
            <w:pPr>
              <w:spacing w:after="40" w:before="40" w:line="250" w:lineRule="auto"/>
            </w:pPr>
            <w:r>
              <w:rPr>
                <w:sz w:val="16"/>
              </w:rPr>
              <w:t>1.513358</w:t>
              <w:br/>
              <w:t>30对</w:t>
            </w:r>
          </w:p>
        </w:tc>
        <w:tc>
          <w:tcPr>
            <w:tcW w:type="dxa" w:w="1984"/>
            <w:vAlign w:val="center"/>
          </w:tcPr>
          <w:p>
            <w:pPr>
              <w:spacing w:after="40" w:before="40" w:line="250" w:lineRule="auto"/>
            </w:pPr>
            <w:r>
              <w:rPr>
                <w:sz w:val="16"/>
              </w:rPr>
              <w:t>0.0687±0.0228</w:t>
            </w:r>
          </w:p>
        </w:tc>
        <w:tc>
          <w:tcPr>
            <w:tcW w:type="dxa" w:w="2268"/>
            <w:vAlign w:val="center"/>
          </w:tcPr>
          <w:p>
            <w:pPr>
              <w:spacing w:after="40" w:before="40" w:line="250" w:lineRule="auto"/>
            </w:pPr>
            <w:r>
              <w:rPr>
                <w:sz w:val="16"/>
              </w:rPr>
              <w:t>0.0700</w:t>
              <w:br/>
              <w:t>[0.0534,0.0794]</w:t>
            </w:r>
          </w:p>
        </w:tc>
        <w:tc>
          <w:tcPr>
            <w:tcW w:type="dxa" w:w="1984"/>
            <w:vAlign w:val="center"/>
          </w:tcPr>
          <w:p>
            <w:pPr>
              <w:spacing w:after="40" w:before="40" w:line="250" w:lineRule="auto"/>
            </w:pPr>
            <w:r>
              <w:rPr>
                <w:sz w:val="16"/>
              </w:rPr>
              <w:t>2.9224 / 2.86</w:t>
            </w:r>
          </w:p>
        </w:tc>
        <w:tc>
          <w:tcPr>
            <w:tcW w:type="dxa" w:w="2041"/>
            <w:vAlign w:val="center"/>
          </w:tcPr>
          <w:p>
            <w:pPr>
              <w:spacing w:after="40" w:before="40" w:line="250" w:lineRule="auto"/>
            </w:pPr>
            <w:r>
              <w:rPr>
                <w:sz w:val="16"/>
              </w:rPr>
              <w:t>[2.59,3.18]</w:t>
            </w:r>
          </w:p>
        </w:tc>
      </w:tr>
    </w:tbl>
    <w:p>
      <w:pPr>
        <w:spacing w:line="250" w:lineRule="auto" w:after="100"/>
      </w:pPr>
      <w:r>
        <w:rPr>
          <w:sz w:val="17"/>
        </w:rPr>
        <w:t>C中首次养护年MAE先在每对双方均养护单元内计算，再对30对汇总；未养护者不计为年份0。各d的ΔJ均减去同规划初始状态、同d的无养护基线。</w:t>
      </w:r>
    </w:p>
    <w:p>
      <w:pPr>
        <w:ind w:firstLine="420"/>
      </w:pPr>
      <w:r>
        <w:t>三种情景的平均ΔJ分别为6.9475、6.7995和6.5221分，均以同一d下的无养护递推作为比较基线，不能混用参考d的基线。平均行动次数分别为103.60、97.13和89.77次。这些行动数量来自不同d下优化器对养护对象与年份的重新分配；面积占比不同的单元对应不同资源需求，因此次数不能单独代表养护需求大小，亦不能据此推断评分下降更快时所需养护更少。结果说明，长期规划依赖年评分下降量这一情景假设，应将评分水平与资源、行动配置一并解释。</w:t>
      </w:r>
    </w:p>
    <w:p>
      <w:pPr>
        <w:pStyle w:val="Heading1"/>
      </w:pPr>
      <w:r>
        <w:t>4 讨论</w:t>
      </w:r>
    </w:p>
    <w:p>
      <w:pPr>
        <w:pStyle w:val="Heading2"/>
      </w:pPr>
      <w:r>
        <w:t>4.1 低频检测条件下的状态预测</w:t>
      </w:r>
    </w:p>
    <w:p>
      <w:pPr>
        <w:ind w:firstLine="420"/>
      </w:pPr>
      <w:r>
        <w:t>低频检测带来的困难不仅是样本较少，还包括规划年份与最近观测年份不一致。距离最近一次实测越久，以旧评分代表当前状态就越需要额外假设。本数据在2024年只有少数实测记录，多数单元需要估计规划初始状态，因而不能把后续规划理解为从完整、已知的桥梁群现状出发。将实测值与估计值明确区分，可以使管理者了解哪些单元的规划起点仍缺乏同期检测支持，也为补充检测的对象选择提供依据。</w:t>
      </w:r>
    </w:p>
    <w:p>
      <w:pPr>
        <w:ind w:firstLine="420"/>
      </w:pPr>
      <w:r>
        <w:t>Ridge在历史时间外测试中的整体误差较低，支持将其作为本研究的候选规划初始状态构建方法，但这一结果不能证明53个缺测单元的2024年预测值就是实际评分。历史测试检验的是较早记录对后续真实检测的预测能力；缺测年份没有同期真值，无法直接计算相同的误差。检测间隔、评分分布以及此前未记录的养护行动都可能影响这种转用。历史验证使用了实际发生的下一次检测间隔，未来应用则需预先指定目标年份；若实际检测安排改变，还应重新确认预测条件是否一致。LOCF因此仍有比较价值，它展示了延续最近实测记录这一较简单假设下的规划结果。两套规划初始状态应作为基于同一历史资料的不同估计，而不应将其中一套作为另一套的实测参照。后续若获得同期复检记录，可直接评价缺测单元的规划初始状态误差，并检验误差是否集中于特定状态或检测间隔。</w:t>
      </w:r>
    </w:p>
    <w:p>
      <w:pPr>
        <w:pStyle w:val="Heading2"/>
      </w:pPr>
      <w:r>
        <w:t>4.2 规划初始状态对养护时机的影响</w:t>
      </w:r>
    </w:p>
    <w:p>
      <w:pPr>
        <w:ind w:firstLine="420"/>
      </w:pPr>
      <w:r>
        <w:t>初始评分会改变单元接近管理阈值的时间，也会改变不同单元之间的养护优先次序。在年度行动数量和累计资源均受限时，一处单元提前实施养护，可能使其他单元推迟，进而改变后续年份的可行安排。因此，规划初始状态差异即使没有使长期平均评分大幅变化，也可能对应相当不同的具体排程。每档30组相同seed的比较比两个最好代表方案更能反映这种现象；但相同seed仅使随机数设置可比，不能使不同规划初始状态下的整个搜索过程保持一致。优化问题具有离散、非凸和有限随机搜索特征，不能将全部排程差异完全归因于规划初始状态。</w:t>
      </w:r>
    </w:p>
    <w:p>
      <w:pPr>
        <w:ind w:firstLine="420"/>
      </w:pPr>
      <w:r>
        <w:t>绝对长期平均评分与相对无养护基线的改善应共同解释。较高的初始评分能够使无养护基线本身较高，故绝对评分较高并不等于行动带来的增益必然较大。扣除各自基线后，比较更接近于给定规划初始状态和下降情景下的养护效果，但仍不是不同规划初始状态预测精度的检验。最高资源档的排程趋同也具有特定条件：共同高状态候选参与初始化，允许的行动更充分，有限搜索又可能保留相似方案。因而该结果说明当前计算中差异缩小，不能单独解释为资源充足后规划初始状态影响消失。</w:t>
      </w:r>
    </w:p>
    <w:p>
      <w:pPr>
        <w:pStyle w:val="Heading2"/>
      </w:pPr>
      <w:r>
        <w:t>4.3 资源水平与长期养护效果</w:t>
      </w:r>
    </w:p>
    <w:p>
      <w:pPr>
        <w:ind w:firstLine="420"/>
      </w:pPr>
      <w:r>
        <w:t>共同资源轴使两套规划初始状态可以在相同绝对上限下比较。最低档是最好已知最低可行参考资源，已有必要行动，并非不实施养护。在此基础上增加资源，可以把行动安排到更多单元或更有利的年份，从而改善长期平均评分。首个增档改善较多、后续改善总体较小的现象，与基础管理条件满足后继续改善状态的空间变化相一致；但各档结果还受到离散行动、评分上限和有限搜索影响，不能据此认定单位资源改善严格递减，也不能识别现实中应采用的资源上限。</w:t>
      </w:r>
    </w:p>
    <w:p>
      <w:pPr>
        <w:ind w:firstLine="420"/>
      </w:pPr>
      <w:r>
        <w:t>面积占比用于表示相对养护工作量，未描述具体病害修复的工程量或价格，不能解释为真实费用。目标函数对检测单元等权，而单次资源与面积成正比，理论上会影响不同面积单元获得行动的机会。在代表资源水平下，面积与养护次数的Spearman相关约为−0.0723和−0.0890，未观察到明显的小面积单元单调优先现象；不同资源档的完整诊断见补充材料。这一结果不能取消目标权重与资源计量方式不同所带来的局限。年评分下降量敏感性还说明，同一资源上限能够维持的状态依赖下降情景，行动总数不能脱离养护对象和实施年份单独解释为实际需求。</w:t>
      </w:r>
    </w:p>
    <w:p>
      <w:pPr>
        <w:pStyle w:val="Heading2"/>
      </w:pPr>
      <w:r>
        <w:t>4.4 方法适用范围与局限</w:t>
      </w:r>
    </w:p>
    <w:p>
      <w:pPr>
        <w:ind w:firstLine="420"/>
      </w:pPr>
      <w:r>
        <w:t>数据仅包含59个检测单元，观测年份不连续，部分测试年份样本很少。216条测试记录来自既有单元的时间外验证，不是新桥梁外部验证；2024年53个估计状态也缺少同期真值，故预测精度和规划响应均不宜直接推广到其他桥梁群。状态递推中的年评分下降量属于情景参数，缺少历史养护事件记录来识别真实自然下降规律；养护后评分恢复量R=6同样未由真实养护前后检测校准。面积资源还未纳入病害类型、施工工艺和真实单价。</w:t>
      </w:r>
    </w:p>
    <w:p>
      <w:pPr>
        <w:ind w:firstLine="420"/>
      </w:pPr>
      <w:r>
        <w:t>GJO在固定评价次数内进行随机搜索，只能给出当前计算条件下获得的可行方案，不能证明求解结果在数学意义上最优。公共已知可行候选参与初始化，因此所有运行可行不能解释为独立发现可行方案的概率，更不代表实际管理风险为零。在代表资源档进行的10组配对求解器检查中，I-GJO得到的平均目标值略高于GJO，但该比较仅用于检查求解稳定性，不作为本文主要结论。全部年末评分大于60且至少57/59个大于75属于本文设置的规划管理条件；评分区间映射不替代完整技术状况评定，该比例也不是JTG/T 5230—2026的强制要求</w:t>
      </w:r>
      <w:r>
        <w:rPr>
          <w:sz w:val="16"/>
          <w:vertAlign w:val="superscript"/>
        </w:rPr>
        <w:t>[7]</w:t>
      </w:r>
      <w:r>
        <w:t>。实际应用仍需结合构件病害、正式检测结论及工程处治要求，判断本文所设条件是否适用。后续研究可在获得养护事件、实际工程量和复检记录后，再校准状态变化与资源参数，并检验方案在其他桥梁群中的表现。</w:t>
      </w:r>
    </w:p>
    <w:p>
      <w:pPr>
        <w:pStyle w:val="Heading1"/>
      </w:pPr>
      <w:r>
        <w:t>5 结论</w:t>
      </w:r>
    </w:p>
    <w:p>
      <w:pPr>
        <w:ind w:firstLine="420"/>
      </w:pPr>
      <w:r>
        <w:t>（1）在59个既有检测单元、216条后续真实检测记录的时间外验证中，Ridge的RMSE为4.0771分、MAE为3.0332分，整体误差低于本次比较的LOCF和XGBoost。这支持将其预测值作为缺测单元的候选规划初始状态，但不能证明未观测年份的真实状态已被准确还原。</w:t>
      </w:r>
    </w:p>
    <w:p>
      <w:pPr>
        <w:ind w:firstLine="420"/>
      </w:pPr>
      <w:r>
        <w:t>（2）同一资源档30组同seed比较显示，具体养护时机随规划初始状态变化。代表B=1.513358下，行动Jaccard均值为0.0687，首次年平均绝对差的组均值为2.92年。最高资源档重合度升至0.8613，但共同候选、行动配置及有限搜索也会影响这一结果。</w:t>
      </w:r>
    </w:p>
    <w:p>
      <w:pPr>
        <w:ind w:firstLine="420"/>
      </w:pPr>
      <w:r>
        <w:t>（3）代表资源档两套规划初始状态的绝对长期平均评分相差1.9684分，减去各自无养护基线后，平均养护增益仅相差0.3144分。高资源档的相对增益差方向发生改变，因此不能依据较高绝对评分给出固定的规划初始状态优劣排序。</w:t>
      </w:r>
    </w:p>
    <w:p>
      <w:pPr>
        <w:ind w:firstLine="420"/>
      </w:pPr>
      <w:r>
        <w:t>（4）B从0.215150增至2.811565时，LOCF与Ridge的长期平均评分分别提高7.1253和6.1202分。首个资源增档带来的改善最大，后续单位资源对应的改善总体较小，但并非严格单调，结果不用于确定现实工程的最佳资源配置。</w:t>
      </w:r>
    </w:p>
    <w:p>
      <w:pPr>
        <w:ind w:firstLine="420"/>
      </w:pPr>
      <w:r>
        <w:t>（5）固定资源和LOCF规划初始状态下，年评分下降量从0.45增至0.85分/年时，长期平均评分从92.8642降至88.2388分，末年评分也明显下降。规划结果依赖评分下降和养护后评分恢复量等情景参数；其工程应用仍需养护事件、效果和实际工作量记录支持。</w:t>
      </w:r>
    </w:p>
    <w:p>
      <w:pPr>
        <w:pStyle w:val="Heading1"/>
      </w:pPr>
      <w:r>
        <w:t>参考文献</w:t>
      </w:r>
    </w:p>
    <w:p>
      <w:pPr>
        <w:spacing w:line="254" w:lineRule="auto" w:after="80"/>
        <w:ind w:left="340" w:hanging="340"/>
      </w:pPr>
      <w:r>
        <w:rPr>
          <w:sz w:val="18"/>
        </w:rPr>
        <w:t>[1] Frangopol D M, Bocchini P. Bridge network performance, maintenance and optimisation under uncertainty: Accomplishments and challenges[J]. Structure and Infrastructure Engineering, 2012, 8(4): 341–356. DOI: 10.1080/15732479.2011.563089.</w:t>
      </w:r>
    </w:p>
    <w:p>
      <w:pPr>
        <w:spacing w:line="254" w:lineRule="auto" w:after="80"/>
        <w:ind w:left="340" w:hanging="340"/>
      </w:pPr>
      <w:r>
        <w:rPr>
          <w:sz w:val="18"/>
        </w:rPr>
        <w:t>[2] Dhada M, Hadjidemetriou G M, Parlikad A K. Predicting bridge elements deterioration, using collaborative Gaussian process regression[J]. IFAC-PapersOnLine, 2020, 53(3): 348–353. DOI: 10.1016/j.ifacol.2020.11.056.</w:t>
      </w:r>
    </w:p>
    <w:p>
      <w:pPr>
        <w:spacing w:line="254" w:lineRule="auto" w:after="80"/>
        <w:ind w:left="340" w:hanging="340"/>
      </w:pPr>
      <w:r>
        <w:rPr>
          <w:sz w:val="18"/>
        </w:rPr>
        <w:t>[3] Roberts D R, Bahn V, Ciuti S, et al. Cross-validation strategies for data with temporal, spatial, hierarchical, or phylogenetic structure[J]. Ecography, 2017, 40(8): 913–929. DOI: 10.1111/ecog.02881.</w:t>
      </w:r>
    </w:p>
    <w:p>
      <w:pPr>
        <w:spacing w:line="254" w:lineRule="auto" w:after="80"/>
        <w:ind w:left="340" w:hanging="340"/>
      </w:pPr>
      <w:r>
        <w:rPr>
          <w:sz w:val="18"/>
        </w:rPr>
        <w:t>[4] Wei J, Chen G, Huang J, Shou W, Wang J. Resource-constrained bridge maintenance optimization by harmonizing structural safety and maintenance duration[J]. Engineering Structures, 2024, 308: 118024. DOI: 10.1016/j.engstruct.2024.118024.</w:t>
      </w:r>
    </w:p>
    <w:p>
      <w:pPr>
        <w:spacing w:line="254" w:lineRule="auto" w:after="80"/>
        <w:ind w:left="340" w:hanging="340"/>
      </w:pPr>
      <w:r>
        <w:rPr>
          <w:sz w:val="18"/>
        </w:rPr>
        <w:t>[5] Pedregosa F, Varoquaux G, Gramfort A, et al. Scikit-learn: Machine Learning in Python[J]. Journal of Machine Learning Research, 2011, 12: 2825–2830.</w:t>
      </w:r>
    </w:p>
    <w:p>
      <w:pPr>
        <w:spacing w:line="254" w:lineRule="auto" w:after="80"/>
        <w:ind w:left="340" w:hanging="340"/>
      </w:pPr>
      <w:r>
        <w:rPr>
          <w:sz w:val="18"/>
        </w:rPr>
        <w:t>[6] Chen T, Guestrin C. XGBoost: A scalable tree boosting system[C]//Proceedings of the 22nd ACM SIGKDD International Conference on Knowledge Discovery and Data Mining. New York: ACM, 2016: 785–794. DOI: 10.1145/2939672.2939785.</w:t>
      </w:r>
    </w:p>
    <w:p>
      <w:pPr>
        <w:spacing w:line="254" w:lineRule="auto" w:after="80"/>
        <w:ind w:left="340" w:hanging="340"/>
      </w:pPr>
      <w:r>
        <w:rPr>
          <w:sz w:val="18"/>
        </w:rPr>
        <w:t>[7] 中华人民共和国交通运输部. 公路桥梁技术状况评定标准: JTG/T 5230—2026[S]. 2026.</w:t>
      </w:r>
    </w:p>
    <w:p>
      <w:pPr>
        <w:spacing w:line="254" w:lineRule="auto" w:after="80"/>
        <w:ind w:left="340" w:hanging="340"/>
      </w:pPr>
      <w:r>
        <w:rPr>
          <w:sz w:val="18"/>
        </w:rPr>
        <w:t>[8] Chopra N, Ansari M M. Golden jackal optimization: A novel nature-inspired optimizer for engineering applications[J]. Expert Systems with Applications, 2022, 198: 116924. DOI: 10.1016/j.eswa.2022.116924.</w:t>
      </w:r>
    </w:p>
    <w:p>
      <w:pPr>
        <w:spacing w:line="254" w:lineRule="auto" w:after="80"/>
        <w:ind w:left="340" w:hanging="340"/>
      </w:pPr>
      <w:r>
        <w:rPr>
          <w:sz w:val="18"/>
        </w:rPr>
        <w:t>[9] Deb K. An efficient constraint handling method for genetic algorithms[J]. Computer Methods in Applied Mechanics and Engineering, 2000, 186(2–4): 311–338. DOI: 10.1016/S0045-7825(99)00389-8.</w:t>
      </w:r>
    </w:p>
    <w:p>
      <w:pPr>
        <w:pStyle w:val="Heading1"/>
      </w:pPr>
      <w:r>
        <w:t>补充材料说明</w:t>
      </w:r>
    </w:p>
    <w:p>
      <w:pPr>
        <w:ind w:firstLine="420"/>
      </w:pPr>
      <w:r>
        <w:t>补充材料包括：S1，七档资源、两套规划初始状态和年评分下降量情景的逐seed结果；S2，210组同seed排程比较及12390条配对单元明细；S3，10组配对求解器检查；S4，跨资源固定排程复算及已验证可行目标下界；S5，单元面积与养护次数相关及四分位组诊断；S6，规划期完整年度状态与行动指标；S7，代表性养护排程和逐单元养护年份；S8，不调用搜索评价器的独立逐年复算和派生统计核验结果。各项文件与本稿所用冻结结果的对应关系见补充材料目录，详细表不在正文重复展开。</w:t>
      </w:r>
    </w:p>
    <w:sectPr w:rsidR="00FC693F" w:rsidRPr="0006063C" w:rsidSect="00034616">
      <w:headerReference w:type="default" r:id="rId9"/>
      <w:footerReference w:type="default" r:id="rId10"/>
      <w:pgSz w:w="11906" w:h="16838"/>
      <w:pgMar w:top="1020" w:right="1134" w:bottom="935" w:left="1134"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中文初稿 · 低频检测与桥梁养护时机</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3" w:lineRule="auto" w:after="60"/>
    </w:pPr>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Times New Roman" w:hAnsi="Times New Roman" w:eastAsia="黑体"/>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Times New Roman" w:hAnsi="Times New Roman" w:eastAsia="黑体"/>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180"/>
      <w:contextualSpacing/>
    </w:pPr>
    <w:rPr>
      <w:rFonts w:asciiTheme="majorHAnsi" w:eastAsiaTheme="majorEastAsia" w:hAnsiTheme="majorHAnsi" w:cstheme="majorBidi" w:ascii="Times New Roman" w:hAnsi="Times New Roman" w:eastAsia="黑体"/>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widowControl/>
      <w:spacing w:after="60" w:line="283" w:lineRule="auto"/>
    </w:pPr>
    <w:rPr>
      <w:rFonts w:ascii="Times New Roman" w:hAnsi="Times New Roman" w:eastAsia="宋体"/>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宋体"/>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低频检测数据下公路桥梁状态预测与预防性养护时机决策研究</dc:title>
  <dc:subject>低频桥梁检测、规划初始状态与预防性养护时机</dc:subject>
  <dc:creator/>
  <cp:keywords>桥梁状态预测；规划初始状态；预防性养护；归一化养护资源</cp:keywords>
  <dc:description>generated by python-docx</dc:description>
  <cp:lastModifiedBy/>
  <cp:revision>1</cp:revision>
  <dcterms:created xsi:type="dcterms:W3CDTF">2013-12-23T23:15:00Z</dcterms:created>
  <dcterms:modified xsi:type="dcterms:W3CDTF">2013-12-23T23:15:00Z</dcterms:modified>
  <cp:category/>
</cp:coreProperties>
</file>